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after="120"/>
        <w:rPr>
          <w:rFonts w:eastAsia="宋体"/>
          <w:b/>
          <w:sz w:val="36"/>
          <w:szCs w:val="36"/>
        </w:rPr>
      </w:pPr>
      <w:r>
        <w:rPr>
          <w:rFonts w:hint="eastAsia" w:eastAsia="宋体"/>
          <w:b/>
          <w:sz w:val="36"/>
          <w:szCs w:val="36"/>
        </w:rPr>
        <w:t xml:space="preserve">  </w:t>
      </w:r>
      <w:r>
        <w:rPr>
          <w:rFonts w:eastAsia="宋体"/>
          <w:b/>
          <w:sz w:val="36"/>
          <w:szCs w:val="36"/>
        </w:rPr>
        <w:drawing>
          <wp:inline distT="0" distB="0" distL="0" distR="0">
            <wp:extent cx="5434330" cy="1153160"/>
            <wp:effectExtent l="0" t="0" r="1270" b="2540"/>
            <wp:docPr id="3" name="Picture 1" descr="Description: INTI_I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scription: INTI_IU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34330" cy="1153160"/>
                    </a:xfrm>
                    <a:prstGeom prst="rect">
                      <a:avLst/>
                    </a:prstGeom>
                    <a:noFill/>
                    <a:ln>
                      <a:noFill/>
                    </a:ln>
                  </pic:spPr>
                </pic:pic>
              </a:graphicData>
            </a:graphic>
          </wp:inline>
        </w:drawing>
      </w:r>
    </w:p>
    <w:p>
      <w:pPr>
        <w:spacing w:before="120" w:after="120"/>
        <w:rPr>
          <w:rFonts w:cs="Times New Roman"/>
          <w:b/>
          <w:bCs/>
          <w:sz w:val="36"/>
          <w:szCs w:val="36"/>
        </w:rPr>
      </w:pPr>
    </w:p>
    <w:p>
      <w:pPr>
        <w:spacing w:before="120" w:after="120"/>
        <w:jc w:val="center"/>
        <w:rPr>
          <w:rFonts w:cs="Times New Roman"/>
          <w:b/>
          <w:bCs/>
          <w:sz w:val="36"/>
          <w:szCs w:val="36"/>
        </w:rPr>
      </w:pPr>
      <w:r>
        <w:rPr>
          <w:rFonts w:hint="eastAsia" w:cs="Times New Roman"/>
          <w:b/>
          <w:bCs/>
          <w:sz w:val="36"/>
          <w:szCs w:val="36"/>
        </w:rPr>
        <w:t>THE INFLUENCE OF WESTERN CORPORATE CULTURE ON THE EDUCATION INDUSTRY IN CHINA</w:t>
      </w:r>
    </w:p>
    <w:p>
      <w:pPr>
        <w:spacing w:before="120" w:after="120"/>
        <w:rPr>
          <w:rFonts w:cs="Times New Roman"/>
          <w:b/>
          <w:bCs/>
          <w:sz w:val="36"/>
          <w:szCs w:val="36"/>
        </w:rPr>
      </w:pPr>
    </w:p>
    <w:p>
      <w:pPr>
        <w:spacing w:before="120" w:after="120"/>
        <w:jc w:val="center"/>
        <w:rPr>
          <w:rFonts w:cs="Times New Roman"/>
          <w:b/>
          <w:bCs/>
          <w:sz w:val="36"/>
          <w:szCs w:val="36"/>
        </w:rPr>
      </w:pPr>
      <w:r>
        <w:rPr>
          <w:rFonts w:hint="eastAsia" w:cs="Times New Roman"/>
          <w:b/>
          <w:bCs/>
          <w:sz w:val="36"/>
          <w:szCs w:val="36"/>
        </w:rPr>
        <w:t>RUAN HANWEI</w:t>
      </w:r>
    </w:p>
    <w:p>
      <w:pPr>
        <w:spacing w:before="120" w:after="120"/>
        <w:jc w:val="center"/>
        <w:rPr>
          <w:rFonts w:cs="Times New Roman"/>
          <w:b/>
          <w:bCs/>
          <w:sz w:val="36"/>
          <w:szCs w:val="36"/>
        </w:rPr>
      </w:pPr>
      <w:r>
        <w:rPr>
          <w:rFonts w:hint="eastAsia" w:cs="Times New Roman"/>
          <w:b/>
          <w:bCs/>
          <w:sz w:val="36"/>
          <w:szCs w:val="36"/>
        </w:rPr>
        <w:t>DUAL-AWARD</w:t>
      </w:r>
    </w:p>
    <w:p>
      <w:pPr>
        <w:spacing w:before="120" w:after="120"/>
        <w:jc w:val="center"/>
        <w:rPr>
          <w:rFonts w:cs="Times New Roman"/>
          <w:b/>
          <w:bCs/>
          <w:sz w:val="36"/>
          <w:szCs w:val="36"/>
        </w:rPr>
      </w:pPr>
      <w:r>
        <w:rPr>
          <w:rFonts w:hint="eastAsia" w:cs="Times New Roman"/>
          <w:b/>
          <w:bCs/>
          <w:sz w:val="36"/>
          <w:szCs w:val="36"/>
        </w:rPr>
        <w:t>I17013744</w:t>
      </w:r>
    </w:p>
    <w:p>
      <w:pPr>
        <w:spacing w:before="120" w:after="120"/>
        <w:jc w:val="center"/>
        <w:rPr>
          <w:rFonts w:cs="Times New Roman"/>
          <w:b/>
          <w:bCs/>
          <w:sz w:val="36"/>
          <w:szCs w:val="36"/>
        </w:rPr>
      </w:pPr>
    </w:p>
    <w:p>
      <w:pPr>
        <w:spacing w:before="120" w:after="120"/>
        <w:jc w:val="center"/>
        <w:rPr>
          <w:rFonts w:cs="Times New Roman"/>
          <w:b/>
          <w:bCs/>
        </w:rPr>
      </w:pPr>
      <w:r>
        <w:rPr>
          <w:rFonts w:hint="eastAsia" w:cs="Times New Roman"/>
          <w:b/>
          <w:bCs/>
          <w:sz w:val="36"/>
          <w:szCs w:val="36"/>
        </w:rPr>
        <w:t>FACILITATOR: ASSOC.PROF. DR. LEE KAR LING</w:t>
      </w:r>
    </w:p>
    <w:p>
      <w:pPr>
        <w:spacing w:before="120" w:after="120"/>
        <w:jc w:val="center"/>
        <w:rPr>
          <w:rFonts w:cs="Times New Roman"/>
          <w:b/>
          <w:bCs/>
          <w:sz w:val="36"/>
          <w:szCs w:val="36"/>
        </w:rPr>
      </w:pPr>
    </w:p>
    <w:p>
      <w:pPr>
        <w:spacing w:before="120" w:after="120"/>
        <w:jc w:val="center"/>
        <w:rPr>
          <w:rFonts w:cs="Times New Roman"/>
          <w:b/>
          <w:bCs/>
          <w:sz w:val="36"/>
          <w:szCs w:val="36"/>
        </w:rPr>
      </w:pPr>
    </w:p>
    <w:p>
      <w:pPr>
        <w:spacing w:before="120" w:after="120"/>
        <w:jc w:val="center"/>
        <w:rPr>
          <w:rFonts w:cs="Times New Roman"/>
          <w:b/>
          <w:bCs/>
          <w:sz w:val="36"/>
          <w:szCs w:val="36"/>
        </w:rPr>
      </w:pPr>
      <w:r>
        <w:rPr>
          <w:rFonts w:hint="eastAsia" w:cs="Times New Roman"/>
          <w:b/>
          <w:bCs/>
          <w:sz w:val="36"/>
          <w:szCs w:val="36"/>
        </w:rPr>
        <w:t>2018</w:t>
      </w:r>
    </w:p>
    <w:p>
      <w:pPr>
        <w:pStyle w:val="2"/>
        <w:spacing w:before="360" w:after="120" w:line="360" w:lineRule="auto"/>
      </w:pPr>
    </w:p>
    <w:p>
      <w:pPr>
        <w:spacing w:before="120" w:after="120"/>
      </w:pPr>
    </w:p>
    <w:p>
      <w:pPr>
        <w:pStyle w:val="2"/>
        <w:spacing w:before="360" w:after="120" w:line="360" w:lineRule="auto"/>
        <w:sectPr>
          <w:footerReference r:id="rId3" w:type="default"/>
          <w:pgSz w:w="12240" w:h="15840"/>
          <w:pgMar w:top="1440" w:right="1440" w:bottom="1440" w:left="1440" w:header="720" w:footer="720" w:gutter="0"/>
          <w:pgNumType w:start="1"/>
          <w:cols w:space="720" w:num="1"/>
          <w:docGrid w:linePitch="360" w:charSpace="0"/>
        </w:sectPr>
      </w:pPr>
    </w:p>
    <w:p>
      <w:pPr>
        <w:pStyle w:val="2"/>
        <w:spacing w:before="360" w:after="120"/>
      </w:pPr>
      <w:r>
        <w:rPr>
          <w:rFonts w:hint="eastAsia"/>
        </w:rPr>
        <w:t>Acknowledgement</w:t>
      </w:r>
    </w:p>
    <w:p>
      <w:pPr>
        <w:spacing w:before="120" w:after="120"/>
      </w:pPr>
      <w:r>
        <w:rPr>
          <w:rFonts w:hint="eastAsia"/>
        </w:rPr>
        <w:t>This dissertation consummates my Master of Business Administration degree in INTI International University joint program with University of Hertfordshire. This would not be possible without the advice, assistance, cooperation and encouragement from a number of people. I would like to express my gratitude to all those who gave me help and support Firstly, I am deeply gratitude to my supervisor Assoc Prof Dr Lee Kar Ling, my wise, able, brilliant supervisor, who has been unselfish with her time unvarnished, yet always thoughtful in her critiques, passionate about the dissertation and demonstrated assertiveness in urging me to move forward in this undertaking. Secondly, I would like to that thanks to my second examiner Dr Francis Wong who has provided moderate suggestions to this study. Thirdly, my sincere appreciation to fellow scholars, who has contributed to ensure that this dissertation is fulfilled on the right note. The scholars have always been there to brainstorm and share ideas. Lastly, gratitude to INTI International University, Faculty of Business and Law for allowing me to have the opportunity to conduct the research which has provided me a better understanding on the area of my research.</w:t>
      </w:r>
    </w:p>
    <w:p>
      <w:pPr>
        <w:spacing w:before="120" w:after="120"/>
      </w:pPr>
    </w:p>
    <w:p>
      <w:pPr>
        <w:spacing w:before="120" w:after="120"/>
      </w:pPr>
      <w:r>
        <w:rPr>
          <w:rFonts w:hint="eastAsia"/>
        </w:rPr>
        <w:t>Ruan Hanwei</w:t>
      </w:r>
    </w:p>
    <w:p>
      <w:pPr>
        <w:spacing w:before="120" w:after="120"/>
      </w:pPr>
      <w:r>
        <w:rPr>
          <w:rFonts w:hint="eastAsia"/>
        </w:rPr>
        <w:t>7/Dec/2018</w:t>
      </w: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pStyle w:val="2"/>
        <w:spacing w:before="360" w:after="120" w:line="360" w:lineRule="auto"/>
      </w:pPr>
      <w:r>
        <w:rPr>
          <w:rFonts w:hint="eastAsia"/>
        </w:rPr>
        <w:t>ABSTRACT</w:t>
      </w:r>
    </w:p>
    <w:p>
      <w:pPr>
        <w:spacing w:before="120" w:after="120"/>
      </w:pPr>
      <w:r>
        <w:t>Corporate culture, or organizational culture, is an organization's unique cultural image composed of its values, beliefs, rituals, symbols and ways of doing things.</w:t>
      </w:r>
      <w:r>
        <w:rPr>
          <w:rFonts w:hint="eastAsia"/>
        </w:rPr>
        <w:t xml:space="preserve"> </w:t>
      </w:r>
    </w:p>
    <w:p>
      <w:pPr>
        <w:spacing w:before="120" w:after="120"/>
      </w:pPr>
      <w:r>
        <w:rPr>
          <w:rFonts w:hint="eastAsia"/>
        </w:rPr>
        <w:t xml:space="preserve">Education Institutions </w:t>
      </w:r>
      <w:r>
        <w:t xml:space="preserve">training industry development history </w:t>
      </w:r>
      <w:r>
        <w:rPr>
          <w:rFonts w:hint="eastAsia"/>
        </w:rPr>
        <w:t>f</w:t>
      </w:r>
      <w:r>
        <w:t xml:space="preserve">ounded in China is not </w:t>
      </w:r>
      <w:r>
        <w:rPr>
          <w:rFonts w:hint="eastAsia"/>
        </w:rPr>
        <w:t xml:space="preserve">in a </w:t>
      </w:r>
      <w:r>
        <w:t>long</w:t>
      </w:r>
      <w:r>
        <w:rPr>
          <w:rFonts w:hint="eastAsia"/>
        </w:rPr>
        <w:t xml:space="preserve"> period time</w:t>
      </w:r>
      <w:r>
        <w:t xml:space="preserve">, the longest institutions </w:t>
      </w:r>
      <w:r>
        <w:rPr>
          <w:rFonts w:hint="eastAsia"/>
        </w:rPr>
        <w:t>are</w:t>
      </w:r>
      <w:r>
        <w:t xml:space="preserve"> </w:t>
      </w:r>
      <w:r>
        <w:rPr>
          <w:rFonts w:hint="eastAsia"/>
        </w:rPr>
        <w:t>founded less</w:t>
      </w:r>
      <w:r>
        <w:t xml:space="preserve"> than 30 years, the vast majority of less than 10 years development history, the stationing of public institutions in addition to a few cities across the country, most belong to small and medium-sized institutions, in the recruitment of students, teaching and management and is still exist many problems, many of the survival and development of institutions are still in the middle of the market and the policy of cracks</w:t>
      </w:r>
      <w:r>
        <w:rPr>
          <w:rFonts w:hint="eastAsia"/>
        </w:rPr>
        <w:t>. T</w:t>
      </w:r>
      <w:r>
        <w:t>alk</w:t>
      </w:r>
      <w:r>
        <w:rPr>
          <w:rFonts w:hint="eastAsia"/>
        </w:rPr>
        <w:t>ing</w:t>
      </w:r>
      <w:r>
        <w:t xml:space="preserve"> about the enterprise culture construction, is not very interested in the topic</w:t>
      </w:r>
      <w:r>
        <w:rPr>
          <w:rFonts w:hint="eastAsia"/>
        </w:rPr>
        <w:t xml:space="preserve"> for the </w:t>
      </w:r>
      <w:r>
        <w:t>principal</w:t>
      </w:r>
      <w:r>
        <w:rPr>
          <w:rFonts w:hint="eastAsia"/>
        </w:rPr>
        <w:t>s of institutions</w:t>
      </w:r>
      <w:r>
        <w:t>.</w:t>
      </w:r>
      <w:r>
        <w:rPr>
          <w:rFonts w:hint="eastAsia"/>
        </w:rPr>
        <w:t xml:space="preserve"> </w:t>
      </w:r>
      <w:r>
        <w:t>However, we often find themselves in such a situation: education training is a marginalized industry and rarely becomes the focus and focus of local mainstream social consciousness.</w:t>
      </w:r>
      <w:r>
        <w:rPr>
          <w:rFonts w:hint="eastAsia"/>
        </w:rPr>
        <w:t xml:space="preserve"> </w:t>
      </w:r>
      <w:r>
        <w:t>Once it becomes the focus of media and public opinion, most of it is negative news.</w:t>
      </w:r>
      <w:r>
        <w:rPr>
          <w:rFonts w:hint="eastAsia"/>
        </w:rPr>
        <w:t xml:space="preserve"> </w:t>
      </w:r>
      <w:r>
        <w:t>Because the industry was</w:t>
      </w:r>
      <w:r>
        <w:rPr>
          <w:rFonts w:hint="eastAsia"/>
        </w:rPr>
        <w:t>n</w:t>
      </w:r>
      <w:r>
        <w:t>’</w:t>
      </w:r>
      <w:r>
        <w:rPr>
          <w:rFonts w:hint="eastAsia"/>
        </w:rPr>
        <w:t>t</w:t>
      </w:r>
      <w:r>
        <w:t xml:space="preserve"> </w:t>
      </w:r>
      <w:r>
        <w:rPr>
          <w:rFonts w:hint="eastAsia"/>
        </w:rPr>
        <w:t>established</w:t>
      </w:r>
      <w:r>
        <w:t xml:space="preserve"> relative specification, clear goals and the development of the industry service standards, many institutions </w:t>
      </w:r>
      <w:r>
        <w:rPr>
          <w:rFonts w:hint="eastAsia"/>
        </w:rPr>
        <w:t>which</w:t>
      </w:r>
      <w:r>
        <w:t xml:space="preserve"> didn't realize the development in school should </w:t>
      </w:r>
      <w:r>
        <w:rPr>
          <w:rFonts w:hint="eastAsia"/>
        </w:rPr>
        <w:t>take</w:t>
      </w:r>
      <w:r>
        <w:t xml:space="preserve"> </w:t>
      </w:r>
      <w:r>
        <w:rPr>
          <w:rFonts w:hint="eastAsia"/>
        </w:rPr>
        <w:t xml:space="preserve">corporate </w:t>
      </w:r>
      <w:r>
        <w:t>social responsibility</w:t>
      </w:r>
      <w:r>
        <w:rPr>
          <w:rFonts w:hint="eastAsia"/>
        </w:rPr>
        <w:t>.</w:t>
      </w:r>
      <w:r>
        <w:t xml:space="preserve"> </w:t>
      </w:r>
      <w:r>
        <w:rPr>
          <w:rFonts w:hint="eastAsia"/>
        </w:rPr>
        <w:t>The</w:t>
      </w:r>
      <w:r>
        <w:t xml:space="preserve"> society </w:t>
      </w:r>
      <w:r>
        <w:rPr>
          <w:rFonts w:hint="eastAsia"/>
        </w:rPr>
        <w:t>need to</w:t>
      </w:r>
      <w:r>
        <w:t xml:space="preserve"> have a </w:t>
      </w:r>
      <w:r>
        <w:rPr>
          <w:rFonts w:hint="eastAsia"/>
        </w:rPr>
        <w:t xml:space="preserve">more </w:t>
      </w:r>
      <w:r>
        <w:t>clear and correct understanding</w:t>
      </w:r>
      <w:r>
        <w:rPr>
          <w:rFonts w:hint="eastAsia"/>
        </w:rPr>
        <w:t xml:space="preserve"> in terms of</w:t>
      </w:r>
      <w:r>
        <w:t xml:space="preserve"> a relatively positive social position</w:t>
      </w:r>
      <w:r>
        <w:rPr>
          <w:rFonts w:hint="eastAsia"/>
        </w:rPr>
        <w:t xml:space="preserve"> of these education institutions</w:t>
      </w:r>
      <w:r>
        <w:t>.</w:t>
      </w:r>
      <w:r>
        <w:rPr>
          <w:rFonts w:hint="eastAsia"/>
        </w:rPr>
        <w:t xml:space="preserve"> However</w:t>
      </w:r>
      <w:r>
        <w:t>,</w:t>
      </w:r>
      <w:r>
        <w:rPr>
          <w:rFonts w:hint="eastAsia"/>
        </w:rPr>
        <w:t xml:space="preserve"> in this respect,</w:t>
      </w:r>
      <w:r>
        <w:t xml:space="preserve"> it is</w:t>
      </w:r>
      <w:r>
        <w:rPr>
          <w:rFonts w:hint="eastAsia"/>
        </w:rPr>
        <w:t xml:space="preserve"> very</w:t>
      </w:r>
      <w:r>
        <w:t xml:space="preserve"> closely related to the construction of corporate culture.</w:t>
      </w:r>
    </w:p>
    <w:p>
      <w:pPr>
        <w:spacing w:before="120" w:after="120"/>
      </w:pPr>
    </w:p>
    <w:p>
      <w:pPr>
        <w:spacing w:before="120" w:after="120"/>
      </w:pPr>
    </w:p>
    <w:p>
      <w:pPr>
        <w:spacing w:before="120" w:after="120"/>
      </w:pPr>
    </w:p>
    <w:p>
      <w:pPr>
        <w:spacing w:before="120" w:after="120"/>
      </w:pPr>
      <w:r>
        <w:t>Keywords</w:t>
      </w:r>
      <w:r>
        <w:rPr>
          <w:rFonts w:hint="eastAsia"/>
        </w:rPr>
        <w:t xml:space="preserve">: </w:t>
      </w:r>
      <w:r>
        <w:t>Corporate culture</w:t>
      </w:r>
      <w:r>
        <w:rPr>
          <w:rFonts w:hint="eastAsia"/>
        </w:rPr>
        <w:t xml:space="preserve">; </w:t>
      </w:r>
      <w:r>
        <w:t>organizational culture</w:t>
      </w:r>
      <w:r>
        <w:rPr>
          <w:rFonts w:hint="eastAsia"/>
        </w:rPr>
        <w:t>; education Institutions; China.</w:t>
      </w:r>
    </w:p>
    <w:p>
      <w:pPr>
        <w:spacing w:before="120" w:after="120"/>
      </w:pPr>
    </w:p>
    <w:p>
      <w:pPr>
        <w:spacing w:before="120" w:after="120"/>
      </w:pPr>
    </w:p>
    <w:p>
      <w:pPr>
        <w:pStyle w:val="2"/>
        <w:spacing w:before="360" w:after="120"/>
        <w:jc w:val="center"/>
        <w:rPr>
          <w:sz w:val="24"/>
        </w:rPr>
        <w:sectPr>
          <w:footerReference r:id="rId4" w:type="default"/>
          <w:pgSz w:w="12240" w:h="15840"/>
          <w:pgMar w:top="1440" w:right="1440" w:bottom="1440" w:left="1440" w:header="720" w:footer="720" w:gutter="0"/>
          <w:pgNumType w:start="1"/>
          <w:cols w:space="720" w:num="1"/>
          <w:docGrid w:linePitch="360" w:charSpace="0"/>
        </w:sectPr>
      </w:pPr>
    </w:p>
    <w:sdt>
      <w:sdtPr>
        <w:rPr>
          <w:rFonts w:asciiTheme="minorHAnsi" w:hAnsiTheme="minorHAnsi" w:eastAsiaTheme="minorHAnsi"/>
          <w:b w:val="0"/>
          <w:kern w:val="0"/>
          <w:sz w:val="24"/>
          <w:szCs w:val="20"/>
        </w:rPr>
        <w:id w:val="-1656523789"/>
        <w:docPartObj>
          <w:docPartGallery w:val="Table of Contents"/>
          <w:docPartUnique/>
        </w:docPartObj>
      </w:sdtPr>
      <w:sdtEndPr>
        <w:rPr>
          <w:rFonts w:asciiTheme="minorHAnsi" w:hAnsiTheme="minorHAnsi" w:eastAsiaTheme="minorHAnsi"/>
          <w:b w:val="0"/>
          <w:kern w:val="0"/>
          <w:sz w:val="24"/>
          <w:szCs w:val="20"/>
        </w:rPr>
      </w:sdtEndPr>
      <w:sdtContent>
        <w:p>
          <w:pPr>
            <w:pStyle w:val="2"/>
            <w:spacing w:before="360" w:after="120"/>
            <w:jc w:val="center"/>
            <w:rPr>
              <w:sz w:val="24"/>
            </w:rPr>
          </w:pPr>
          <w:bookmarkStart w:id="0" w:name="_Toc30159_WPSOffice_Type3"/>
          <w:r>
            <w:rPr>
              <w:rFonts w:hint="eastAsia"/>
              <w:sz w:val="24"/>
            </w:rPr>
            <w:t>TABLE OF CONTENTS</w:t>
          </w:r>
        </w:p>
        <w:p>
          <w:pPr>
            <w:pStyle w:val="16"/>
            <w:tabs>
              <w:tab w:val="right" w:leader="dot" w:pos="9360"/>
            </w:tabs>
          </w:pPr>
          <w:r>
            <w:fldChar w:fldCharType="begin"/>
          </w:r>
          <w:r>
            <w:instrText xml:space="preserve"> HYPERLINK \l "_Toc13882_WPSOffice_Level1" </w:instrText>
          </w:r>
          <w:r>
            <w:fldChar w:fldCharType="separate"/>
          </w:r>
          <w:sdt>
            <w:sdtPr>
              <w:rPr>
                <w:rFonts w:ascii="Times New Roman" w:hAnsi="Times New Roman" w:eastAsiaTheme="minorEastAsia"/>
                <w:kern w:val="2"/>
                <w:sz w:val="24"/>
                <w:szCs w:val="24"/>
              </w:rPr>
              <w:id w:val="147479148"/>
              <w:placeholder>
                <w:docPart w:val="{d6716977-0dd3-44b8-b699-ff1788c887e2}"/>
              </w:placeholder>
            </w:sdtPr>
            <w:sdtEndPr>
              <w:rPr>
                <w:rFonts w:ascii="Times New Roman" w:hAnsi="Times New Roman" w:eastAsiaTheme="minorEastAsia"/>
                <w:kern w:val="2"/>
                <w:sz w:val="24"/>
                <w:szCs w:val="24"/>
              </w:rPr>
            </w:sdtEndPr>
            <w:sdtContent>
              <w:r>
                <w:rPr>
                  <w:rFonts w:ascii="Times New Roman" w:hAnsi="Times New Roman" w:eastAsiaTheme="minorEastAsia"/>
                </w:rPr>
                <w:t>CHAPTER 1</w:t>
              </w:r>
              <w:r>
                <w:rPr>
                  <w:rFonts w:hint="eastAsia" w:ascii="Times New Roman" w:hAnsi="Times New Roman" w:eastAsiaTheme="minorEastAsia"/>
                </w:rPr>
                <w:t xml:space="preserve">. </w:t>
              </w:r>
              <w:r>
                <w:rPr>
                  <w:rFonts w:ascii="Times New Roman" w:hAnsi="Times New Roman" w:eastAsiaTheme="minorEastAsia"/>
                </w:rPr>
                <w:t>INTRODUCTION</w:t>
              </w:r>
            </w:sdtContent>
          </w:sdt>
          <w:r>
            <w:tab/>
          </w:r>
          <w:bookmarkStart w:id="1" w:name="_Toc13882_WPSOffice_Level1Page"/>
          <w:r>
            <w:t>5</w:t>
          </w:r>
          <w:bookmarkEnd w:id="1"/>
          <w:r>
            <w:fldChar w:fldCharType="end"/>
          </w:r>
        </w:p>
        <w:p>
          <w:pPr>
            <w:pStyle w:val="16"/>
            <w:tabs>
              <w:tab w:val="right" w:leader="dot" w:pos="9360"/>
            </w:tabs>
          </w:pPr>
          <w:r>
            <w:fldChar w:fldCharType="begin"/>
          </w:r>
          <w:r>
            <w:instrText xml:space="preserve"> HYPERLINK \l "_Toc19410_WPSOffice_Level1" </w:instrText>
          </w:r>
          <w:r>
            <w:fldChar w:fldCharType="separate"/>
          </w:r>
          <w:sdt>
            <w:sdtPr>
              <w:rPr>
                <w:rFonts w:ascii="Times New Roman" w:hAnsi="Times New Roman" w:eastAsiaTheme="minorEastAsia"/>
                <w:kern w:val="2"/>
                <w:sz w:val="24"/>
                <w:szCs w:val="24"/>
              </w:rPr>
              <w:id w:val="-231926587"/>
              <w:placeholder>
                <w:docPart w:val="{74d1a958-9385-4060-a64f-08da08e61521}"/>
              </w:placeholder>
            </w:sdtPr>
            <w:sdtEndPr>
              <w:rPr>
                <w:rFonts w:ascii="Times New Roman" w:hAnsi="Times New Roman" w:eastAsiaTheme="minorEastAsia"/>
                <w:kern w:val="2"/>
                <w:sz w:val="24"/>
                <w:szCs w:val="24"/>
              </w:rPr>
            </w:sdtEndPr>
            <w:sdtContent>
              <w:r>
                <w:rPr>
                  <w:rFonts w:hint="eastAsia" w:ascii="Times New Roman" w:hAnsi="Times New Roman" w:eastAsiaTheme="minorEastAsia"/>
                </w:rPr>
                <w:t>1.0 Overview</w:t>
              </w:r>
            </w:sdtContent>
          </w:sdt>
          <w:r>
            <w:tab/>
          </w:r>
          <w:bookmarkStart w:id="2" w:name="_Toc19410_WPSOffice_Level1Page"/>
          <w:r>
            <w:t>5</w:t>
          </w:r>
          <w:bookmarkEnd w:id="2"/>
          <w:r>
            <w:fldChar w:fldCharType="end"/>
          </w:r>
        </w:p>
        <w:p>
          <w:pPr>
            <w:pStyle w:val="17"/>
            <w:tabs>
              <w:tab w:val="right" w:leader="dot" w:pos="9360"/>
            </w:tabs>
            <w:ind w:left="480"/>
          </w:pPr>
          <w:r>
            <w:fldChar w:fldCharType="begin"/>
          </w:r>
          <w:r>
            <w:instrText xml:space="preserve"> HYPERLINK \l "_Toc19410_WPSOffice_Level2" </w:instrText>
          </w:r>
          <w:r>
            <w:fldChar w:fldCharType="separate"/>
          </w:r>
          <w:sdt>
            <w:sdtPr>
              <w:rPr>
                <w:kern w:val="2"/>
                <w:sz w:val="24"/>
                <w:szCs w:val="24"/>
              </w:rPr>
              <w:id w:val="592516996"/>
              <w:placeholder>
                <w:docPart w:val="{060524ad-a4f3-499f-91a4-f035674b64a8}"/>
              </w:placeholder>
            </w:sdtPr>
            <w:sdtEndPr>
              <w:rPr>
                <w:kern w:val="2"/>
                <w:sz w:val="24"/>
                <w:szCs w:val="24"/>
              </w:rPr>
            </w:sdtEndPr>
            <w:sdtContent>
              <w:r>
                <w:t>1.1 Background of the study</w:t>
              </w:r>
            </w:sdtContent>
          </w:sdt>
          <w:r>
            <w:tab/>
          </w:r>
          <w:bookmarkStart w:id="3" w:name="_Toc19410_WPSOffice_Level2Page"/>
          <w:r>
            <w:t>5</w:t>
          </w:r>
          <w:bookmarkEnd w:id="3"/>
          <w:r>
            <w:fldChar w:fldCharType="end"/>
          </w:r>
        </w:p>
        <w:p>
          <w:pPr>
            <w:pStyle w:val="17"/>
            <w:tabs>
              <w:tab w:val="right" w:leader="dot" w:pos="9360"/>
            </w:tabs>
            <w:ind w:left="480"/>
          </w:pPr>
          <w:r>
            <w:fldChar w:fldCharType="begin"/>
          </w:r>
          <w:r>
            <w:instrText xml:space="preserve"> HYPERLINK \l "_Toc11616_WPSOffice_Level2" </w:instrText>
          </w:r>
          <w:r>
            <w:fldChar w:fldCharType="separate"/>
          </w:r>
          <w:sdt>
            <w:sdtPr>
              <w:rPr>
                <w:kern w:val="2"/>
                <w:sz w:val="24"/>
                <w:szCs w:val="24"/>
              </w:rPr>
              <w:id w:val="1801728473"/>
              <w:placeholder>
                <w:docPart w:val="{d72c6089-12af-41df-9b6d-866a8e048a22}"/>
              </w:placeholder>
            </w:sdtPr>
            <w:sdtEndPr>
              <w:rPr>
                <w:kern w:val="2"/>
                <w:sz w:val="24"/>
                <w:szCs w:val="24"/>
              </w:rPr>
            </w:sdtEndPr>
            <w:sdtContent>
              <w:r>
                <w:t>1.2 Problem Statement</w:t>
              </w:r>
            </w:sdtContent>
          </w:sdt>
          <w:r>
            <w:tab/>
          </w:r>
          <w:bookmarkStart w:id="4" w:name="_Toc11616_WPSOffice_Level2Page"/>
          <w:r>
            <w:t>6</w:t>
          </w:r>
          <w:bookmarkEnd w:id="4"/>
          <w:r>
            <w:fldChar w:fldCharType="end"/>
          </w:r>
        </w:p>
        <w:p>
          <w:pPr>
            <w:pStyle w:val="17"/>
            <w:tabs>
              <w:tab w:val="right" w:leader="dot" w:pos="9360"/>
            </w:tabs>
            <w:ind w:left="480"/>
          </w:pPr>
          <w:r>
            <w:fldChar w:fldCharType="begin"/>
          </w:r>
          <w:r>
            <w:instrText xml:space="preserve"> HYPERLINK \l "_Toc13378_WPSOffice_Level2" </w:instrText>
          </w:r>
          <w:r>
            <w:fldChar w:fldCharType="separate"/>
          </w:r>
          <w:sdt>
            <w:sdtPr>
              <w:rPr>
                <w:kern w:val="2"/>
                <w:sz w:val="24"/>
                <w:szCs w:val="24"/>
              </w:rPr>
              <w:id w:val="-1727904564"/>
              <w:placeholder>
                <w:docPart w:val="{84258255-438f-410c-b351-df090af06107}"/>
              </w:placeholder>
            </w:sdtPr>
            <w:sdtEndPr>
              <w:rPr>
                <w:kern w:val="2"/>
                <w:sz w:val="24"/>
                <w:szCs w:val="24"/>
              </w:rPr>
            </w:sdtEndPr>
            <w:sdtContent>
              <w:r>
                <w:t>1.3 Research objectives</w:t>
              </w:r>
            </w:sdtContent>
          </w:sdt>
          <w:r>
            <w:tab/>
          </w:r>
          <w:bookmarkStart w:id="5" w:name="_Toc13378_WPSOffice_Level2Page"/>
          <w:r>
            <w:t>7</w:t>
          </w:r>
          <w:bookmarkEnd w:id="5"/>
          <w:r>
            <w:fldChar w:fldCharType="end"/>
          </w:r>
        </w:p>
        <w:p>
          <w:pPr>
            <w:pStyle w:val="17"/>
            <w:tabs>
              <w:tab w:val="right" w:leader="dot" w:pos="9360"/>
            </w:tabs>
            <w:ind w:left="480"/>
          </w:pPr>
          <w:r>
            <w:fldChar w:fldCharType="begin"/>
          </w:r>
          <w:r>
            <w:instrText xml:space="preserve"> HYPERLINK \l "_Toc18347_WPSOffice_Level2" </w:instrText>
          </w:r>
          <w:r>
            <w:fldChar w:fldCharType="separate"/>
          </w:r>
          <w:sdt>
            <w:sdtPr>
              <w:rPr>
                <w:kern w:val="2"/>
                <w:sz w:val="24"/>
                <w:szCs w:val="24"/>
              </w:rPr>
              <w:id w:val="-1646660107"/>
              <w:placeholder>
                <w:docPart w:val="{b30b4a78-31d3-427f-96e3-60e458097a07}"/>
              </w:placeholder>
            </w:sdtPr>
            <w:sdtEndPr>
              <w:rPr>
                <w:kern w:val="2"/>
                <w:sz w:val="24"/>
                <w:szCs w:val="24"/>
              </w:rPr>
            </w:sdtEndPr>
            <w:sdtContent>
              <w:r>
                <w:t>1.4 Research questions</w:t>
              </w:r>
            </w:sdtContent>
          </w:sdt>
          <w:r>
            <w:tab/>
          </w:r>
          <w:bookmarkStart w:id="6" w:name="_Toc18347_WPSOffice_Level2Page"/>
          <w:r>
            <w:t>7</w:t>
          </w:r>
          <w:bookmarkEnd w:id="6"/>
          <w:r>
            <w:fldChar w:fldCharType="end"/>
          </w:r>
        </w:p>
        <w:p>
          <w:pPr>
            <w:pStyle w:val="17"/>
            <w:tabs>
              <w:tab w:val="right" w:leader="dot" w:pos="9360"/>
            </w:tabs>
            <w:ind w:left="480"/>
          </w:pPr>
          <w:r>
            <w:fldChar w:fldCharType="begin"/>
          </w:r>
          <w:r>
            <w:instrText xml:space="preserve"> HYPERLINK \l "_Toc21809_WPSOffice_Level2" </w:instrText>
          </w:r>
          <w:r>
            <w:fldChar w:fldCharType="separate"/>
          </w:r>
          <w:sdt>
            <w:sdtPr>
              <w:rPr>
                <w:kern w:val="2"/>
                <w:sz w:val="24"/>
                <w:szCs w:val="24"/>
              </w:rPr>
              <w:id w:val="941489083"/>
              <w:placeholder>
                <w:docPart w:val="{67fea051-ef94-4916-8961-da34b3790059}"/>
              </w:placeholder>
            </w:sdtPr>
            <w:sdtEndPr>
              <w:rPr>
                <w:kern w:val="2"/>
                <w:sz w:val="24"/>
                <w:szCs w:val="24"/>
              </w:rPr>
            </w:sdtEndPr>
            <w:sdtContent>
              <w:r>
                <w:t>1.</w:t>
              </w:r>
              <w:r>
                <w:rPr>
                  <w:rFonts w:hint="eastAsia"/>
                </w:rPr>
                <w:t>5</w:t>
              </w:r>
              <w:r>
                <w:t xml:space="preserve"> Significance of </w:t>
              </w:r>
              <w:r>
                <w:rPr>
                  <w:rFonts w:hint="eastAsia"/>
                </w:rPr>
                <w:t>study</w:t>
              </w:r>
            </w:sdtContent>
          </w:sdt>
          <w:r>
            <w:tab/>
          </w:r>
          <w:bookmarkStart w:id="7" w:name="_Toc21809_WPSOffice_Level2Page"/>
          <w:r>
            <w:t>8</w:t>
          </w:r>
          <w:bookmarkEnd w:id="7"/>
          <w:r>
            <w:fldChar w:fldCharType="end"/>
          </w:r>
        </w:p>
        <w:p>
          <w:pPr>
            <w:pStyle w:val="21"/>
            <w:tabs>
              <w:tab w:val="right" w:leader="dot" w:pos="9360"/>
            </w:tabs>
            <w:ind w:left="960"/>
          </w:pPr>
          <w:r>
            <w:fldChar w:fldCharType="begin"/>
          </w:r>
          <w:r>
            <w:instrText xml:space="preserve"> HYPERLINK \l "_Toc19410_WPSOffice_Level3" </w:instrText>
          </w:r>
          <w:r>
            <w:fldChar w:fldCharType="separate"/>
          </w:r>
          <w:sdt>
            <w:sdtPr>
              <w:rPr>
                <w:rFonts w:eastAsiaTheme="minorEastAsia" w:cstheme="minorBidi"/>
                <w:kern w:val="2"/>
                <w:sz w:val="24"/>
                <w:szCs w:val="24"/>
              </w:rPr>
              <w:id w:val="-1488860543"/>
              <w:placeholder>
                <w:docPart w:val="{e6714616-1e75-423e-8c39-15a7d50b4836}"/>
              </w:placeholder>
            </w:sdtPr>
            <w:sdtEndPr>
              <w:rPr>
                <w:rFonts w:eastAsiaTheme="minorEastAsia" w:cstheme="minorBidi"/>
                <w:kern w:val="2"/>
                <w:sz w:val="24"/>
                <w:szCs w:val="24"/>
              </w:rPr>
            </w:sdtEndPr>
            <w:sdtContent>
              <w:r>
                <w:rPr>
                  <w:rFonts w:hint="eastAsia" w:eastAsiaTheme="minorEastAsia" w:cstheme="minorBidi"/>
                </w:rPr>
                <w:t>1.5.1 significance to academia</w:t>
              </w:r>
            </w:sdtContent>
          </w:sdt>
          <w:r>
            <w:tab/>
          </w:r>
          <w:bookmarkStart w:id="8" w:name="_Toc19410_WPSOffice_Level3Page"/>
          <w:r>
            <w:t>8</w:t>
          </w:r>
          <w:bookmarkEnd w:id="8"/>
          <w:r>
            <w:fldChar w:fldCharType="end"/>
          </w:r>
        </w:p>
        <w:p>
          <w:pPr>
            <w:pStyle w:val="21"/>
            <w:tabs>
              <w:tab w:val="right" w:leader="dot" w:pos="9360"/>
            </w:tabs>
            <w:ind w:left="960"/>
          </w:pPr>
          <w:r>
            <w:fldChar w:fldCharType="begin"/>
          </w:r>
          <w:r>
            <w:instrText xml:space="preserve"> HYPERLINK \l "_Toc11616_WPSOffice_Level3" </w:instrText>
          </w:r>
          <w:r>
            <w:fldChar w:fldCharType="separate"/>
          </w:r>
          <w:sdt>
            <w:sdtPr>
              <w:rPr>
                <w:rFonts w:eastAsiaTheme="minorEastAsia" w:cstheme="minorBidi"/>
                <w:kern w:val="2"/>
                <w:sz w:val="24"/>
                <w:szCs w:val="24"/>
              </w:rPr>
              <w:id w:val="686488091"/>
              <w:placeholder>
                <w:docPart w:val="{45962ddf-f4b2-4b78-9132-9d0e8755c47b}"/>
              </w:placeholder>
            </w:sdtPr>
            <w:sdtEndPr>
              <w:rPr>
                <w:rFonts w:eastAsiaTheme="minorEastAsia" w:cstheme="minorBidi"/>
                <w:kern w:val="2"/>
                <w:sz w:val="24"/>
                <w:szCs w:val="24"/>
              </w:rPr>
            </w:sdtEndPr>
            <w:sdtContent>
              <w:r>
                <w:rPr>
                  <w:rFonts w:hint="eastAsia" w:eastAsiaTheme="minorEastAsia" w:cstheme="minorBidi"/>
                </w:rPr>
                <w:t>1.5.2 significance to industry</w:t>
              </w:r>
            </w:sdtContent>
          </w:sdt>
          <w:r>
            <w:tab/>
          </w:r>
          <w:bookmarkStart w:id="9" w:name="_Toc11616_WPSOffice_Level3Page"/>
          <w:r>
            <w:t>8</w:t>
          </w:r>
          <w:bookmarkEnd w:id="9"/>
          <w:r>
            <w:fldChar w:fldCharType="end"/>
          </w:r>
        </w:p>
        <w:p>
          <w:pPr>
            <w:pStyle w:val="17"/>
            <w:tabs>
              <w:tab w:val="right" w:leader="dot" w:pos="9360"/>
            </w:tabs>
            <w:ind w:left="480"/>
          </w:pPr>
          <w:r>
            <w:fldChar w:fldCharType="begin"/>
          </w:r>
          <w:r>
            <w:instrText xml:space="preserve"> HYPERLINK \l "_Toc21897_WPSOffice_Level2" </w:instrText>
          </w:r>
          <w:r>
            <w:fldChar w:fldCharType="separate"/>
          </w:r>
          <w:sdt>
            <w:sdtPr>
              <w:rPr>
                <w:kern w:val="2"/>
                <w:sz w:val="24"/>
                <w:szCs w:val="24"/>
              </w:rPr>
              <w:id w:val="1422371377"/>
              <w:placeholder>
                <w:docPart w:val="{180a1fc9-6036-4666-8831-50cc7a0414d1}"/>
              </w:placeholder>
            </w:sdtPr>
            <w:sdtEndPr>
              <w:rPr>
                <w:kern w:val="2"/>
                <w:sz w:val="24"/>
                <w:szCs w:val="24"/>
              </w:rPr>
            </w:sdtEndPr>
            <w:sdtContent>
              <w:r>
                <w:rPr>
                  <w:rFonts w:hint="eastAsia"/>
                </w:rPr>
                <w:t>1.6 Scope &amp; limitation of study</w:t>
              </w:r>
            </w:sdtContent>
          </w:sdt>
          <w:r>
            <w:tab/>
          </w:r>
          <w:bookmarkStart w:id="10" w:name="_Toc21897_WPSOffice_Level2Page"/>
          <w:r>
            <w:t>8</w:t>
          </w:r>
          <w:bookmarkEnd w:id="10"/>
          <w:r>
            <w:fldChar w:fldCharType="end"/>
          </w:r>
        </w:p>
        <w:p>
          <w:pPr>
            <w:pStyle w:val="17"/>
            <w:tabs>
              <w:tab w:val="right" w:leader="dot" w:pos="9360"/>
            </w:tabs>
            <w:ind w:left="480"/>
          </w:pPr>
          <w:r>
            <w:fldChar w:fldCharType="begin"/>
          </w:r>
          <w:r>
            <w:instrText xml:space="preserve"> HYPERLINK \l "_Toc6453_WPSOffice_Level2" </w:instrText>
          </w:r>
          <w:r>
            <w:fldChar w:fldCharType="separate"/>
          </w:r>
          <w:sdt>
            <w:sdtPr>
              <w:rPr>
                <w:kern w:val="2"/>
                <w:sz w:val="24"/>
                <w:szCs w:val="24"/>
              </w:rPr>
              <w:id w:val="1827629652"/>
              <w:placeholder>
                <w:docPart w:val="{3e160f87-2271-4b96-b25b-4dfa3c460741}"/>
              </w:placeholder>
            </w:sdtPr>
            <w:sdtEndPr>
              <w:rPr>
                <w:kern w:val="2"/>
                <w:sz w:val="24"/>
                <w:szCs w:val="24"/>
              </w:rPr>
            </w:sdtEndPr>
            <w:sdtContent>
              <w:r>
                <w:rPr>
                  <w:rFonts w:hint="eastAsia"/>
                </w:rPr>
                <w:t>1.7 Operational definitions</w:t>
              </w:r>
            </w:sdtContent>
          </w:sdt>
          <w:r>
            <w:tab/>
          </w:r>
          <w:bookmarkStart w:id="11" w:name="_Toc6453_WPSOffice_Level2Page"/>
          <w:r>
            <w:t>9</w:t>
          </w:r>
          <w:bookmarkEnd w:id="11"/>
          <w:r>
            <w:fldChar w:fldCharType="end"/>
          </w:r>
        </w:p>
        <w:p>
          <w:pPr>
            <w:pStyle w:val="17"/>
            <w:tabs>
              <w:tab w:val="right" w:leader="dot" w:pos="9360"/>
            </w:tabs>
            <w:ind w:left="480"/>
          </w:pPr>
          <w:r>
            <w:fldChar w:fldCharType="begin"/>
          </w:r>
          <w:r>
            <w:instrText xml:space="preserve"> HYPERLINK \l "_Toc453_WPSOffice_Level2" </w:instrText>
          </w:r>
          <w:r>
            <w:fldChar w:fldCharType="separate"/>
          </w:r>
          <w:sdt>
            <w:sdtPr>
              <w:rPr>
                <w:kern w:val="2"/>
                <w:sz w:val="24"/>
                <w:szCs w:val="24"/>
              </w:rPr>
              <w:id w:val="2030598390"/>
              <w:placeholder>
                <w:docPart w:val="{ae4a7b82-1fe1-4384-9ae7-065e8446bf1d}"/>
              </w:placeholder>
            </w:sdtPr>
            <w:sdtEndPr>
              <w:rPr>
                <w:kern w:val="2"/>
                <w:sz w:val="24"/>
                <w:szCs w:val="24"/>
              </w:rPr>
            </w:sdtEndPr>
            <w:sdtContent>
              <w:r>
                <w:rPr>
                  <w:rFonts w:hint="eastAsia"/>
                </w:rPr>
                <w:t>1.8 Organisation of chapters</w:t>
              </w:r>
            </w:sdtContent>
          </w:sdt>
          <w:r>
            <w:tab/>
          </w:r>
          <w:bookmarkStart w:id="12" w:name="_Toc453_WPSOffice_Level2Page"/>
          <w:r>
            <w:t>11</w:t>
          </w:r>
          <w:bookmarkEnd w:id="12"/>
          <w:r>
            <w:fldChar w:fldCharType="end"/>
          </w:r>
        </w:p>
        <w:p>
          <w:pPr>
            <w:pStyle w:val="16"/>
            <w:tabs>
              <w:tab w:val="right" w:leader="dot" w:pos="9360"/>
            </w:tabs>
          </w:pPr>
          <w:r>
            <w:fldChar w:fldCharType="begin"/>
          </w:r>
          <w:r>
            <w:instrText xml:space="preserve"> HYPERLINK \l "_Toc11616_WPSOffice_Level1" </w:instrText>
          </w:r>
          <w:r>
            <w:fldChar w:fldCharType="separate"/>
          </w:r>
          <w:sdt>
            <w:sdtPr>
              <w:rPr>
                <w:rFonts w:ascii="Times New Roman" w:hAnsi="Times New Roman" w:eastAsiaTheme="minorEastAsia"/>
                <w:kern w:val="2"/>
                <w:sz w:val="24"/>
                <w:szCs w:val="24"/>
              </w:rPr>
              <w:id w:val="-835224641"/>
              <w:placeholder>
                <w:docPart w:val="{8cbce27a-7c0f-48ee-8461-bed019f6bd3d}"/>
              </w:placeholder>
            </w:sdtPr>
            <w:sdtEndPr>
              <w:rPr>
                <w:rFonts w:ascii="Times New Roman" w:hAnsi="Times New Roman" w:eastAsiaTheme="minorEastAsia"/>
                <w:kern w:val="2"/>
                <w:sz w:val="24"/>
                <w:szCs w:val="24"/>
              </w:rPr>
            </w:sdtEndPr>
            <w:sdtContent>
              <w:r>
                <w:rPr>
                  <w:rFonts w:ascii="Times New Roman" w:hAnsi="Times New Roman" w:eastAsiaTheme="minorEastAsia"/>
                </w:rPr>
                <w:t>CHAPTER 2</w:t>
              </w:r>
              <w:r>
                <w:rPr>
                  <w:rFonts w:hint="eastAsia" w:ascii="Times New Roman" w:hAnsi="Times New Roman" w:eastAsiaTheme="minorEastAsia"/>
                </w:rPr>
                <w:t>.</w:t>
              </w:r>
              <w:r>
                <w:rPr>
                  <w:rFonts w:ascii="Times New Roman" w:hAnsi="Times New Roman" w:eastAsiaTheme="minorEastAsia"/>
                </w:rPr>
                <w:t xml:space="preserve"> LITERATURE REVIEW</w:t>
              </w:r>
            </w:sdtContent>
          </w:sdt>
          <w:r>
            <w:tab/>
          </w:r>
          <w:bookmarkStart w:id="13" w:name="_Toc11616_WPSOffice_Level1Page"/>
          <w:r>
            <w:t>13</w:t>
          </w:r>
          <w:bookmarkEnd w:id="13"/>
          <w:r>
            <w:fldChar w:fldCharType="end"/>
          </w:r>
        </w:p>
        <w:p>
          <w:pPr>
            <w:pStyle w:val="16"/>
            <w:tabs>
              <w:tab w:val="right" w:leader="dot" w:pos="9360"/>
            </w:tabs>
          </w:pPr>
          <w:r>
            <w:fldChar w:fldCharType="begin"/>
          </w:r>
          <w:r>
            <w:instrText xml:space="preserve"> HYPERLINK \l "_Toc13378_WPSOffice_Level1" </w:instrText>
          </w:r>
          <w:r>
            <w:fldChar w:fldCharType="separate"/>
          </w:r>
          <w:sdt>
            <w:sdtPr>
              <w:rPr>
                <w:rFonts w:ascii="Times New Roman" w:hAnsi="Times New Roman" w:eastAsiaTheme="minorEastAsia"/>
                <w:kern w:val="2"/>
                <w:sz w:val="24"/>
                <w:szCs w:val="24"/>
              </w:rPr>
              <w:id w:val="-1742090773"/>
              <w:placeholder>
                <w:docPart w:val="{4ab4b21e-a555-4086-bf01-0e8fcae18d77}"/>
              </w:placeholder>
            </w:sdtPr>
            <w:sdtEndPr>
              <w:rPr>
                <w:rFonts w:ascii="Times New Roman" w:hAnsi="Times New Roman" w:eastAsiaTheme="minorEastAsia"/>
                <w:kern w:val="2"/>
                <w:sz w:val="24"/>
                <w:szCs w:val="24"/>
              </w:rPr>
            </w:sdtEndPr>
            <w:sdtContent>
              <w:r>
                <w:rPr>
                  <w:rFonts w:hint="eastAsia" w:ascii="Times New Roman" w:hAnsi="Times New Roman" w:eastAsiaTheme="minorEastAsia"/>
                </w:rPr>
                <w:t>2.0 Overview</w:t>
              </w:r>
            </w:sdtContent>
          </w:sdt>
          <w:r>
            <w:tab/>
          </w:r>
          <w:bookmarkStart w:id="14" w:name="_Toc13378_WPSOffice_Level1Page"/>
          <w:r>
            <w:t>13</w:t>
          </w:r>
          <w:bookmarkEnd w:id="14"/>
          <w:r>
            <w:fldChar w:fldCharType="end"/>
          </w:r>
        </w:p>
        <w:p>
          <w:pPr>
            <w:pStyle w:val="17"/>
            <w:ind w:left="480"/>
            <w:rPr>
              <w:rFonts w:cs="Times New Roman"/>
            </w:rPr>
          </w:pPr>
          <w:r>
            <w:rPr>
              <w:rFonts w:cs="Times New Roman"/>
            </w:rPr>
            <w:t>2.1 The performance of education industry in China</w:t>
          </w:r>
          <w:r>
            <w:rPr>
              <w:rFonts w:hint="eastAsia" w:cs="Times New Roman"/>
            </w:rPr>
            <w:t>..........................................................................................13</w:t>
          </w:r>
        </w:p>
        <w:p>
          <w:pPr>
            <w:pStyle w:val="17"/>
            <w:tabs>
              <w:tab w:val="right" w:leader="dot" w:pos="9360"/>
            </w:tabs>
            <w:ind w:left="480" w:firstLine="400" w:firstLineChars="200"/>
          </w:pPr>
          <w:r>
            <w:fldChar w:fldCharType="begin"/>
          </w:r>
          <w:r>
            <w:instrText xml:space="preserve"> HYPERLINK \l "_Toc26703_WPSOffice_Level2" </w:instrText>
          </w:r>
          <w:r>
            <w:fldChar w:fldCharType="separate"/>
          </w:r>
          <w:sdt>
            <w:sdtPr>
              <w:rPr>
                <w:kern w:val="2"/>
                <w:sz w:val="24"/>
                <w:szCs w:val="24"/>
              </w:rPr>
              <w:id w:val="351992157"/>
              <w:placeholder>
                <w:docPart w:val="{3e685b4d-028a-4e47-9b7d-6de49f9b812c}"/>
              </w:placeholder>
            </w:sdtPr>
            <w:sdtEndPr>
              <w:rPr>
                <w:kern w:val="2"/>
                <w:sz w:val="24"/>
                <w:szCs w:val="24"/>
              </w:rPr>
            </w:sdtEndPr>
            <w:sdtContent>
              <w:r>
                <w:rPr>
                  <w:rFonts w:hint="eastAsia"/>
                </w:rPr>
                <w:t>2.1.1 Global perspective</w:t>
              </w:r>
            </w:sdtContent>
          </w:sdt>
          <w:r>
            <w:tab/>
          </w:r>
          <w:bookmarkStart w:id="15" w:name="_Toc26703_WPSOffice_Level2Page"/>
          <w:r>
            <w:t>14</w:t>
          </w:r>
          <w:bookmarkEnd w:id="15"/>
          <w:r>
            <w:fldChar w:fldCharType="end"/>
          </w:r>
        </w:p>
        <w:p>
          <w:pPr>
            <w:pStyle w:val="17"/>
            <w:tabs>
              <w:tab w:val="right" w:leader="dot" w:pos="9360"/>
            </w:tabs>
            <w:ind w:left="480" w:firstLine="400" w:firstLineChars="200"/>
          </w:pPr>
          <w:r>
            <w:fldChar w:fldCharType="begin"/>
          </w:r>
          <w:r>
            <w:instrText xml:space="preserve"> HYPERLINK \l "_Toc25393_WPSOffice_Level2" </w:instrText>
          </w:r>
          <w:r>
            <w:fldChar w:fldCharType="separate"/>
          </w:r>
          <w:sdt>
            <w:sdtPr>
              <w:rPr>
                <w:kern w:val="2"/>
                <w:sz w:val="24"/>
                <w:szCs w:val="24"/>
              </w:rPr>
              <w:id w:val="-974531377"/>
              <w:placeholder>
                <w:docPart w:val="{674c9354-9029-4d93-9ade-e8bec157e827}"/>
              </w:placeholder>
            </w:sdtPr>
            <w:sdtEndPr>
              <w:rPr>
                <w:kern w:val="2"/>
                <w:sz w:val="24"/>
                <w:szCs w:val="24"/>
              </w:rPr>
            </w:sdtEndPr>
            <w:sdtContent>
              <w:r>
                <w:rPr>
                  <w:rFonts w:hint="eastAsia"/>
                </w:rPr>
                <w:t>2.1.2 Local perspective</w:t>
              </w:r>
            </w:sdtContent>
          </w:sdt>
          <w:r>
            <w:tab/>
          </w:r>
          <w:bookmarkStart w:id="16" w:name="_Toc25393_WPSOffice_Level2Page"/>
          <w:r>
            <w:t>15</w:t>
          </w:r>
          <w:bookmarkEnd w:id="16"/>
          <w:r>
            <w:fldChar w:fldCharType="end"/>
          </w:r>
        </w:p>
        <w:p>
          <w:pPr>
            <w:pStyle w:val="17"/>
            <w:ind w:left="480"/>
          </w:pPr>
          <w:r>
            <w:rPr>
              <w:rFonts w:hint="eastAsia"/>
            </w:rPr>
            <w:t>2.2 Independent variables for performance.........................................................................................................17</w:t>
          </w:r>
        </w:p>
        <w:p>
          <w:pPr>
            <w:pStyle w:val="21"/>
            <w:tabs>
              <w:tab w:val="right" w:leader="dot" w:pos="9360"/>
            </w:tabs>
            <w:ind w:left="960"/>
          </w:pPr>
          <w:r>
            <w:fldChar w:fldCharType="begin"/>
          </w:r>
          <w:r>
            <w:instrText xml:space="preserve"> HYPERLINK \l "_Toc13378_WPSOffice_Level3" </w:instrText>
          </w:r>
          <w:r>
            <w:fldChar w:fldCharType="separate"/>
          </w:r>
          <w:sdt>
            <w:sdtPr>
              <w:rPr>
                <w:rFonts w:eastAsiaTheme="minorEastAsia" w:cstheme="minorBidi"/>
                <w:kern w:val="2"/>
                <w:sz w:val="24"/>
                <w:szCs w:val="24"/>
              </w:rPr>
              <w:id w:val="1889520639"/>
              <w:placeholder>
                <w:docPart w:val="{9b4429d0-9eda-4fc5-838e-352a92167e66}"/>
              </w:placeholder>
            </w:sdtPr>
            <w:sdtEndPr>
              <w:rPr>
                <w:rFonts w:eastAsiaTheme="minorEastAsia" w:cstheme="minorBidi"/>
                <w:kern w:val="2"/>
                <w:sz w:val="24"/>
                <w:szCs w:val="24"/>
              </w:rPr>
            </w:sdtEndPr>
            <w:sdtContent>
              <w:r>
                <w:rPr>
                  <w:rFonts w:hint="eastAsia" w:eastAsiaTheme="minorEastAsia" w:cstheme="minorBidi"/>
                </w:rPr>
                <w:t>2.2.1 Deal &amp; Kennedy corporate culture dimensions</w:t>
              </w:r>
            </w:sdtContent>
          </w:sdt>
          <w:r>
            <w:tab/>
          </w:r>
          <w:bookmarkStart w:id="17" w:name="_Toc13378_WPSOffice_Level3Page"/>
          <w:r>
            <w:t>17</w:t>
          </w:r>
          <w:bookmarkEnd w:id="17"/>
          <w:r>
            <w:fldChar w:fldCharType="end"/>
          </w:r>
        </w:p>
        <w:p>
          <w:pPr>
            <w:pStyle w:val="21"/>
            <w:tabs>
              <w:tab w:val="right" w:leader="dot" w:pos="9360"/>
            </w:tabs>
            <w:ind w:left="960"/>
          </w:pPr>
          <w:r>
            <w:fldChar w:fldCharType="begin"/>
          </w:r>
          <w:r>
            <w:instrText xml:space="preserve"> HYPERLINK \l "_Toc18347_WPSOffice_Level3" </w:instrText>
          </w:r>
          <w:r>
            <w:fldChar w:fldCharType="separate"/>
          </w:r>
          <w:sdt>
            <w:sdtPr>
              <w:rPr>
                <w:rFonts w:eastAsiaTheme="minorEastAsia" w:cstheme="minorBidi"/>
                <w:kern w:val="2"/>
                <w:sz w:val="24"/>
                <w:szCs w:val="24"/>
              </w:rPr>
              <w:id w:val="1533763980"/>
              <w:placeholder>
                <w:docPart w:val="{4dceb319-43c8-4758-8109-52f825adafd7}"/>
              </w:placeholder>
            </w:sdtPr>
            <w:sdtEndPr>
              <w:rPr>
                <w:rFonts w:eastAsiaTheme="minorEastAsia" w:cstheme="minorBidi"/>
                <w:kern w:val="2"/>
                <w:sz w:val="24"/>
                <w:szCs w:val="24"/>
              </w:rPr>
            </w:sdtEndPr>
            <w:sdtContent>
              <w:r>
                <w:rPr>
                  <w:rFonts w:hint="eastAsia" w:eastAsiaTheme="minorEastAsia" w:cstheme="minorBidi"/>
                </w:rPr>
                <w:t>2.2.2 Trompenaars cultural dimensions</w:t>
              </w:r>
            </w:sdtContent>
          </w:sdt>
          <w:r>
            <w:tab/>
          </w:r>
          <w:bookmarkStart w:id="18" w:name="_Toc18347_WPSOffice_Level3Page"/>
          <w:r>
            <w:t>20</w:t>
          </w:r>
          <w:bookmarkEnd w:id="18"/>
          <w:r>
            <w:fldChar w:fldCharType="end"/>
          </w:r>
        </w:p>
        <w:p>
          <w:pPr>
            <w:pStyle w:val="17"/>
            <w:ind w:left="480"/>
          </w:pPr>
          <w:r>
            <w:rPr>
              <w:rFonts w:hint="eastAsia"/>
            </w:rPr>
            <w:t>2.3 Linkage between western corporate culture and the performance of education industry in China..............24</w:t>
          </w:r>
        </w:p>
        <w:p>
          <w:pPr>
            <w:pStyle w:val="21"/>
            <w:tabs>
              <w:tab w:val="right" w:leader="dot" w:pos="9360"/>
            </w:tabs>
            <w:ind w:left="960"/>
          </w:pPr>
          <w:r>
            <w:fldChar w:fldCharType="begin"/>
          </w:r>
          <w:r>
            <w:instrText xml:space="preserve"> HYPERLINK \l "_Toc21809_WPSOffice_Level3" </w:instrText>
          </w:r>
          <w:r>
            <w:fldChar w:fldCharType="separate"/>
          </w:r>
          <w:sdt>
            <w:sdtPr>
              <w:rPr>
                <w:rFonts w:eastAsiaTheme="minorEastAsia" w:cstheme="minorBidi"/>
                <w:kern w:val="2"/>
                <w:sz w:val="24"/>
                <w:szCs w:val="24"/>
              </w:rPr>
              <w:id w:val="-2066473353"/>
              <w:placeholder>
                <w:docPart w:val="{90da6191-d942-446a-96db-d420c7e4bee9}"/>
              </w:placeholder>
            </w:sdtPr>
            <w:sdtEndPr>
              <w:rPr>
                <w:rFonts w:eastAsiaTheme="minorEastAsia" w:cstheme="minorBidi"/>
                <w:kern w:val="2"/>
                <w:sz w:val="24"/>
                <w:szCs w:val="24"/>
              </w:rPr>
            </w:sdtEndPr>
            <w:sdtContent>
              <w:r>
                <w:rPr>
                  <w:rFonts w:hint="eastAsia" w:eastAsiaTheme="minorEastAsia" w:cstheme="minorBidi"/>
                </w:rPr>
                <w:t>2.3.1 Linkage: A global view</w:t>
              </w:r>
            </w:sdtContent>
          </w:sdt>
          <w:r>
            <w:tab/>
          </w:r>
          <w:bookmarkStart w:id="19" w:name="_Toc21809_WPSOffice_Level3Page"/>
          <w:r>
            <w:t>24</w:t>
          </w:r>
          <w:bookmarkEnd w:id="19"/>
          <w:r>
            <w:fldChar w:fldCharType="end"/>
          </w:r>
        </w:p>
        <w:p>
          <w:pPr>
            <w:pStyle w:val="21"/>
            <w:tabs>
              <w:tab w:val="right" w:leader="dot" w:pos="9360"/>
            </w:tabs>
            <w:ind w:left="960"/>
          </w:pPr>
          <w:r>
            <w:fldChar w:fldCharType="begin"/>
          </w:r>
          <w:r>
            <w:instrText xml:space="preserve"> HYPERLINK \l "_Toc21897_WPSOffice_Level3" </w:instrText>
          </w:r>
          <w:r>
            <w:fldChar w:fldCharType="separate"/>
          </w:r>
          <w:sdt>
            <w:sdtPr>
              <w:rPr>
                <w:rFonts w:eastAsiaTheme="minorEastAsia" w:cstheme="minorBidi"/>
                <w:kern w:val="2"/>
                <w:sz w:val="24"/>
                <w:szCs w:val="24"/>
              </w:rPr>
              <w:id w:val="147479145"/>
              <w:placeholder>
                <w:docPart w:val="{c9e92d71-ad68-4b96-8161-48fbf19062a2}"/>
              </w:placeholder>
            </w:sdtPr>
            <w:sdtEndPr>
              <w:rPr>
                <w:rFonts w:eastAsiaTheme="minorEastAsia" w:cstheme="minorBidi"/>
                <w:kern w:val="2"/>
                <w:sz w:val="24"/>
                <w:szCs w:val="24"/>
              </w:rPr>
            </w:sdtEndPr>
            <w:sdtContent>
              <w:r>
                <w:rPr>
                  <w:rFonts w:hint="eastAsia" w:eastAsiaTheme="minorEastAsia" w:cstheme="minorBidi"/>
                </w:rPr>
                <w:t>2.3.2 Linkage: A local view</w:t>
              </w:r>
            </w:sdtContent>
          </w:sdt>
          <w:r>
            <w:tab/>
          </w:r>
          <w:bookmarkStart w:id="20" w:name="_Toc21897_WPSOffice_Level3Page"/>
          <w:r>
            <w:t>25</w:t>
          </w:r>
          <w:bookmarkEnd w:id="20"/>
          <w:r>
            <w:fldChar w:fldCharType="end"/>
          </w:r>
        </w:p>
        <w:p>
          <w:pPr>
            <w:pStyle w:val="17"/>
            <w:ind w:left="480"/>
          </w:pPr>
          <w:r>
            <w:t>2.4 Grounded theory.........................................................</w:t>
          </w:r>
          <w:r>
            <w:rPr>
              <w:rFonts w:hint="eastAsia"/>
            </w:rPr>
            <w:t>..............................</w:t>
          </w:r>
          <w:r>
            <w:t>.....................................................</w:t>
          </w:r>
          <w:r>
            <w:rPr>
              <w:rFonts w:hint="eastAsia"/>
            </w:rPr>
            <w:t>28</w:t>
          </w:r>
        </w:p>
        <w:p>
          <w:pPr>
            <w:pStyle w:val="17"/>
            <w:ind w:left="480"/>
          </w:pPr>
          <w:r>
            <w:t>2.5 Gaps in the literature...................................................................</w:t>
          </w:r>
          <w:r>
            <w:rPr>
              <w:rFonts w:hint="eastAsia"/>
            </w:rPr>
            <w:t>.............................</w:t>
          </w:r>
          <w:r>
            <w:t>.....................................</w:t>
          </w:r>
          <w:r>
            <w:rPr>
              <w:rFonts w:hint="eastAsia"/>
            </w:rPr>
            <w:t>29</w:t>
          </w:r>
        </w:p>
        <w:p>
          <w:pPr>
            <w:pStyle w:val="17"/>
            <w:ind w:left="480"/>
          </w:pPr>
          <w:r>
            <w:t>2.6 Theoretical Framework.............................................................</w:t>
          </w:r>
          <w:r>
            <w:rPr>
              <w:rFonts w:hint="eastAsia"/>
            </w:rPr>
            <w:t>.............................</w:t>
          </w:r>
          <w:r>
            <w:t>.......................................</w:t>
          </w:r>
          <w:r>
            <w:rPr>
              <w:rFonts w:hint="eastAsia"/>
            </w:rPr>
            <w:t>29</w:t>
          </w:r>
        </w:p>
        <w:p>
          <w:pPr>
            <w:pStyle w:val="17"/>
            <w:ind w:left="480"/>
          </w:pPr>
          <w:r>
            <w:t>2.7 Hypotheses..........................................................................................</w:t>
          </w:r>
          <w:r>
            <w:rPr>
              <w:rFonts w:hint="eastAsia"/>
            </w:rPr>
            <w:t>.............................</w:t>
          </w:r>
          <w:r>
            <w:t>.............................</w:t>
          </w:r>
          <w:r>
            <w:rPr>
              <w:rFonts w:hint="eastAsia"/>
            </w:rPr>
            <w:t>30</w:t>
          </w:r>
        </w:p>
        <w:p>
          <w:pPr>
            <w:pStyle w:val="17"/>
            <w:ind w:left="480"/>
          </w:pPr>
          <w:r>
            <w:t>2.8 Conclusion.........................................................................................</w:t>
          </w:r>
          <w:r>
            <w:rPr>
              <w:rFonts w:hint="eastAsia"/>
            </w:rPr>
            <w:t>..............................</w:t>
          </w:r>
          <w:r>
            <w:t>..............................</w:t>
          </w:r>
          <w:r>
            <w:rPr>
              <w:rFonts w:hint="eastAsia"/>
            </w:rPr>
            <w:t>30</w:t>
          </w:r>
        </w:p>
        <w:p>
          <w:pPr>
            <w:pStyle w:val="16"/>
            <w:tabs>
              <w:tab w:val="right" w:leader="dot" w:pos="9360"/>
            </w:tabs>
          </w:pPr>
          <w:r>
            <w:fldChar w:fldCharType="begin"/>
          </w:r>
          <w:r>
            <w:instrText xml:space="preserve"> HYPERLINK \l "_Toc30159_WPSOffice_Level1" </w:instrText>
          </w:r>
          <w:r>
            <w:fldChar w:fldCharType="separate"/>
          </w:r>
          <w:sdt>
            <w:sdtPr>
              <w:rPr>
                <w:rFonts w:ascii="Times New Roman" w:hAnsi="Times New Roman" w:eastAsiaTheme="minorEastAsia"/>
                <w:kern w:val="2"/>
                <w:sz w:val="24"/>
                <w:szCs w:val="24"/>
              </w:rPr>
              <w:id w:val="-8685147"/>
              <w:placeholder>
                <w:docPart w:val="{a53d3b6e-d61c-4e68-b98a-fee811d7a73a}"/>
              </w:placeholder>
            </w:sdtPr>
            <w:sdtEndPr>
              <w:rPr>
                <w:rFonts w:ascii="Times New Roman" w:hAnsi="Times New Roman" w:eastAsiaTheme="minorEastAsia"/>
                <w:kern w:val="2"/>
                <w:sz w:val="24"/>
                <w:szCs w:val="24"/>
              </w:rPr>
            </w:sdtEndPr>
            <w:sdtContent>
              <w:r>
                <w:rPr>
                  <w:rFonts w:ascii="Times New Roman" w:hAnsi="Times New Roman" w:eastAsiaTheme="minorEastAsia"/>
                </w:rPr>
                <w:t>CHAPTER 3</w:t>
              </w:r>
              <w:r>
                <w:rPr>
                  <w:rFonts w:hint="eastAsia" w:ascii="Times New Roman" w:hAnsi="Times New Roman" w:eastAsiaTheme="minorEastAsia"/>
                </w:rPr>
                <w:t xml:space="preserve">. </w:t>
              </w:r>
              <w:r>
                <w:rPr>
                  <w:rFonts w:ascii="Times New Roman" w:hAnsi="Times New Roman" w:eastAsiaTheme="minorEastAsia"/>
                </w:rPr>
                <w:t>RESEARCH METHODOLOGY</w:t>
              </w:r>
            </w:sdtContent>
          </w:sdt>
          <w:r>
            <w:tab/>
          </w:r>
          <w:bookmarkStart w:id="21" w:name="_Toc30159_WPSOffice_Level1Page"/>
          <w:r>
            <w:t>31</w:t>
          </w:r>
          <w:bookmarkEnd w:id="21"/>
          <w:r>
            <w:fldChar w:fldCharType="end"/>
          </w:r>
        </w:p>
        <w:p>
          <w:pPr>
            <w:pStyle w:val="16"/>
            <w:tabs>
              <w:tab w:val="right" w:leader="dot" w:pos="9360"/>
            </w:tabs>
          </w:pPr>
          <w:r>
            <w:fldChar w:fldCharType="begin"/>
          </w:r>
          <w:r>
            <w:instrText xml:space="preserve"> HYPERLINK \l "_Toc29480_WPSOffice_Level1" </w:instrText>
          </w:r>
          <w:r>
            <w:fldChar w:fldCharType="separate"/>
          </w:r>
          <w:sdt>
            <w:sdtPr>
              <w:rPr>
                <w:rFonts w:ascii="Times New Roman" w:hAnsi="Times New Roman" w:eastAsiaTheme="minorEastAsia"/>
                <w:kern w:val="2"/>
                <w:sz w:val="24"/>
                <w:szCs w:val="24"/>
              </w:rPr>
              <w:id w:val="305514493"/>
              <w:placeholder>
                <w:docPart w:val="{2a0a3b23-04be-428d-88f5-59cda5a1c9d1}"/>
              </w:placeholder>
            </w:sdtPr>
            <w:sdtEndPr>
              <w:rPr>
                <w:rFonts w:ascii="Times New Roman" w:hAnsi="Times New Roman" w:eastAsiaTheme="minorEastAsia"/>
                <w:kern w:val="2"/>
                <w:sz w:val="24"/>
                <w:szCs w:val="24"/>
              </w:rPr>
            </w:sdtEndPr>
            <w:sdtContent>
              <w:r>
                <w:rPr>
                  <w:rFonts w:hint="eastAsia" w:ascii="Times New Roman" w:hAnsi="Times New Roman" w:eastAsiaTheme="minorEastAsia"/>
                </w:rPr>
                <w:t>3.0 Overview</w:t>
              </w:r>
            </w:sdtContent>
          </w:sdt>
          <w:r>
            <w:tab/>
          </w:r>
          <w:bookmarkStart w:id="22" w:name="_Toc29480_WPSOffice_Level1Page"/>
          <w:r>
            <w:t>31</w:t>
          </w:r>
          <w:bookmarkEnd w:id="22"/>
          <w:r>
            <w:fldChar w:fldCharType="end"/>
          </w:r>
        </w:p>
        <w:p>
          <w:pPr>
            <w:pStyle w:val="17"/>
            <w:tabs>
              <w:tab w:val="right" w:leader="dot" w:pos="9360"/>
            </w:tabs>
            <w:ind w:left="480"/>
          </w:pPr>
          <w:r>
            <w:fldChar w:fldCharType="begin"/>
          </w:r>
          <w:r>
            <w:instrText xml:space="preserve"> HYPERLINK \l "_Toc30159_WPSOffice_Level2" </w:instrText>
          </w:r>
          <w:r>
            <w:fldChar w:fldCharType="separate"/>
          </w:r>
          <w:sdt>
            <w:sdtPr>
              <w:rPr>
                <w:kern w:val="2"/>
                <w:sz w:val="24"/>
                <w:szCs w:val="24"/>
              </w:rPr>
              <w:id w:val="-1695455164"/>
              <w:placeholder>
                <w:docPart w:val="{c08b4c6d-e02d-4c51-9bbc-cb358395d8c9}"/>
              </w:placeholder>
            </w:sdtPr>
            <w:sdtEndPr>
              <w:rPr>
                <w:kern w:val="2"/>
                <w:sz w:val="24"/>
                <w:szCs w:val="24"/>
              </w:rPr>
            </w:sdtEndPr>
            <w:sdtContent>
              <w:r>
                <w:rPr>
                  <w:rFonts w:hint="eastAsia"/>
                </w:rPr>
                <w:t>3.1 Research design</w:t>
              </w:r>
            </w:sdtContent>
          </w:sdt>
          <w:r>
            <w:tab/>
          </w:r>
          <w:bookmarkStart w:id="23" w:name="_Toc30159_WPSOffice_Level2Page"/>
          <w:r>
            <w:t>32</w:t>
          </w:r>
          <w:bookmarkEnd w:id="23"/>
          <w:r>
            <w:fldChar w:fldCharType="end"/>
          </w:r>
        </w:p>
        <w:p>
          <w:pPr>
            <w:pStyle w:val="17"/>
            <w:tabs>
              <w:tab w:val="right" w:leader="dot" w:pos="9360"/>
            </w:tabs>
            <w:ind w:left="480"/>
          </w:pPr>
          <w:r>
            <w:fldChar w:fldCharType="begin"/>
          </w:r>
          <w:r>
            <w:instrText xml:space="preserve"> HYPERLINK \l "_Toc29480_WPSOffice_Level2" </w:instrText>
          </w:r>
          <w:r>
            <w:fldChar w:fldCharType="separate"/>
          </w:r>
          <w:sdt>
            <w:sdtPr>
              <w:rPr>
                <w:kern w:val="2"/>
                <w:sz w:val="24"/>
                <w:szCs w:val="24"/>
              </w:rPr>
              <w:id w:val="1561288489"/>
              <w:placeholder>
                <w:docPart w:val="{5bcba2df-15cc-4278-ad74-cf440e972007}"/>
              </w:placeholder>
            </w:sdtPr>
            <w:sdtEndPr>
              <w:rPr>
                <w:kern w:val="2"/>
                <w:sz w:val="24"/>
                <w:szCs w:val="24"/>
              </w:rPr>
            </w:sdtEndPr>
            <w:sdtContent>
              <w:r>
                <w:rPr>
                  <w:rFonts w:hint="eastAsia"/>
                </w:rPr>
                <w:t>3.2 Unit of analysis &amp; Time horizon</w:t>
              </w:r>
            </w:sdtContent>
          </w:sdt>
          <w:r>
            <w:tab/>
          </w:r>
          <w:bookmarkStart w:id="24" w:name="_Toc29480_WPSOffice_Level2Page"/>
          <w:r>
            <w:t>34</w:t>
          </w:r>
          <w:bookmarkEnd w:id="24"/>
          <w:r>
            <w:fldChar w:fldCharType="end"/>
          </w:r>
        </w:p>
        <w:p>
          <w:pPr>
            <w:pStyle w:val="17"/>
            <w:tabs>
              <w:tab w:val="right" w:leader="dot" w:pos="9360"/>
            </w:tabs>
            <w:ind w:left="480"/>
          </w:pPr>
          <w:r>
            <w:fldChar w:fldCharType="begin"/>
          </w:r>
          <w:r>
            <w:instrText xml:space="preserve"> HYPERLINK \l "_Toc4673_WPSOffice_Level2" </w:instrText>
          </w:r>
          <w:r>
            <w:fldChar w:fldCharType="separate"/>
          </w:r>
          <w:sdt>
            <w:sdtPr>
              <w:rPr>
                <w:kern w:val="2"/>
                <w:sz w:val="24"/>
                <w:szCs w:val="24"/>
              </w:rPr>
              <w:id w:val="232673050"/>
              <w:placeholder>
                <w:docPart w:val="{05ecc9ec-f556-4322-98f8-72d8381499b7}"/>
              </w:placeholder>
            </w:sdtPr>
            <w:sdtEndPr>
              <w:rPr>
                <w:kern w:val="2"/>
                <w:sz w:val="24"/>
                <w:szCs w:val="24"/>
              </w:rPr>
            </w:sdtEndPr>
            <w:sdtContent>
              <w:r>
                <w:rPr>
                  <w:rFonts w:hint="eastAsia"/>
                </w:rPr>
                <w:t>3.3 Sampling design</w:t>
              </w:r>
            </w:sdtContent>
          </w:sdt>
          <w:r>
            <w:tab/>
          </w:r>
          <w:bookmarkStart w:id="25" w:name="_Toc4673_WPSOffice_Level2Page"/>
          <w:r>
            <w:t>35</w:t>
          </w:r>
          <w:bookmarkEnd w:id="25"/>
          <w:r>
            <w:fldChar w:fldCharType="end"/>
          </w:r>
        </w:p>
        <w:p>
          <w:pPr>
            <w:pStyle w:val="21"/>
            <w:tabs>
              <w:tab w:val="right" w:leader="dot" w:pos="9360"/>
            </w:tabs>
            <w:ind w:left="960"/>
          </w:pPr>
          <w:r>
            <w:fldChar w:fldCharType="begin"/>
          </w:r>
          <w:r>
            <w:instrText xml:space="preserve"> HYPERLINK \l "_Toc30159_WPSOffice_Level3" </w:instrText>
          </w:r>
          <w:r>
            <w:fldChar w:fldCharType="separate"/>
          </w:r>
          <w:sdt>
            <w:sdtPr>
              <w:rPr>
                <w:rFonts w:eastAsiaTheme="minorEastAsia" w:cstheme="minorBidi"/>
                <w:kern w:val="2"/>
                <w:sz w:val="24"/>
                <w:szCs w:val="24"/>
              </w:rPr>
              <w:id w:val="-557783054"/>
              <w:placeholder>
                <w:docPart w:val="{464ed469-74c7-4f3c-b9ea-02f5211c292e}"/>
              </w:placeholder>
            </w:sdtPr>
            <w:sdtEndPr>
              <w:rPr>
                <w:rFonts w:eastAsiaTheme="minorEastAsia" w:cstheme="minorBidi"/>
                <w:kern w:val="2"/>
                <w:sz w:val="24"/>
                <w:szCs w:val="24"/>
              </w:rPr>
            </w:sdtEndPr>
            <w:sdtContent>
              <w:r>
                <w:rPr>
                  <w:rFonts w:hint="eastAsia" w:eastAsiaTheme="minorEastAsia" w:cstheme="minorBidi"/>
                </w:rPr>
                <w:t>3.3.1 Sampling plan</w:t>
              </w:r>
            </w:sdtContent>
          </w:sdt>
          <w:r>
            <w:tab/>
          </w:r>
          <w:bookmarkStart w:id="26" w:name="_Toc30159_WPSOffice_Level3Page"/>
          <w:r>
            <w:t>35</w:t>
          </w:r>
          <w:bookmarkEnd w:id="26"/>
          <w:r>
            <w:fldChar w:fldCharType="end"/>
          </w:r>
        </w:p>
        <w:p>
          <w:pPr>
            <w:pStyle w:val="21"/>
            <w:tabs>
              <w:tab w:val="right" w:leader="dot" w:pos="9360"/>
            </w:tabs>
            <w:ind w:left="960"/>
          </w:pPr>
          <w:r>
            <w:fldChar w:fldCharType="begin"/>
          </w:r>
          <w:r>
            <w:instrText xml:space="preserve"> HYPERLINK \l "_Toc29480_WPSOffice_Level3" </w:instrText>
          </w:r>
          <w:r>
            <w:fldChar w:fldCharType="separate"/>
          </w:r>
          <w:sdt>
            <w:sdtPr>
              <w:rPr>
                <w:rFonts w:eastAsiaTheme="minorEastAsia" w:cstheme="minorBidi"/>
                <w:kern w:val="2"/>
                <w:sz w:val="24"/>
                <w:szCs w:val="24"/>
              </w:rPr>
              <w:id w:val="-1542580186"/>
              <w:placeholder>
                <w:docPart w:val="{7b5d2b3d-a941-44bd-ab09-4bf2f076f0c8}"/>
              </w:placeholder>
            </w:sdtPr>
            <w:sdtEndPr>
              <w:rPr>
                <w:rFonts w:eastAsiaTheme="minorEastAsia" w:cstheme="minorBidi"/>
                <w:kern w:val="2"/>
                <w:sz w:val="24"/>
                <w:szCs w:val="24"/>
              </w:rPr>
            </w:sdtEndPr>
            <w:sdtContent>
              <w:r>
                <w:rPr>
                  <w:rFonts w:hint="eastAsia" w:eastAsia="黑体" w:cstheme="minorBidi"/>
                </w:rPr>
                <w:t>3.3.2 Sample size</w:t>
              </w:r>
            </w:sdtContent>
          </w:sdt>
          <w:r>
            <w:tab/>
          </w:r>
          <w:bookmarkStart w:id="27" w:name="_Toc29480_WPSOffice_Level3Page"/>
          <w:r>
            <w:t>36</w:t>
          </w:r>
          <w:bookmarkEnd w:id="27"/>
          <w:r>
            <w:fldChar w:fldCharType="end"/>
          </w:r>
        </w:p>
        <w:p>
          <w:pPr>
            <w:pStyle w:val="17"/>
            <w:tabs>
              <w:tab w:val="right" w:leader="dot" w:pos="9360"/>
            </w:tabs>
            <w:ind w:left="480"/>
          </w:pPr>
          <w:r>
            <w:fldChar w:fldCharType="begin"/>
          </w:r>
          <w:r>
            <w:instrText xml:space="preserve"> HYPERLINK \l "_Toc28662_WPSOffice_Level2" </w:instrText>
          </w:r>
          <w:r>
            <w:fldChar w:fldCharType="separate"/>
          </w:r>
          <w:sdt>
            <w:sdtPr>
              <w:rPr>
                <w:kern w:val="2"/>
                <w:sz w:val="24"/>
                <w:szCs w:val="24"/>
              </w:rPr>
              <w:id w:val="-1141656922"/>
              <w:placeholder>
                <w:docPart w:val="{5e66b254-e00c-438e-8ac5-9eb056fbc0eb}"/>
              </w:placeholder>
            </w:sdtPr>
            <w:sdtEndPr>
              <w:rPr>
                <w:kern w:val="2"/>
                <w:sz w:val="24"/>
                <w:szCs w:val="24"/>
              </w:rPr>
            </w:sdtEndPr>
            <w:sdtContent>
              <w:r>
                <w:t>3.4 Questionnaire Design</w:t>
              </w:r>
            </w:sdtContent>
          </w:sdt>
          <w:r>
            <w:tab/>
          </w:r>
          <w:bookmarkStart w:id="28" w:name="_Toc28662_WPSOffice_Level2Page"/>
          <w:r>
            <w:t>36</w:t>
          </w:r>
          <w:bookmarkEnd w:id="28"/>
          <w:r>
            <w:fldChar w:fldCharType="end"/>
          </w:r>
        </w:p>
        <w:p>
          <w:pPr>
            <w:pStyle w:val="17"/>
            <w:tabs>
              <w:tab w:val="right" w:leader="dot" w:pos="9360"/>
            </w:tabs>
            <w:ind w:left="480"/>
          </w:pPr>
          <w:r>
            <w:fldChar w:fldCharType="begin"/>
          </w:r>
          <w:r>
            <w:instrText xml:space="preserve"> HYPERLINK \l "_Toc25736_WPSOffice_Level2" </w:instrText>
          </w:r>
          <w:r>
            <w:fldChar w:fldCharType="separate"/>
          </w:r>
          <w:sdt>
            <w:sdtPr>
              <w:rPr>
                <w:kern w:val="2"/>
                <w:sz w:val="24"/>
                <w:szCs w:val="24"/>
              </w:rPr>
              <w:id w:val="-443623762"/>
              <w:placeholder>
                <w:docPart w:val="{609474d8-93d9-4144-9909-8407dbeefb02}"/>
              </w:placeholder>
            </w:sdtPr>
            <w:sdtEndPr>
              <w:rPr>
                <w:kern w:val="2"/>
                <w:sz w:val="24"/>
                <w:szCs w:val="24"/>
              </w:rPr>
            </w:sdtEndPr>
            <w:sdtContent>
              <w:r>
                <w:rPr>
                  <w:rFonts w:hint="eastAsia"/>
                </w:rPr>
                <w:t>3.5 Pilot test</w:t>
              </w:r>
            </w:sdtContent>
          </w:sdt>
          <w:r>
            <w:tab/>
          </w:r>
          <w:bookmarkStart w:id="29" w:name="_Toc25736_WPSOffice_Level2Page"/>
          <w:r>
            <w:t>38</w:t>
          </w:r>
          <w:bookmarkEnd w:id="29"/>
          <w:r>
            <w:fldChar w:fldCharType="end"/>
          </w:r>
        </w:p>
        <w:p>
          <w:pPr>
            <w:pStyle w:val="21"/>
            <w:tabs>
              <w:tab w:val="right" w:leader="dot" w:pos="9360"/>
            </w:tabs>
            <w:ind w:left="960"/>
          </w:pPr>
          <w:r>
            <w:fldChar w:fldCharType="begin"/>
          </w:r>
          <w:r>
            <w:instrText xml:space="preserve"> HYPERLINK \l "_Toc4673_WPSOffice_Level3" </w:instrText>
          </w:r>
          <w:r>
            <w:fldChar w:fldCharType="separate"/>
          </w:r>
          <w:sdt>
            <w:sdtPr>
              <w:rPr>
                <w:rFonts w:eastAsiaTheme="minorEastAsia" w:cstheme="minorBidi"/>
                <w:kern w:val="2"/>
                <w:sz w:val="24"/>
                <w:szCs w:val="24"/>
              </w:rPr>
              <w:id w:val="741140951"/>
              <w:placeholder>
                <w:docPart w:val="{17c55f99-6850-480e-963d-59f4741bf46b}"/>
              </w:placeholder>
            </w:sdtPr>
            <w:sdtEndPr>
              <w:rPr>
                <w:rFonts w:eastAsiaTheme="minorEastAsia" w:cstheme="minorBidi"/>
                <w:kern w:val="2"/>
                <w:sz w:val="24"/>
                <w:szCs w:val="24"/>
              </w:rPr>
            </w:sdtEndPr>
            <w:sdtContent>
              <w:r>
                <w:rPr>
                  <w:rFonts w:hint="eastAsia" w:eastAsia="黑体" w:cstheme="minorBidi"/>
                </w:rPr>
                <w:t>3.5.1 Pilot test: Factor analysis</w:t>
              </w:r>
            </w:sdtContent>
          </w:sdt>
          <w:r>
            <w:tab/>
          </w:r>
          <w:bookmarkStart w:id="30" w:name="_Toc4673_WPSOffice_Level3Page"/>
          <w:r>
            <w:t>38</w:t>
          </w:r>
          <w:bookmarkEnd w:id="30"/>
          <w:r>
            <w:fldChar w:fldCharType="end"/>
          </w:r>
        </w:p>
        <w:p>
          <w:pPr>
            <w:pStyle w:val="21"/>
            <w:tabs>
              <w:tab w:val="right" w:leader="dot" w:pos="9360"/>
            </w:tabs>
            <w:ind w:left="960"/>
          </w:pPr>
          <w:r>
            <w:fldChar w:fldCharType="begin"/>
          </w:r>
          <w:r>
            <w:instrText xml:space="preserve"> HYPERLINK \l "_Toc28662_WPSOffice_Level3" </w:instrText>
          </w:r>
          <w:r>
            <w:fldChar w:fldCharType="separate"/>
          </w:r>
          <w:sdt>
            <w:sdtPr>
              <w:rPr>
                <w:rFonts w:eastAsiaTheme="minorEastAsia" w:cstheme="minorBidi"/>
                <w:kern w:val="2"/>
                <w:sz w:val="24"/>
                <w:szCs w:val="24"/>
              </w:rPr>
              <w:id w:val="1162655839"/>
              <w:placeholder>
                <w:docPart w:val="{40af6d53-2ec8-4d2c-97c3-eb1314a52957}"/>
              </w:placeholder>
            </w:sdtPr>
            <w:sdtEndPr>
              <w:rPr>
                <w:rFonts w:eastAsiaTheme="minorEastAsia" w:cstheme="minorBidi"/>
                <w:kern w:val="2"/>
                <w:sz w:val="24"/>
                <w:szCs w:val="24"/>
              </w:rPr>
            </w:sdtEndPr>
            <w:sdtContent>
              <w:r>
                <w:rPr>
                  <w:rFonts w:hint="eastAsia" w:eastAsia="黑体" w:cstheme="minorBidi"/>
                </w:rPr>
                <w:t>3.5.2 Pilot test: Reliability test</w:t>
              </w:r>
            </w:sdtContent>
          </w:sdt>
          <w:r>
            <w:tab/>
          </w:r>
          <w:bookmarkStart w:id="31" w:name="_Toc28662_WPSOffice_Level3Page"/>
          <w:r>
            <w:t>39</w:t>
          </w:r>
          <w:bookmarkEnd w:id="31"/>
          <w:r>
            <w:fldChar w:fldCharType="end"/>
          </w:r>
        </w:p>
        <w:p>
          <w:pPr>
            <w:pStyle w:val="21"/>
            <w:tabs>
              <w:tab w:val="right" w:leader="dot" w:pos="9360"/>
            </w:tabs>
            <w:ind w:left="960"/>
          </w:pPr>
          <w:r>
            <w:fldChar w:fldCharType="begin"/>
          </w:r>
          <w:r>
            <w:instrText xml:space="preserve"> HYPERLINK \l "_Toc25736_WPSOffice_Level3" </w:instrText>
          </w:r>
          <w:r>
            <w:fldChar w:fldCharType="separate"/>
          </w:r>
          <w:sdt>
            <w:sdtPr>
              <w:rPr>
                <w:rFonts w:eastAsiaTheme="minorEastAsia" w:cstheme="minorBidi"/>
                <w:kern w:val="2"/>
                <w:sz w:val="24"/>
                <w:szCs w:val="24"/>
              </w:rPr>
              <w:id w:val="-2126534428"/>
              <w:placeholder>
                <w:docPart w:val="{21ac8272-d535-4211-bba3-6917bfdf875d}"/>
              </w:placeholder>
            </w:sdtPr>
            <w:sdtEndPr>
              <w:rPr>
                <w:rFonts w:eastAsiaTheme="minorEastAsia" w:cstheme="minorBidi"/>
                <w:kern w:val="2"/>
                <w:sz w:val="24"/>
                <w:szCs w:val="24"/>
              </w:rPr>
            </w:sdtEndPr>
            <w:sdtContent>
              <w:r>
                <w:rPr>
                  <w:rFonts w:hint="eastAsia" w:eastAsia="黑体" w:cstheme="minorBidi"/>
                </w:rPr>
                <w:t>3.5.3 Pilot test: Correlation matrix</w:t>
              </w:r>
            </w:sdtContent>
          </w:sdt>
          <w:r>
            <w:tab/>
          </w:r>
          <w:bookmarkStart w:id="32" w:name="_Toc25736_WPSOffice_Level3Page"/>
          <w:r>
            <w:t>40</w:t>
          </w:r>
          <w:bookmarkEnd w:id="32"/>
          <w:r>
            <w:fldChar w:fldCharType="end"/>
          </w:r>
        </w:p>
        <w:p>
          <w:pPr>
            <w:pStyle w:val="17"/>
            <w:tabs>
              <w:tab w:val="right" w:leader="dot" w:pos="9360"/>
            </w:tabs>
            <w:ind w:left="480"/>
          </w:pPr>
          <w:r>
            <w:fldChar w:fldCharType="begin"/>
          </w:r>
          <w:r>
            <w:instrText xml:space="preserve"> HYPERLINK \l "_Toc25010_WPSOffice_Level2" </w:instrText>
          </w:r>
          <w:r>
            <w:fldChar w:fldCharType="separate"/>
          </w:r>
          <w:sdt>
            <w:sdtPr>
              <w:rPr>
                <w:kern w:val="2"/>
                <w:sz w:val="24"/>
                <w:szCs w:val="24"/>
              </w:rPr>
              <w:id w:val="-1862113473"/>
              <w:placeholder>
                <w:docPart w:val="{0c3e97f1-d025-4e1e-bf33-a0103f00e3bc}"/>
              </w:placeholder>
            </w:sdtPr>
            <w:sdtEndPr>
              <w:rPr>
                <w:kern w:val="2"/>
                <w:sz w:val="24"/>
                <w:szCs w:val="24"/>
              </w:rPr>
            </w:sdtEndPr>
            <w:sdtContent>
              <w:r>
                <w:rPr>
                  <w:rFonts w:hint="eastAsia"/>
                </w:rPr>
                <w:t>3.6 Measurements</w:t>
              </w:r>
            </w:sdtContent>
          </w:sdt>
          <w:r>
            <w:tab/>
          </w:r>
          <w:bookmarkStart w:id="33" w:name="_Toc25010_WPSOffice_Level2Page"/>
          <w:r>
            <w:t>40</w:t>
          </w:r>
          <w:bookmarkEnd w:id="33"/>
          <w:r>
            <w:fldChar w:fldCharType="end"/>
          </w:r>
        </w:p>
        <w:p>
          <w:pPr>
            <w:pStyle w:val="21"/>
            <w:tabs>
              <w:tab w:val="right" w:leader="dot" w:pos="9360"/>
            </w:tabs>
            <w:ind w:left="960"/>
          </w:pPr>
          <w:r>
            <w:fldChar w:fldCharType="begin"/>
          </w:r>
          <w:r>
            <w:instrText xml:space="preserve"> HYPERLINK \l "_Toc25010_WPSOffice_Level3" </w:instrText>
          </w:r>
          <w:r>
            <w:fldChar w:fldCharType="separate"/>
          </w:r>
          <w:sdt>
            <w:sdtPr>
              <w:rPr>
                <w:rFonts w:eastAsiaTheme="minorEastAsia" w:cstheme="minorBidi"/>
                <w:kern w:val="2"/>
                <w:sz w:val="24"/>
                <w:szCs w:val="24"/>
              </w:rPr>
              <w:id w:val="797648202"/>
              <w:placeholder>
                <w:docPart w:val="{6db8a5c1-69ee-4a70-a8f4-9a622ee22215}"/>
              </w:placeholder>
            </w:sdtPr>
            <w:sdtEndPr>
              <w:rPr>
                <w:rFonts w:eastAsiaTheme="minorEastAsia" w:cstheme="minorBidi"/>
                <w:kern w:val="2"/>
                <w:sz w:val="24"/>
                <w:szCs w:val="24"/>
              </w:rPr>
            </w:sdtEndPr>
            <w:sdtContent>
              <w:r>
                <w:rPr>
                  <w:rFonts w:hint="eastAsia" w:eastAsia="黑体" w:cstheme="minorBidi"/>
                </w:rPr>
                <w:t>3.6.1 Descriptive Information</w:t>
              </w:r>
            </w:sdtContent>
          </w:sdt>
          <w:r>
            <w:tab/>
          </w:r>
          <w:bookmarkStart w:id="34" w:name="_Toc25010_WPSOffice_Level3Page"/>
          <w:r>
            <w:t>41</w:t>
          </w:r>
          <w:bookmarkEnd w:id="34"/>
          <w:r>
            <w:fldChar w:fldCharType="end"/>
          </w:r>
        </w:p>
        <w:p>
          <w:pPr>
            <w:pStyle w:val="21"/>
            <w:tabs>
              <w:tab w:val="right" w:leader="dot" w:pos="9360"/>
            </w:tabs>
            <w:ind w:left="960"/>
            <w:sectPr>
              <w:footerReference r:id="rId5" w:type="default"/>
              <w:pgSz w:w="12240" w:h="15840"/>
              <w:pgMar w:top="1440" w:right="1440" w:bottom="1440" w:left="1440" w:header="720" w:footer="720" w:gutter="0"/>
              <w:pgNumType w:start="1"/>
              <w:cols w:space="720" w:num="1"/>
              <w:docGrid w:linePitch="360" w:charSpace="0"/>
            </w:sectPr>
          </w:pPr>
        </w:p>
        <w:p>
          <w:pPr>
            <w:pStyle w:val="21"/>
            <w:tabs>
              <w:tab w:val="right" w:leader="dot" w:pos="9360"/>
            </w:tabs>
            <w:ind w:left="960"/>
          </w:pPr>
          <w:r>
            <w:fldChar w:fldCharType="begin"/>
          </w:r>
          <w:r>
            <w:instrText xml:space="preserve"> HYPERLINK \l "_Toc3526_WPSOffice_Level3" </w:instrText>
          </w:r>
          <w:r>
            <w:fldChar w:fldCharType="separate"/>
          </w:r>
          <w:sdt>
            <w:sdtPr>
              <w:rPr>
                <w:rFonts w:eastAsiaTheme="minorEastAsia" w:cstheme="minorBidi"/>
                <w:kern w:val="2"/>
                <w:sz w:val="24"/>
                <w:szCs w:val="24"/>
              </w:rPr>
              <w:id w:val="-947237288"/>
              <w:placeholder>
                <w:docPart w:val="{74196c22-0317-4538-bc7d-d0b068b3ed21}"/>
              </w:placeholder>
            </w:sdtPr>
            <w:sdtEndPr>
              <w:rPr>
                <w:rFonts w:eastAsiaTheme="minorEastAsia" w:cstheme="minorBidi"/>
                <w:kern w:val="2"/>
                <w:sz w:val="24"/>
                <w:szCs w:val="24"/>
              </w:rPr>
            </w:sdtEndPr>
            <w:sdtContent>
              <w:r>
                <w:rPr>
                  <w:rFonts w:hint="eastAsia" w:eastAsia="黑体" w:cstheme="minorBidi"/>
                </w:rPr>
                <w:t>3.6.2 Preliminary tests</w:t>
              </w:r>
            </w:sdtContent>
          </w:sdt>
          <w:r>
            <w:tab/>
          </w:r>
          <w:bookmarkStart w:id="35" w:name="_Toc3526_WPSOffice_Level3Page"/>
          <w:r>
            <w:t>41</w:t>
          </w:r>
          <w:bookmarkEnd w:id="35"/>
          <w:r>
            <w:fldChar w:fldCharType="end"/>
          </w:r>
        </w:p>
        <w:p>
          <w:pPr>
            <w:pStyle w:val="21"/>
            <w:tabs>
              <w:tab w:val="right" w:leader="dot" w:pos="9360"/>
            </w:tabs>
            <w:ind w:left="960"/>
          </w:pPr>
          <w:r>
            <w:fldChar w:fldCharType="begin"/>
          </w:r>
          <w:r>
            <w:instrText xml:space="preserve"> HYPERLINK \l "_Toc16964_WPSOffice_Level3" </w:instrText>
          </w:r>
          <w:r>
            <w:fldChar w:fldCharType="separate"/>
          </w:r>
          <w:sdt>
            <w:sdtPr>
              <w:rPr>
                <w:rFonts w:eastAsiaTheme="minorEastAsia" w:cstheme="minorBidi"/>
                <w:kern w:val="2"/>
                <w:sz w:val="24"/>
                <w:szCs w:val="24"/>
              </w:rPr>
              <w:id w:val="-630322255"/>
              <w:placeholder>
                <w:docPart w:val="{9a4f1ddd-a5a7-49c3-bce0-b40978796a97}"/>
              </w:placeholder>
            </w:sdtPr>
            <w:sdtEndPr>
              <w:rPr>
                <w:rFonts w:eastAsiaTheme="minorEastAsia" w:cstheme="minorBidi"/>
                <w:kern w:val="2"/>
                <w:sz w:val="24"/>
                <w:szCs w:val="24"/>
              </w:rPr>
            </w:sdtEndPr>
            <w:sdtContent>
              <w:r>
                <w:rPr>
                  <w:rFonts w:hint="eastAsia" w:eastAsia="黑体" w:cstheme="minorBidi"/>
                </w:rPr>
                <w:t>3.6.3 Hypothesis testing</w:t>
              </w:r>
            </w:sdtContent>
          </w:sdt>
          <w:r>
            <w:tab/>
          </w:r>
          <w:bookmarkStart w:id="36" w:name="_Toc16964_WPSOffice_Level3Page"/>
          <w:r>
            <w:t>42</w:t>
          </w:r>
          <w:bookmarkEnd w:id="36"/>
          <w:r>
            <w:fldChar w:fldCharType="end"/>
          </w:r>
        </w:p>
        <w:p>
          <w:pPr>
            <w:pStyle w:val="17"/>
            <w:tabs>
              <w:tab w:val="right" w:leader="dot" w:pos="9360"/>
            </w:tabs>
            <w:ind w:left="480"/>
          </w:pPr>
          <w:r>
            <w:fldChar w:fldCharType="begin"/>
          </w:r>
          <w:r>
            <w:instrText xml:space="preserve"> HYPERLINK \l "_Toc3526_WPSOffice_Level2" </w:instrText>
          </w:r>
          <w:r>
            <w:fldChar w:fldCharType="separate"/>
          </w:r>
          <w:sdt>
            <w:sdtPr>
              <w:rPr>
                <w:kern w:val="2"/>
                <w:sz w:val="24"/>
                <w:szCs w:val="24"/>
              </w:rPr>
              <w:id w:val="-985390985"/>
              <w:placeholder>
                <w:docPart w:val="{a83c0164-35f8-48b1-b4a4-5829948f28cf}"/>
              </w:placeholder>
            </w:sdtPr>
            <w:sdtEndPr>
              <w:rPr>
                <w:kern w:val="2"/>
                <w:sz w:val="24"/>
                <w:szCs w:val="24"/>
              </w:rPr>
            </w:sdtEndPr>
            <w:sdtContent>
              <w:r>
                <w:rPr>
                  <w:rFonts w:hint="eastAsia"/>
                </w:rPr>
                <w:t>3.7 Ethical consideration</w:t>
              </w:r>
            </w:sdtContent>
          </w:sdt>
          <w:r>
            <w:tab/>
          </w:r>
          <w:bookmarkStart w:id="37" w:name="_Toc3526_WPSOffice_Level2Page"/>
          <w:r>
            <w:t>44</w:t>
          </w:r>
          <w:bookmarkEnd w:id="37"/>
          <w:r>
            <w:fldChar w:fldCharType="end"/>
          </w:r>
        </w:p>
        <w:p>
          <w:pPr>
            <w:pStyle w:val="17"/>
            <w:tabs>
              <w:tab w:val="right" w:leader="dot" w:pos="9360"/>
            </w:tabs>
            <w:ind w:left="480"/>
          </w:pPr>
          <w:r>
            <w:fldChar w:fldCharType="begin"/>
          </w:r>
          <w:r>
            <w:instrText xml:space="preserve"> HYPERLINK \l "_Toc16964_WPSOffice_Level2" </w:instrText>
          </w:r>
          <w:r>
            <w:fldChar w:fldCharType="separate"/>
          </w:r>
          <w:sdt>
            <w:sdtPr>
              <w:rPr>
                <w:kern w:val="2"/>
                <w:sz w:val="24"/>
                <w:szCs w:val="24"/>
              </w:rPr>
              <w:id w:val="-932585830"/>
              <w:placeholder>
                <w:docPart w:val="{fb9b1ae7-4c2a-48fa-bf92-3db9d49aae3b}"/>
              </w:placeholder>
            </w:sdtPr>
            <w:sdtEndPr>
              <w:rPr>
                <w:kern w:val="2"/>
                <w:sz w:val="24"/>
                <w:szCs w:val="24"/>
              </w:rPr>
            </w:sdtEndPr>
            <w:sdtContent>
              <w:r>
                <w:rPr>
                  <w:rFonts w:hint="eastAsia"/>
                </w:rPr>
                <w:t>3.8 Conclusion</w:t>
              </w:r>
            </w:sdtContent>
          </w:sdt>
          <w:r>
            <w:tab/>
          </w:r>
          <w:bookmarkStart w:id="38" w:name="_Toc16964_WPSOffice_Level2Page"/>
          <w:r>
            <w:t>44</w:t>
          </w:r>
          <w:bookmarkEnd w:id="38"/>
          <w:r>
            <w:fldChar w:fldCharType="end"/>
          </w:r>
        </w:p>
        <w:p>
          <w:pPr>
            <w:pStyle w:val="16"/>
            <w:tabs>
              <w:tab w:val="right" w:leader="dot" w:pos="9360"/>
            </w:tabs>
          </w:pPr>
          <w:r>
            <w:fldChar w:fldCharType="begin"/>
          </w:r>
          <w:r>
            <w:instrText xml:space="preserve"> HYPERLINK \l "_Toc4673_WPSOffice_Level1" </w:instrText>
          </w:r>
          <w:r>
            <w:fldChar w:fldCharType="separate"/>
          </w:r>
          <w:sdt>
            <w:sdtPr>
              <w:rPr>
                <w:rFonts w:ascii="Times New Roman" w:hAnsi="Times New Roman" w:eastAsiaTheme="minorEastAsia"/>
                <w:kern w:val="2"/>
                <w:sz w:val="24"/>
                <w:szCs w:val="24"/>
              </w:rPr>
              <w:id w:val="917216936"/>
              <w:placeholder>
                <w:docPart w:val="{dd3bfc19-339f-4cc1-839d-4ca8ae03c6ab}"/>
              </w:placeholder>
            </w:sdtPr>
            <w:sdtEndPr>
              <w:rPr>
                <w:rFonts w:ascii="Times New Roman" w:hAnsi="Times New Roman" w:eastAsiaTheme="minorEastAsia"/>
                <w:kern w:val="2"/>
                <w:sz w:val="24"/>
                <w:szCs w:val="24"/>
              </w:rPr>
            </w:sdtEndPr>
            <w:sdtContent>
              <w:r>
                <w:rPr>
                  <w:rFonts w:ascii="Times New Roman" w:hAnsi="Times New Roman" w:cs="Times New Roman" w:eastAsiaTheme="minorEastAsia"/>
                </w:rPr>
                <w:t>C</w:t>
              </w:r>
              <w:r>
                <w:rPr>
                  <w:rFonts w:hint="eastAsia" w:ascii="Times New Roman" w:hAnsi="Times New Roman" w:cs="Times New Roman" w:eastAsiaTheme="minorEastAsia"/>
                </w:rPr>
                <w:t>HAPTER 4. RESEARCH FINDINGS</w:t>
              </w:r>
            </w:sdtContent>
          </w:sdt>
          <w:r>
            <w:tab/>
          </w:r>
          <w:bookmarkStart w:id="39" w:name="_Toc4673_WPSOffice_Level1Page"/>
          <w:r>
            <w:t>46</w:t>
          </w:r>
          <w:bookmarkEnd w:id="39"/>
          <w:r>
            <w:fldChar w:fldCharType="end"/>
          </w:r>
        </w:p>
        <w:p>
          <w:pPr>
            <w:pStyle w:val="16"/>
            <w:tabs>
              <w:tab w:val="right" w:leader="dot" w:pos="9360"/>
            </w:tabs>
          </w:pPr>
          <w:r>
            <w:fldChar w:fldCharType="begin"/>
          </w:r>
          <w:r>
            <w:instrText xml:space="preserve"> HYPERLINK \l "_Toc28662_WPSOffice_Level1" </w:instrText>
          </w:r>
          <w:r>
            <w:fldChar w:fldCharType="separate"/>
          </w:r>
          <w:sdt>
            <w:sdtPr>
              <w:rPr>
                <w:rFonts w:ascii="Times New Roman" w:hAnsi="Times New Roman" w:eastAsiaTheme="minorEastAsia"/>
                <w:kern w:val="2"/>
                <w:sz w:val="24"/>
                <w:szCs w:val="24"/>
              </w:rPr>
              <w:id w:val="75568315"/>
              <w:placeholder>
                <w:docPart w:val="{4c0d730a-c45e-4018-9744-65b340b5fac0}"/>
              </w:placeholder>
            </w:sdtPr>
            <w:sdtEndPr>
              <w:rPr>
                <w:rFonts w:ascii="Times New Roman" w:hAnsi="Times New Roman" w:eastAsiaTheme="minorEastAsia"/>
                <w:kern w:val="2"/>
                <w:sz w:val="24"/>
                <w:szCs w:val="24"/>
              </w:rPr>
            </w:sdtEndPr>
            <w:sdtContent>
              <w:r>
                <w:rPr>
                  <w:rFonts w:ascii="Times New Roman" w:hAnsi="Times New Roman" w:eastAsiaTheme="minorEastAsia"/>
                </w:rPr>
                <w:t>4.0 Overview</w:t>
              </w:r>
            </w:sdtContent>
          </w:sdt>
          <w:r>
            <w:tab/>
          </w:r>
          <w:bookmarkStart w:id="40" w:name="_Toc28662_WPSOffice_Level1Page"/>
          <w:r>
            <w:t>46</w:t>
          </w:r>
          <w:bookmarkEnd w:id="40"/>
          <w:r>
            <w:fldChar w:fldCharType="end"/>
          </w:r>
        </w:p>
        <w:p>
          <w:pPr>
            <w:pStyle w:val="17"/>
            <w:tabs>
              <w:tab w:val="right" w:leader="dot" w:pos="9360"/>
            </w:tabs>
            <w:ind w:left="480"/>
          </w:pPr>
          <w:r>
            <w:fldChar w:fldCharType="begin"/>
          </w:r>
          <w:r>
            <w:instrText xml:space="preserve"> HYPERLINK \l "_Toc20555_WPSOffice_Level2" </w:instrText>
          </w:r>
          <w:r>
            <w:fldChar w:fldCharType="separate"/>
          </w:r>
          <w:sdt>
            <w:sdtPr>
              <w:rPr>
                <w:kern w:val="2"/>
                <w:sz w:val="24"/>
                <w:szCs w:val="24"/>
              </w:rPr>
              <w:id w:val="-1764837483"/>
              <w:placeholder>
                <w:docPart w:val="{fe544862-b1ee-42a3-8fac-92b82c99445e}"/>
              </w:placeholder>
            </w:sdtPr>
            <w:sdtEndPr>
              <w:rPr>
                <w:kern w:val="2"/>
                <w:sz w:val="24"/>
                <w:szCs w:val="24"/>
              </w:rPr>
            </w:sdtEndPr>
            <w:sdtContent>
              <w:r>
                <w:rPr>
                  <w:rFonts w:cs="Times New Roman"/>
                </w:rPr>
                <w:t>4.1 Pilot test</w:t>
              </w:r>
            </w:sdtContent>
          </w:sdt>
          <w:r>
            <w:tab/>
          </w:r>
          <w:bookmarkStart w:id="41" w:name="_Toc20555_WPSOffice_Level2Page"/>
          <w:r>
            <w:t>46</w:t>
          </w:r>
          <w:bookmarkEnd w:id="41"/>
          <w:r>
            <w:fldChar w:fldCharType="end"/>
          </w:r>
        </w:p>
        <w:p>
          <w:pPr>
            <w:pStyle w:val="21"/>
            <w:tabs>
              <w:tab w:val="right" w:leader="dot" w:pos="9360"/>
            </w:tabs>
            <w:ind w:left="960"/>
          </w:pPr>
          <w:r>
            <w:fldChar w:fldCharType="begin"/>
          </w:r>
          <w:r>
            <w:instrText xml:space="preserve"> HYPERLINK \l "_Toc20555_WPSOffice_Level3" </w:instrText>
          </w:r>
          <w:r>
            <w:fldChar w:fldCharType="separate"/>
          </w:r>
          <w:sdt>
            <w:sdtPr>
              <w:rPr>
                <w:rFonts w:eastAsiaTheme="minorEastAsia" w:cstheme="minorBidi"/>
                <w:kern w:val="2"/>
                <w:sz w:val="24"/>
                <w:szCs w:val="24"/>
              </w:rPr>
              <w:id w:val="847141664"/>
              <w:placeholder>
                <w:docPart w:val="{ca69f562-524a-48e3-9476-8e696c0b8ac9}"/>
              </w:placeholder>
            </w:sdtPr>
            <w:sdtEndPr>
              <w:rPr>
                <w:rFonts w:eastAsiaTheme="minorEastAsia" w:cstheme="minorBidi"/>
                <w:kern w:val="2"/>
                <w:sz w:val="24"/>
                <w:szCs w:val="24"/>
              </w:rPr>
            </w:sdtEndPr>
            <w:sdtContent>
              <w:r>
                <w:rPr>
                  <w:rFonts w:eastAsiaTheme="minorEastAsia"/>
                </w:rPr>
                <w:t>4.1.1 Factor Analysis</w:t>
              </w:r>
            </w:sdtContent>
          </w:sdt>
          <w:r>
            <w:tab/>
          </w:r>
          <w:bookmarkStart w:id="42" w:name="_Toc20555_WPSOffice_Level3Page"/>
          <w:r>
            <w:t>47</w:t>
          </w:r>
          <w:bookmarkEnd w:id="42"/>
          <w:r>
            <w:fldChar w:fldCharType="end"/>
          </w:r>
        </w:p>
        <w:p>
          <w:pPr>
            <w:pStyle w:val="21"/>
            <w:tabs>
              <w:tab w:val="right" w:leader="dot" w:pos="9360"/>
            </w:tabs>
            <w:ind w:left="960"/>
          </w:pPr>
          <w:r>
            <w:fldChar w:fldCharType="begin"/>
          </w:r>
          <w:r>
            <w:instrText xml:space="preserve"> HYPERLINK \l "_Toc25245_WPSOffice_Level3" </w:instrText>
          </w:r>
          <w:r>
            <w:fldChar w:fldCharType="separate"/>
          </w:r>
          <w:sdt>
            <w:sdtPr>
              <w:rPr>
                <w:rFonts w:eastAsiaTheme="minorEastAsia" w:cstheme="minorBidi"/>
                <w:kern w:val="2"/>
                <w:sz w:val="24"/>
                <w:szCs w:val="24"/>
              </w:rPr>
              <w:id w:val="912585925"/>
              <w:placeholder>
                <w:docPart w:val="{4382f856-e2d9-4a2b-ad01-a2e34fd09eb8}"/>
              </w:placeholder>
            </w:sdtPr>
            <w:sdtEndPr>
              <w:rPr>
                <w:rFonts w:eastAsiaTheme="minorEastAsia" w:cstheme="minorBidi"/>
                <w:kern w:val="2"/>
                <w:sz w:val="24"/>
                <w:szCs w:val="24"/>
              </w:rPr>
            </w:sdtEndPr>
            <w:sdtContent>
              <w:r>
                <w:rPr>
                  <w:rFonts w:eastAsiaTheme="minorEastAsia"/>
                </w:rPr>
                <w:t>4.1.2 Reliability Test</w:t>
              </w:r>
            </w:sdtContent>
          </w:sdt>
          <w:r>
            <w:tab/>
          </w:r>
          <w:bookmarkStart w:id="43" w:name="_Toc25245_WPSOffice_Level3Page"/>
          <w:r>
            <w:t>51</w:t>
          </w:r>
          <w:bookmarkEnd w:id="43"/>
          <w:r>
            <w:fldChar w:fldCharType="end"/>
          </w:r>
        </w:p>
        <w:p>
          <w:pPr>
            <w:pStyle w:val="21"/>
            <w:tabs>
              <w:tab w:val="right" w:leader="dot" w:pos="9360"/>
            </w:tabs>
            <w:ind w:left="960"/>
          </w:pPr>
          <w:r>
            <w:fldChar w:fldCharType="begin"/>
          </w:r>
          <w:r>
            <w:instrText xml:space="preserve"> HYPERLINK \l "_Toc31138_WPSOffice_Level3" </w:instrText>
          </w:r>
          <w:r>
            <w:fldChar w:fldCharType="separate"/>
          </w:r>
          <w:sdt>
            <w:sdtPr>
              <w:rPr>
                <w:rFonts w:eastAsiaTheme="minorEastAsia" w:cstheme="minorBidi"/>
                <w:kern w:val="2"/>
                <w:sz w:val="24"/>
                <w:szCs w:val="24"/>
              </w:rPr>
              <w:id w:val="-2018144150"/>
              <w:placeholder>
                <w:docPart w:val="{feb591dd-1ad0-4353-a6d2-882f8326fea7}"/>
              </w:placeholder>
            </w:sdtPr>
            <w:sdtEndPr>
              <w:rPr>
                <w:rFonts w:eastAsiaTheme="minorEastAsia" w:cstheme="minorBidi"/>
                <w:kern w:val="2"/>
                <w:sz w:val="24"/>
                <w:szCs w:val="24"/>
              </w:rPr>
            </w:sdtEndPr>
            <w:sdtContent>
              <w:r>
                <w:rPr>
                  <w:rFonts w:eastAsiaTheme="minorEastAsia"/>
                </w:rPr>
                <w:t xml:space="preserve">4.1.3 </w:t>
              </w:r>
              <w:r>
                <w:t>Correlation Matrix</w:t>
              </w:r>
            </w:sdtContent>
          </w:sdt>
          <w:r>
            <w:tab/>
          </w:r>
          <w:bookmarkStart w:id="44" w:name="_Toc31138_WPSOffice_Level3Page"/>
          <w:r>
            <w:t>53</w:t>
          </w:r>
          <w:bookmarkEnd w:id="44"/>
          <w:r>
            <w:fldChar w:fldCharType="end"/>
          </w:r>
        </w:p>
        <w:p>
          <w:pPr>
            <w:pStyle w:val="21"/>
            <w:tabs>
              <w:tab w:val="right" w:leader="dot" w:pos="9360"/>
            </w:tabs>
            <w:ind w:left="960"/>
          </w:pPr>
          <w:r>
            <w:fldChar w:fldCharType="begin"/>
          </w:r>
          <w:r>
            <w:instrText xml:space="preserve"> HYPERLINK \l "_Toc276_WPSOffice_Level3" </w:instrText>
          </w:r>
          <w:r>
            <w:fldChar w:fldCharType="separate"/>
          </w:r>
          <w:sdt>
            <w:sdtPr>
              <w:rPr>
                <w:rFonts w:eastAsiaTheme="minorEastAsia" w:cstheme="minorBidi"/>
                <w:kern w:val="2"/>
                <w:sz w:val="24"/>
                <w:szCs w:val="24"/>
              </w:rPr>
              <w:id w:val="-2131538940"/>
              <w:placeholder>
                <w:docPart w:val="{26aa4ae0-a406-46af-a2d2-ef2dd1997c6c}"/>
              </w:placeholder>
            </w:sdtPr>
            <w:sdtEndPr>
              <w:rPr>
                <w:rFonts w:eastAsiaTheme="minorEastAsia" w:cstheme="minorBidi"/>
                <w:kern w:val="2"/>
                <w:sz w:val="24"/>
                <w:szCs w:val="24"/>
              </w:rPr>
            </w:sdtEndPr>
            <w:sdtContent>
              <w:r>
                <w:rPr>
                  <w:rFonts w:eastAsiaTheme="minorEastAsia"/>
                </w:rPr>
                <w:t>4.1.</w:t>
              </w:r>
              <w:r>
                <w:rPr>
                  <w:rFonts w:hint="eastAsia" w:eastAsiaTheme="minorEastAsia"/>
                </w:rPr>
                <w:t>4</w:t>
              </w:r>
              <w:r>
                <w:rPr>
                  <w:rFonts w:eastAsiaTheme="minorEastAsia"/>
                </w:rPr>
                <w:t xml:space="preserve"> Conclusion for Pilot Test</w:t>
              </w:r>
            </w:sdtContent>
          </w:sdt>
          <w:r>
            <w:tab/>
          </w:r>
          <w:bookmarkStart w:id="45" w:name="_Toc276_WPSOffice_Level3Page"/>
          <w:r>
            <w:t>55</w:t>
          </w:r>
          <w:bookmarkEnd w:id="45"/>
          <w:r>
            <w:fldChar w:fldCharType="end"/>
          </w:r>
        </w:p>
        <w:p>
          <w:pPr>
            <w:pStyle w:val="17"/>
            <w:tabs>
              <w:tab w:val="right" w:leader="dot" w:pos="9360"/>
            </w:tabs>
            <w:ind w:left="480"/>
          </w:pPr>
          <w:r>
            <w:fldChar w:fldCharType="begin"/>
          </w:r>
          <w:r>
            <w:instrText xml:space="preserve"> HYPERLINK \l "_Toc25245_WPSOffice_Level2" </w:instrText>
          </w:r>
          <w:r>
            <w:fldChar w:fldCharType="separate"/>
          </w:r>
          <w:sdt>
            <w:sdtPr>
              <w:rPr>
                <w:kern w:val="2"/>
                <w:sz w:val="24"/>
                <w:szCs w:val="24"/>
              </w:rPr>
              <w:id w:val="-1952768753"/>
              <w:placeholder>
                <w:docPart w:val="{86f98deb-8275-40ff-b60d-966e2904caec}"/>
              </w:placeholder>
            </w:sdtPr>
            <w:sdtEndPr>
              <w:rPr>
                <w:kern w:val="2"/>
                <w:sz w:val="24"/>
                <w:szCs w:val="24"/>
              </w:rPr>
            </w:sdtEndPr>
            <w:sdtContent>
              <w:r>
                <w:rPr>
                  <w:rFonts w:cs="Times New Roman"/>
                </w:rPr>
                <w:t>4.2 Full Scale Data Collection</w:t>
              </w:r>
            </w:sdtContent>
          </w:sdt>
          <w:r>
            <w:tab/>
          </w:r>
          <w:bookmarkStart w:id="46" w:name="_Toc25245_WPSOffice_Level2Page"/>
          <w:r>
            <w:t>55</w:t>
          </w:r>
          <w:bookmarkEnd w:id="46"/>
          <w:r>
            <w:fldChar w:fldCharType="end"/>
          </w:r>
        </w:p>
        <w:p>
          <w:pPr>
            <w:pStyle w:val="17"/>
            <w:tabs>
              <w:tab w:val="right" w:leader="dot" w:pos="9360"/>
            </w:tabs>
            <w:ind w:left="480"/>
          </w:pPr>
          <w:r>
            <w:fldChar w:fldCharType="begin"/>
          </w:r>
          <w:r>
            <w:instrText xml:space="preserve"> HYPERLINK \l "_Toc31138_WPSOffice_Level2" </w:instrText>
          </w:r>
          <w:r>
            <w:fldChar w:fldCharType="separate"/>
          </w:r>
          <w:sdt>
            <w:sdtPr>
              <w:rPr>
                <w:kern w:val="2"/>
                <w:sz w:val="24"/>
                <w:szCs w:val="24"/>
              </w:rPr>
              <w:id w:val="59676013"/>
              <w:placeholder>
                <w:docPart w:val="{c9c611a1-90a9-4537-9b22-f4bfdb6c4557}"/>
              </w:placeholder>
            </w:sdtPr>
            <w:sdtEndPr>
              <w:rPr>
                <w:kern w:val="2"/>
                <w:sz w:val="24"/>
                <w:szCs w:val="24"/>
              </w:rPr>
            </w:sdtEndPr>
            <w:sdtContent>
              <w:r>
                <w:t>4.</w:t>
              </w:r>
              <w:r>
                <w:rPr>
                  <w:rFonts w:hint="eastAsia"/>
                </w:rPr>
                <w:t>3</w:t>
              </w:r>
              <w:r>
                <w:t xml:space="preserve"> Demographic Profile</w:t>
              </w:r>
            </w:sdtContent>
          </w:sdt>
          <w:r>
            <w:tab/>
          </w:r>
          <w:bookmarkStart w:id="47" w:name="_Toc31138_WPSOffice_Level2Page"/>
          <w:r>
            <w:t>56</w:t>
          </w:r>
          <w:bookmarkEnd w:id="47"/>
          <w:r>
            <w:fldChar w:fldCharType="end"/>
          </w:r>
        </w:p>
        <w:p>
          <w:pPr>
            <w:pStyle w:val="17"/>
            <w:tabs>
              <w:tab w:val="right" w:leader="dot" w:pos="9360"/>
            </w:tabs>
            <w:ind w:left="480"/>
          </w:pPr>
          <w:r>
            <w:fldChar w:fldCharType="begin"/>
          </w:r>
          <w:r>
            <w:instrText xml:space="preserve"> HYPERLINK \l "_Toc276_WPSOffice_Level2" </w:instrText>
          </w:r>
          <w:r>
            <w:fldChar w:fldCharType="separate"/>
          </w:r>
          <w:sdt>
            <w:sdtPr>
              <w:rPr>
                <w:kern w:val="2"/>
                <w:sz w:val="24"/>
                <w:szCs w:val="24"/>
              </w:rPr>
              <w:id w:val="-469287450"/>
              <w:placeholder>
                <w:docPart w:val="{8a13782d-fd62-473b-8444-51bb1b2005d5}"/>
              </w:placeholder>
            </w:sdtPr>
            <w:sdtEndPr>
              <w:rPr>
                <w:kern w:val="2"/>
                <w:sz w:val="24"/>
                <w:szCs w:val="24"/>
              </w:rPr>
            </w:sdtEndPr>
            <w:sdtContent>
              <w:r>
                <w:rPr>
                  <w:rFonts w:cs="Times New Roman"/>
                </w:rPr>
                <w:t>4.4 Preliminary Test</w:t>
              </w:r>
            </w:sdtContent>
          </w:sdt>
          <w:r>
            <w:tab/>
          </w:r>
          <w:bookmarkStart w:id="48" w:name="_Toc276_WPSOffice_Level2Page"/>
          <w:r>
            <w:t>57</w:t>
          </w:r>
          <w:bookmarkEnd w:id="48"/>
          <w:r>
            <w:fldChar w:fldCharType="end"/>
          </w:r>
        </w:p>
        <w:p>
          <w:pPr>
            <w:pStyle w:val="21"/>
            <w:tabs>
              <w:tab w:val="right" w:leader="dot" w:pos="9360"/>
            </w:tabs>
            <w:ind w:left="960"/>
          </w:pPr>
          <w:r>
            <w:fldChar w:fldCharType="begin"/>
          </w:r>
          <w:r>
            <w:instrText xml:space="preserve"> HYPERLINK \l "_Toc8687_WPSOffice_Level3" </w:instrText>
          </w:r>
          <w:r>
            <w:fldChar w:fldCharType="separate"/>
          </w:r>
          <w:sdt>
            <w:sdtPr>
              <w:rPr>
                <w:rFonts w:eastAsiaTheme="minorEastAsia" w:cstheme="minorBidi"/>
                <w:kern w:val="2"/>
                <w:sz w:val="24"/>
                <w:szCs w:val="24"/>
              </w:rPr>
              <w:id w:val="-441537746"/>
              <w:placeholder>
                <w:docPart w:val="{c71796cc-c767-41c2-90b8-f29b468f98b7}"/>
              </w:placeholder>
            </w:sdtPr>
            <w:sdtEndPr>
              <w:rPr>
                <w:rFonts w:eastAsiaTheme="minorEastAsia" w:cstheme="minorBidi"/>
                <w:kern w:val="2"/>
                <w:sz w:val="24"/>
                <w:szCs w:val="24"/>
              </w:rPr>
            </w:sdtEndPr>
            <w:sdtContent>
              <w:r>
                <w:rPr>
                  <w:rFonts w:eastAsiaTheme="minorEastAsia"/>
                </w:rPr>
                <w:t>4.4.1 Factor Analysis</w:t>
              </w:r>
            </w:sdtContent>
          </w:sdt>
          <w:r>
            <w:tab/>
          </w:r>
          <w:bookmarkStart w:id="49" w:name="_Toc8687_WPSOffice_Level3Page"/>
          <w:r>
            <w:t>58</w:t>
          </w:r>
          <w:bookmarkEnd w:id="49"/>
          <w:r>
            <w:fldChar w:fldCharType="end"/>
          </w:r>
        </w:p>
        <w:p>
          <w:pPr>
            <w:pStyle w:val="21"/>
            <w:tabs>
              <w:tab w:val="right" w:leader="dot" w:pos="9360"/>
            </w:tabs>
            <w:ind w:left="960"/>
          </w:pPr>
          <w:r>
            <w:fldChar w:fldCharType="begin"/>
          </w:r>
          <w:r>
            <w:instrText xml:space="preserve"> HYPERLINK \l "_Toc953_WPSOffice_Level3" </w:instrText>
          </w:r>
          <w:r>
            <w:fldChar w:fldCharType="separate"/>
          </w:r>
          <w:sdt>
            <w:sdtPr>
              <w:rPr>
                <w:rFonts w:eastAsiaTheme="minorEastAsia" w:cstheme="minorBidi"/>
                <w:kern w:val="2"/>
                <w:sz w:val="24"/>
                <w:szCs w:val="24"/>
              </w:rPr>
              <w:id w:val="1516418758"/>
              <w:placeholder>
                <w:docPart w:val="{a405a29a-9bb4-4a0f-9a2c-33fc444f5a14}"/>
              </w:placeholder>
            </w:sdtPr>
            <w:sdtEndPr>
              <w:rPr>
                <w:rFonts w:eastAsiaTheme="minorEastAsia" w:cstheme="minorBidi"/>
                <w:kern w:val="2"/>
                <w:sz w:val="24"/>
                <w:szCs w:val="24"/>
              </w:rPr>
            </w:sdtEndPr>
            <w:sdtContent>
              <w:r>
                <w:rPr>
                  <w:rFonts w:eastAsiaTheme="minorEastAsia"/>
                </w:rPr>
                <w:t>4.4.2 Reliability Analysis</w:t>
              </w:r>
            </w:sdtContent>
          </w:sdt>
          <w:r>
            <w:tab/>
          </w:r>
          <w:bookmarkStart w:id="50" w:name="_Toc953_WPSOffice_Level3Page"/>
          <w:r>
            <w:t>61</w:t>
          </w:r>
          <w:bookmarkEnd w:id="50"/>
          <w:r>
            <w:fldChar w:fldCharType="end"/>
          </w:r>
        </w:p>
        <w:p>
          <w:pPr>
            <w:pStyle w:val="21"/>
            <w:tabs>
              <w:tab w:val="right" w:leader="dot" w:pos="9360"/>
            </w:tabs>
            <w:ind w:left="960"/>
          </w:pPr>
          <w:r>
            <w:fldChar w:fldCharType="begin"/>
          </w:r>
          <w:r>
            <w:instrText xml:space="preserve"> HYPERLINK \l "_Toc4986_WPSOffice_Level3" </w:instrText>
          </w:r>
          <w:r>
            <w:fldChar w:fldCharType="separate"/>
          </w:r>
          <w:sdt>
            <w:sdtPr>
              <w:rPr>
                <w:rFonts w:eastAsiaTheme="minorEastAsia" w:cstheme="minorBidi"/>
                <w:kern w:val="2"/>
                <w:sz w:val="24"/>
                <w:szCs w:val="24"/>
              </w:rPr>
              <w:id w:val="952282691"/>
              <w:placeholder>
                <w:docPart w:val="{276589f0-b7d8-4590-a554-adbc9f248420}"/>
              </w:placeholder>
            </w:sdtPr>
            <w:sdtEndPr>
              <w:rPr>
                <w:rFonts w:eastAsiaTheme="minorEastAsia" w:cstheme="minorBidi"/>
                <w:kern w:val="2"/>
                <w:sz w:val="24"/>
                <w:szCs w:val="24"/>
              </w:rPr>
            </w:sdtEndPr>
            <w:sdtContent>
              <w:r>
                <w:rPr>
                  <w:rFonts w:eastAsiaTheme="minorEastAsia"/>
                </w:rPr>
                <w:t>4.</w:t>
              </w:r>
              <w:r>
                <w:rPr>
                  <w:rFonts w:hint="eastAsia" w:eastAsiaTheme="minorEastAsia"/>
                </w:rPr>
                <w:t>4.3</w:t>
              </w:r>
              <w:r>
                <w:rPr>
                  <w:rFonts w:eastAsiaTheme="minorEastAsia"/>
                </w:rPr>
                <w:t xml:space="preserve"> </w:t>
              </w:r>
              <w:r>
                <w:t>Correlation Matrix</w:t>
              </w:r>
            </w:sdtContent>
          </w:sdt>
          <w:r>
            <w:tab/>
          </w:r>
          <w:bookmarkStart w:id="51" w:name="_Toc4986_WPSOffice_Level3Page"/>
          <w:r>
            <w:t>63</w:t>
          </w:r>
          <w:bookmarkEnd w:id="51"/>
          <w:r>
            <w:fldChar w:fldCharType="end"/>
          </w:r>
        </w:p>
        <w:p>
          <w:pPr>
            <w:pStyle w:val="17"/>
            <w:tabs>
              <w:tab w:val="right" w:leader="dot" w:pos="9360"/>
            </w:tabs>
            <w:ind w:left="480"/>
          </w:pPr>
          <w:r>
            <w:fldChar w:fldCharType="begin"/>
          </w:r>
          <w:r>
            <w:instrText xml:space="preserve"> HYPERLINK \l "_Toc8687_WPSOffice_Level2" </w:instrText>
          </w:r>
          <w:r>
            <w:fldChar w:fldCharType="separate"/>
          </w:r>
          <w:sdt>
            <w:sdtPr>
              <w:rPr>
                <w:kern w:val="2"/>
                <w:sz w:val="24"/>
                <w:szCs w:val="24"/>
              </w:rPr>
              <w:id w:val="-1531650151"/>
              <w:placeholder>
                <w:docPart w:val="{38c5ae05-b037-4a09-b410-9ecd7832ed2f}"/>
              </w:placeholder>
            </w:sdtPr>
            <w:sdtEndPr>
              <w:rPr>
                <w:kern w:val="2"/>
                <w:sz w:val="24"/>
                <w:szCs w:val="24"/>
              </w:rPr>
            </w:sdtEndPr>
            <w:sdtContent>
              <w:r>
                <w:rPr>
                  <w:rFonts w:cs="Times New Roman"/>
                </w:rPr>
                <w:t>4.5 Hypotheses Analysis</w:t>
              </w:r>
            </w:sdtContent>
          </w:sdt>
          <w:r>
            <w:tab/>
          </w:r>
          <w:bookmarkStart w:id="52" w:name="_Toc8687_WPSOffice_Level2Page"/>
          <w:r>
            <w:t>65</w:t>
          </w:r>
          <w:bookmarkEnd w:id="52"/>
          <w:r>
            <w:fldChar w:fldCharType="end"/>
          </w:r>
        </w:p>
        <w:p>
          <w:pPr>
            <w:pStyle w:val="21"/>
            <w:tabs>
              <w:tab w:val="right" w:leader="dot" w:pos="9360"/>
            </w:tabs>
            <w:ind w:left="960"/>
          </w:pPr>
          <w:r>
            <w:fldChar w:fldCharType="begin"/>
          </w:r>
          <w:r>
            <w:instrText xml:space="preserve"> HYPERLINK \l "_Toc32328_WPSOffice_Level3" </w:instrText>
          </w:r>
          <w:r>
            <w:fldChar w:fldCharType="separate"/>
          </w:r>
          <w:sdt>
            <w:sdtPr>
              <w:rPr>
                <w:rFonts w:eastAsiaTheme="minorEastAsia" w:cstheme="minorBidi"/>
                <w:kern w:val="2"/>
                <w:sz w:val="24"/>
                <w:szCs w:val="24"/>
              </w:rPr>
              <w:id w:val="1291709095"/>
              <w:placeholder>
                <w:docPart w:val="{559bbb9b-7683-4e2c-896f-8ba3dc4e5e5f}"/>
              </w:placeholder>
            </w:sdtPr>
            <w:sdtEndPr>
              <w:rPr>
                <w:rFonts w:eastAsiaTheme="minorEastAsia" w:cstheme="minorBidi"/>
                <w:kern w:val="2"/>
                <w:sz w:val="24"/>
                <w:szCs w:val="24"/>
              </w:rPr>
            </w:sdtEndPr>
            <w:sdtContent>
              <w:r>
                <w:rPr>
                  <w:rFonts w:eastAsiaTheme="minorEastAsia"/>
                </w:rPr>
                <w:t>4.5.1 Multiple regression</w:t>
              </w:r>
            </w:sdtContent>
          </w:sdt>
          <w:r>
            <w:tab/>
          </w:r>
          <w:bookmarkStart w:id="53" w:name="_Toc32328_WPSOffice_Level3Page"/>
          <w:r>
            <w:t>65</w:t>
          </w:r>
          <w:bookmarkEnd w:id="53"/>
          <w:r>
            <w:fldChar w:fldCharType="end"/>
          </w:r>
        </w:p>
        <w:p>
          <w:pPr>
            <w:pStyle w:val="21"/>
            <w:tabs>
              <w:tab w:val="right" w:leader="dot" w:pos="9360"/>
            </w:tabs>
            <w:ind w:left="960"/>
          </w:pPr>
          <w:r>
            <w:fldChar w:fldCharType="begin"/>
          </w:r>
          <w:r>
            <w:instrText xml:space="preserve"> HYPERLINK \l "_Toc859_WPSOffice_Level3" </w:instrText>
          </w:r>
          <w:r>
            <w:fldChar w:fldCharType="separate"/>
          </w:r>
          <w:sdt>
            <w:sdtPr>
              <w:rPr>
                <w:rFonts w:eastAsiaTheme="minorEastAsia" w:cstheme="minorBidi"/>
                <w:kern w:val="2"/>
                <w:sz w:val="24"/>
                <w:szCs w:val="24"/>
              </w:rPr>
              <w:id w:val="2029900727"/>
              <w:placeholder>
                <w:docPart w:val="{aa44ed92-73ec-4fea-bd9c-54f465154f04}"/>
              </w:placeholder>
            </w:sdtPr>
            <w:sdtEndPr>
              <w:rPr>
                <w:rFonts w:eastAsiaTheme="minorEastAsia" w:cstheme="minorBidi"/>
                <w:kern w:val="2"/>
                <w:sz w:val="24"/>
                <w:szCs w:val="24"/>
              </w:rPr>
            </w:sdtEndPr>
            <w:sdtContent>
              <w:r>
                <w:rPr>
                  <w:rFonts w:eastAsiaTheme="minorEastAsia"/>
                </w:rPr>
                <w:t>4.5.2 Beta coefficient</w:t>
              </w:r>
            </w:sdtContent>
          </w:sdt>
          <w:r>
            <w:tab/>
          </w:r>
          <w:bookmarkStart w:id="54" w:name="_Toc859_WPSOffice_Level3Page"/>
          <w:r>
            <w:t>67</w:t>
          </w:r>
          <w:bookmarkEnd w:id="54"/>
          <w:r>
            <w:fldChar w:fldCharType="end"/>
          </w:r>
        </w:p>
        <w:p>
          <w:pPr>
            <w:pStyle w:val="21"/>
            <w:tabs>
              <w:tab w:val="right" w:leader="dot" w:pos="9360"/>
            </w:tabs>
            <w:ind w:left="960"/>
          </w:pPr>
          <w:r>
            <w:fldChar w:fldCharType="begin"/>
          </w:r>
          <w:r>
            <w:instrText xml:space="preserve"> HYPERLINK \l "_Toc10397_WPSOffice_Level3" </w:instrText>
          </w:r>
          <w:r>
            <w:fldChar w:fldCharType="separate"/>
          </w:r>
          <w:sdt>
            <w:sdtPr>
              <w:rPr>
                <w:rFonts w:eastAsiaTheme="minorEastAsia" w:cstheme="minorBidi"/>
                <w:kern w:val="2"/>
                <w:sz w:val="24"/>
                <w:szCs w:val="24"/>
              </w:rPr>
              <w:id w:val="-2098316140"/>
              <w:placeholder>
                <w:docPart w:val="{7389a73e-de78-40f4-9c2e-8e9a6e9aa899}"/>
              </w:placeholder>
            </w:sdtPr>
            <w:sdtEndPr>
              <w:rPr>
                <w:rFonts w:eastAsiaTheme="minorEastAsia" w:cstheme="minorBidi"/>
                <w:kern w:val="2"/>
                <w:sz w:val="24"/>
                <w:szCs w:val="24"/>
              </w:rPr>
            </w:sdtEndPr>
            <w:sdtContent>
              <w:r>
                <w:rPr>
                  <w:rFonts w:eastAsiaTheme="minorEastAsia"/>
                </w:rPr>
                <w:t>4.5.3 VIF/ multicollinearity</w:t>
              </w:r>
            </w:sdtContent>
          </w:sdt>
          <w:r>
            <w:tab/>
          </w:r>
          <w:bookmarkStart w:id="55" w:name="_Toc10397_WPSOffice_Level3Page"/>
          <w:r>
            <w:t>68</w:t>
          </w:r>
          <w:bookmarkEnd w:id="55"/>
          <w:r>
            <w:fldChar w:fldCharType="end"/>
          </w:r>
        </w:p>
        <w:p>
          <w:pPr>
            <w:pStyle w:val="21"/>
            <w:tabs>
              <w:tab w:val="right" w:leader="dot" w:pos="9360"/>
            </w:tabs>
            <w:ind w:left="960"/>
          </w:pPr>
          <w:r>
            <w:fldChar w:fldCharType="begin"/>
          </w:r>
          <w:r>
            <w:instrText xml:space="preserve"> HYPERLINK \l "_Toc19608_WPSOffice_Level3" </w:instrText>
          </w:r>
          <w:r>
            <w:fldChar w:fldCharType="separate"/>
          </w:r>
          <w:sdt>
            <w:sdtPr>
              <w:rPr>
                <w:rFonts w:eastAsiaTheme="minorEastAsia" w:cstheme="minorBidi"/>
                <w:kern w:val="2"/>
                <w:sz w:val="24"/>
                <w:szCs w:val="24"/>
              </w:rPr>
              <w:id w:val="1194423322"/>
              <w:placeholder>
                <w:docPart w:val="{9b4edbbb-df24-4460-bb98-eb2f63c22144}"/>
              </w:placeholder>
            </w:sdtPr>
            <w:sdtEndPr>
              <w:rPr>
                <w:rFonts w:eastAsiaTheme="minorEastAsia" w:cstheme="minorBidi"/>
                <w:kern w:val="2"/>
                <w:sz w:val="24"/>
                <w:szCs w:val="24"/>
              </w:rPr>
            </w:sdtEndPr>
            <w:sdtContent>
              <w:r>
                <w:rPr>
                  <w:rFonts w:eastAsiaTheme="minorEastAsia"/>
                </w:rPr>
                <w:t>4.5.4 Hypothesis testing and Outcome</w:t>
              </w:r>
            </w:sdtContent>
          </w:sdt>
          <w:r>
            <w:tab/>
          </w:r>
          <w:bookmarkStart w:id="56" w:name="_Toc19608_WPSOffice_Level3Page"/>
          <w:r>
            <w:t>68</w:t>
          </w:r>
          <w:bookmarkEnd w:id="56"/>
          <w:r>
            <w:fldChar w:fldCharType="end"/>
          </w:r>
        </w:p>
        <w:p>
          <w:pPr>
            <w:pStyle w:val="17"/>
            <w:tabs>
              <w:tab w:val="right" w:leader="dot" w:pos="9360"/>
            </w:tabs>
            <w:ind w:left="480"/>
          </w:pPr>
          <w:r>
            <w:fldChar w:fldCharType="begin"/>
          </w:r>
          <w:r>
            <w:instrText xml:space="preserve"> HYPERLINK \l "_Toc953_WPSOffice_Level2" </w:instrText>
          </w:r>
          <w:r>
            <w:fldChar w:fldCharType="separate"/>
          </w:r>
          <w:sdt>
            <w:sdtPr>
              <w:rPr>
                <w:kern w:val="2"/>
                <w:sz w:val="24"/>
                <w:szCs w:val="24"/>
              </w:rPr>
              <w:id w:val="1602837247"/>
              <w:placeholder>
                <w:docPart w:val="{4ab321c7-a663-4628-b429-f0c3779337df}"/>
              </w:placeholder>
            </w:sdtPr>
            <w:sdtEndPr>
              <w:rPr>
                <w:kern w:val="2"/>
                <w:sz w:val="24"/>
                <w:szCs w:val="24"/>
              </w:rPr>
            </w:sdtEndPr>
            <w:sdtContent>
              <w:r>
                <w:t>4.6 Summary of Findings</w:t>
              </w:r>
            </w:sdtContent>
          </w:sdt>
          <w:r>
            <w:tab/>
          </w:r>
          <w:bookmarkStart w:id="57" w:name="_Toc953_WPSOffice_Level2Page"/>
          <w:r>
            <w:t>69</w:t>
          </w:r>
          <w:bookmarkEnd w:id="57"/>
          <w:r>
            <w:fldChar w:fldCharType="end"/>
          </w:r>
        </w:p>
        <w:p>
          <w:pPr>
            <w:pStyle w:val="17"/>
            <w:tabs>
              <w:tab w:val="right" w:leader="dot" w:pos="9360"/>
            </w:tabs>
            <w:ind w:left="480"/>
          </w:pPr>
          <w:r>
            <w:fldChar w:fldCharType="begin"/>
          </w:r>
          <w:r>
            <w:instrText xml:space="preserve"> HYPERLINK \l "_Toc4986_WPSOffice_Level2" </w:instrText>
          </w:r>
          <w:r>
            <w:fldChar w:fldCharType="separate"/>
          </w:r>
          <w:sdt>
            <w:sdtPr>
              <w:rPr>
                <w:kern w:val="2"/>
                <w:sz w:val="24"/>
                <w:szCs w:val="24"/>
              </w:rPr>
              <w:id w:val="1239514989"/>
              <w:placeholder>
                <w:docPart w:val="{6627c18f-86c5-4f9d-af60-6e4935f60121}"/>
              </w:placeholder>
            </w:sdtPr>
            <w:sdtEndPr>
              <w:rPr>
                <w:kern w:val="2"/>
                <w:sz w:val="24"/>
                <w:szCs w:val="24"/>
              </w:rPr>
            </w:sdtEndPr>
            <w:sdtContent>
              <w:r>
                <w:t>4.7 Conclusion</w:t>
              </w:r>
            </w:sdtContent>
          </w:sdt>
          <w:r>
            <w:tab/>
          </w:r>
          <w:bookmarkStart w:id="58" w:name="_Toc4986_WPSOffice_Level2Page"/>
          <w:r>
            <w:t>72</w:t>
          </w:r>
          <w:bookmarkEnd w:id="58"/>
          <w:r>
            <w:fldChar w:fldCharType="end"/>
          </w:r>
        </w:p>
        <w:p>
          <w:pPr>
            <w:pStyle w:val="16"/>
            <w:tabs>
              <w:tab w:val="right" w:leader="dot" w:pos="9360"/>
            </w:tabs>
          </w:pPr>
          <w:r>
            <w:fldChar w:fldCharType="begin"/>
          </w:r>
          <w:r>
            <w:instrText xml:space="preserve"> HYPERLINK \l "_Toc25736_WPSOffice_Level1" </w:instrText>
          </w:r>
          <w:r>
            <w:fldChar w:fldCharType="separate"/>
          </w:r>
          <w:sdt>
            <w:sdtPr>
              <w:rPr>
                <w:rFonts w:ascii="Times New Roman" w:hAnsi="Times New Roman" w:eastAsiaTheme="minorEastAsia"/>
                <w:kern w:val="2"/>
                <w:sz w:val="24"/>
                <w:szCs w:val="24"/>
              </w:rPr>
              <w:id w:val="-1031183106"/>
              <w:placeholder>
                <w:docPart w:val="{7f29a37a-00d2-4e95-ad0c-8f63fc285b2b}"/>
              </w:placeholder>
            </w:sdtPr>
            <w:sdtEndPr>
              <w:rPr>
                <w:rFonts w:ascii="Times New Roman" w:hAnsi="Times New Roman" w:eastAsiaTheme="minorEastAsia"/>
                <w:kern w:val="2"/>
                <w:sz w:val="24"/>
                <w:szCs w:val="24"/>
              </w:rPr>
            </w:sdtEndPr>
            <w:sdtContent>
              <w:r>
                <w:rPr>
                  <w:rFonts w:hint="eastAsia" w:ascii="Times New Roman" w:hAnsi="Times New Roman" w:cs="Times New Roman" w:eastAsiaTheme="minorEastAsia"/>
                </w:rPr>
                <w:t>CHAPTER</w:t>
              </w:r>
              <w:r>
                <w:rPr>
                  <w:rFonts w:ascii="Times New Roman" w:hAnsi="Times New Roman" w:cs="Times New Roman" w:eastAsiaTheme="minorEastAsia"/>
                </w:rPr>
                <w:t xml:space="preserve"> 5</w:t>
              </w:r>
              <w:r>
                <w:rPr>
                  <w:rFonts w:hint="eastAsia" w:ascii="Times New Roman" w:hAnsi="Times New Roman" w:cs="Times New Roman" w:eastAsiaTheme="minorEastAsia"/>
                </w:rPr>
                <w:t>.</w:t>
              </w:r>
              <w:r>
                <w:rPr>
                  <w:rFonts w:ascii="Times New Roman" w:hAnsi="Times New Roman" w:cs="Times New Roman" w:eastAsiaTheme="minorEastAsia"/>
                </w:rPr>
                <w:t xml:space="preserve"> C</w:t>
              </w:r>
              <w:r>
                <w:rPr>
                  <w:rFonts w:hint="eastAsia" w:ascii="Times New Roman" w:hAnsi="Times New Roman" w:cs="Times New Roman" w:eastAsiaTheme="minorEastAsia"/>
                </w:rPr>
                <w:t>ONCLUSION</w:t>
              </w:r>
              <w:r>
                <w:rPr>
                  <w:rFonts w:ascii="Times New Roman" w:hAnsi="Times New Roman" w:cs="Times New Roman" w:eastAsiaTheme="minorEastAsia"/>
                </w:rPr>
                <w:t xml:space="preserve"> </w:t>
              </w:r>
              <w:r>
                <w:rPr>
                  <w:rFonts w:hint="eastAsia" w:ascii="Times New Roman" w:hAnsi="Times New Roman" w:cs="Times New Roman" w:eastAsiaTheme="minorEastAsia"/>
                </w:rPr>
                <w:t>AND</w:t>
              </w:r>
              <w:r>
                <w:rPr>
                  <w:rFonts w:ascii="Times New Roman" w:hAnsi="Times New Roman" w:cs="Times New Roman" w:eastAsiaTheme="minorEastAsia"/>
                </w:rPr>
                <w:t xml:space="preserve"> </w:t>
              </w:r>
              <w:r>
                <w:rPr>
                  <w:rFonts w:hint="eastAsia" w:ascii="Times New Roman" w:hAnsi="Times New Roman" w:cs="Times New Roman" w:eastAsiaTheme="minorEastAsia"/>
                </w:rPr>
                <w:t>RECOMMENDATIONS</w:t>
              </w:r>
            </w:sdtContent>
          </w:sdt>
          <w:r>
            <w:tab/>
          </w:r>
          <w:bookmarkStart w:id="59" w:name="_Toc25736_WPSOffice_Level1Page"/>
          <w:r>
            <w:t>73</w:t>
          </w:r>
          <w:bookmarkEnd w:id="59"/>
          <w:r>
            <w:fldChar w:fldCharType="end"/>
          </w:r>
        </w:p>
        <w:p>
          <w:pPr>
            <w:pStyle w:val="16"/>
            <w:tabs>
              <w:tab w:val="right" w:leader="dot" w:pos="9360"/>
            </w:tabs>
          </w:pPr>
          <w:r>
            <w:fldChar w:fldCharType="begin"/>
          </w:r>
          <w:r>
            <w:instrText xml:space="preserve"> HYPERLINK \l "_Toc25010_WPSOffice_Level1" </w:instrText>
          </w:r>
          <w:r>
            <w:fldChar w:fldCharType="separate"/>
          </w:r>
          <w:sdt>
            <w:sdtPr>
              <w:rPr>
                <w:rFonts w:ascii="Times New Roman" w:hAnsi="Times New Roman" w:eastAsiaTheme="minorEastAsia"/>
                <w:kern w:val="2"/>
                <w:sz w:val="24"/>
                <w:szCs w:val="24"/>
              </w:rPr>
              <w:id w:val="-1163470250"/>
              <w:placeholder>
                <w:docPart w:val="{cd8ec2e3-aaea-4229-bc36-d60aceda0afc}"/>
              </w:placeholder>
            </w:sdtPr>
            <w:sdtEndPr>
              <w:rPr>
                <w:rFonts w:ascii="Times New Roman" w:hAnsi="Times New Roman" w:eastAsiaTheme="minorEastAsia"/>
                <w:kern w:val="2"/>
                <w:sz w:val="24"/>
                <w:szCs w:val="24"/>
              </w:rPr>
            </w:sdtEndPr>
            <w:sdtContent>
              <w:r>
                <w:rPr>
                  <w:rFonts w:ascii="Times New Roman" w:hAnsi="Times New Roman" w:eastAsiaTheme="minorEastAsia"/>
                </w:rPr>
                <w:t xml:space="preserve">5.0 </w:t>
              </w:r>
              <w:r>
                <w:rPr>
                  <w:rFonts w:hint="eastAsia" w:ascii="Times New Roman" w:hAnsi="Times New Roman" w:eastAsiaTheme="minorEastAsia"/>
                </w:rPr>
                <w:t>O</w:t>
              </w:r>
              <w:r>
                <w:rPr>
                  <w:rFonts w:ascii="Times New Roman" w:hAnsi="Times New Roman" w:eastAsiaTheme="minorEastAsia"/>
                </w:rPr>
                <w:t>verview</w:t>
              </w:r>
            </w:sdtContent>
          </w:sdt>
          <w:r>
            <w:tab/>
          </w:r>
          <w:bookmarkStart w:id="60" w:name="_Toc25010_WPSOffice_Level1Page"/>
          <w:r>
            <w:t>73</w:t>
          </w:r>
          <w:bookmarkEnd w:id="60"/>
          <w:r>
            <w:fldChar w:fldCharType="end"/>
          </w:r>
        </w:p>
        <w:p>
          <w:pPr>
            <w:pStyle w:val="17"/>
            <w:tabs>
              <w:tab w:val="right" w:leader="dot" w:pos="9360"/>
            </w:tabs>
            <w:ind w:left="480"/>
          </w:pPr>
          <w:r>
            <w:fldChar w:fldCharType="begin"/>
          </w:r>
          <w:r>
            <w:instrText xml:space="preserve"> HYPERLINK \l "_Toc32328_WPSOffice_Level2" </w:instrText>
          </w:r>
          <w:r>
            <w:fldChar w:fldCharType="separate"/>
          </w:r>
          <w:sdt>
            <w:sdtPr>
              <w:rPr>
                <w:kern w:val="2"/>
                <w:sz w:val="24"/>
                <w:szCs w:val="24"/>
              </w:rPr>
              <w:id w:val="-2029555980"/>
              <w:placeholder>
                <w:docPart w:val="{5c0051b4-28d4-4997-a648-81338c07c778}"/>
              </w:placeholder>
            </w:sdtPr>
            <w:sdtEndPr>
              <w:rPr>
                <w:kern w:val="2"/>
                <w:sz w:val="24"/>
                <w:szCs w:val="24"/>
              </w:rPr>
            </w:sdtEndPr>
            <w:sdtContent>
              <w:r>
                <w:t>5.1 Discussion of findings</w:t>
              </w:r>
            </w:sdtContent>
          </w:sdt>
          <w:r>
            <w:tab/>
          </w:r>
          <w:bookmarkStart w:id="61" w:name="_Toc32328_WPSOffice_Level2Page"/>
          <w:r>
            <w:t>73</w:t>
          </w:r>
          <w:bookmarkEnd w:id="61"/>
          <w:r>
            <w:fldChar w:fldCharType="end"/>
          </w:r>
        </w:p>
        <w:p>
          <w:pPr>
            <w:pStyle w:val="17"/>
            <w:tabs>
              <w:tab w:val="right" w:leader="dot" w:pos="9360"/>
            </w:tabs>
            <w:ind w:left="480"/>
          </w:pPr>
          <w:r>
            <w:fldChar w:fldCharType="begin"/>
          </w:r>
          <w:r>
            <w:instrText xml:space="preserve"> HYPERLINK \l "_Toc859_WPSOffice_Level2" </w:instrText>
          </w:r>
          <w:r>
            <w:fldChar w:fldCharType="separate"/>
          </w:r>
          <w:sdt>
            <w:sdtPr>
              <w:rPr>
                <w:kern w:val="2"/>
                <w:sz w:val="24"/>
                <w:szCs w:val="24"/>
              </w:rPr>
              <w:id w:val="-809320210"/>
              <w:placeholder>
                <w:docPart w:val="{8d021866-fc34-4c6a-9235-a2d10a9ca1fd}"/>
              </w:placeholder>
            </w:sdtPr>
            <w:sdtEndPr>
              <w:rPr>
                <w:kern w:val="2"/>
                <w:sz w:val="24"/>
                <w:szCs w:val="24"/>
              </w:rPr>
            </w:sdtEndPr>
            <w:sdtContent>
              <w:r>
                <w:rPr>
                  <w:rFonts w:cs="Times New Roman"/>
                </w:rPr>
                <w:t>5.2 Recommendations</w:t>
              </w:r>
            </w:sdtContent>
          </w:sdt>
          <w:r>
            <w:tab/>
          </w:r>
          <w:bookmarkStart w:id="62" w:name="_Toc859_WPSOffice_Level2Page"/>
          <w:r>
            <w:t>75</w:t>
          </w:r>
          <w:bookmarkEnd w:id="62"/>
          <w:r>
            <w:fldChar w:fldCharType="end"/>
          </w:r>
        </w:p>
        <w:p>
          <w:pPr>
            <w:pStyle w:val="17"/>
            <w:tabs>
              <w:tab w:val="right" w:leader="dot" w:pos="9360"/>
            </w:tabs>
            <w:ind w:left="480"/>
          </w:pPr>
          <w:r>
            <w:fldChar w:fldCharType="begin"/>
          </w:r>
          <w:r>
            <w:instrText xml:space="preserve"> HYPERLINK \l "_Toc10397_WPSOffice_Level2" </w:instrText>
          </w:r>
          <w:r>
            <w:fldChar w:fldCharType="separate"/>
          </w:r>
          <w:sdt>
            <w:sdtPr>
              <w:rPr>
                <w:kern w:val="2"/>
                <w:sz w:val="24"/>
                <w:szCs w:val="24"/>
              </w:rPr>
              <w:id w:val="-822345181"/>
              <w:placeholder>
                <w:docPart w:val="{b7ff714c-5998-4a19-850b-8f5db174c9f8}"/>
              </w:placeholder>
            </w:sdtPr>
            <w:sdtEndPr>
              <w:rPr>
                <w:kern w:val="2"/>
                <w:sz w:val="24"/>
                <w:szCs w:val="24"/>
              </w:rPr>
            </w:sdtEndPr>
            <w:sdtContent>
              <w:r>
                <w:t>5.3 Contribution</w:t>
              </w:r>
            </w:sdtContent>
          </w:sdt>
          <w:r>
            <w:tab/>
          </w:r>
          <w:bookmarkStart w:id="63" w:name="_Toc10397_WPSOffice_Level2Page"/>
          <w:r>
            <w:t>77</w:t>
          </w:r>
          <w:bookmarkEnd w:id="63"/>
          <w:r>
            <w:fldChar w:fldCharType="end"/>
          </w:r>
        </w:p>
        <w:p>
          <w:pPr>
            <w:pStyle w:val="21"/>
            <w:tabs>
              <w:tab w:val="right" w:leader="dot" w:pos="9360"/>
            </w:tabs>
            <w:ind w:left="960"/>
          </w:pPr>
          <w:r>
            <w:fldChar w:fldCharType="begin"/>
          </w:r>
          <w:r>
            <w:instrText xml:space="preserve"> HYPERLINK \l "_Toc20950_WPSOffice_Level3" </w:instrText>
          </w:r>
          <w:r>
            <w:fldChar w:fldCharType="separate"/>
          </w:r>
          <w:sdt>
            <w:sdtPr>
              <w:rPr>
                <w:rFonts w:eastAsiaTheme="minorEastAsia" w:cstheme="minorBidi"/>
                <w:kern w:val="2"/>
                <w:sz w:val="24"/>
                <w:szCs w:val="24"/>
              </w:rPr>
              <w:id w:val="1413436249"/>
              <w:placeholder>
                <w:docPart w:val="{e2e953aa-e8c2-4235-b711-08d55b3cee2b}"/>
              </w:placeholder>
            </w:sdtPr>
            <w:sdtEndPr>
              <w:rPr>
                <w:rFonts w:eastAsiaTheme="minorEastAsia" w:cstheme="minorBidi"/>
                <w:kern w:val="2"/>
                <w:sz w:val="24"/>
                <w:szCs w:val="24"/>
              </w:rPr>
            </w:sdtEndPr>
            <w:sdtContent>
              <w:r>
                <w:rPr>
                  <w:rFonts w:eastAsiaTheme="minorEastAsia"/>
                </w:rPr>
                <w:t>5.3.1 Contribution to Academia</w:t>
              </w:r>
            </w:sdtContent>
          </w:sdt>
          <w:r>
            <w:tab/>
          </w:r>
          <w:bookmarkStart w:id="64" w:name="_Toc20950_WPSOffice_Level3Page"/>
          <w:r>
            <w:t>77</w:t>
          </w:r>
          <w:bookmarkEnd w:id="64"/>
          <w:r>
            <w:fldChar w:fldCharType="end"/>
          </w:r>
        </w:p>
        <w:p>
          <w:pPr>
            <w:pStyle w:val="21"/>
            <w:tabs>
              <w:tab w:val="right" w:leader="dot" w:pos="9360"/>
            </w:tabs>
            <w:ind w:left="960"/>
          </w:pPr>
          <w:r>
            <w:fldChar w:fldCharType="begin"/>
          </w:r>
          <w:r>
            <w:instrText xml:space="preserve"> HYPERLINK \l "_Toc10558_WPSOffice_Level3" </w:instrText>
          </w:r>
          <w:r>
            <w:fldChar w:fldCharType="separate"/>
          </w:r>
          <w:sdt>
            <w:sdtPr>
              <w:rPr>
                <w:rFonts w:eastAsiaTheme="minorEastAsia" w:cstheme="minorBidi"/>
                <w:kern w:val="2"/>
                <w:sz w:val="24"/>
                <w:szCs w:val="24"/>
              </w:rPr>
              <w:id w:val="-529875465"/>
              <w:placeholder>
                <w:docPart w:val="{8029264c-e37b-4385-b610-8bc17b5afcb6}"/>
              </w:placeholder>
            </w:sdtPr>
            <w:sdtEndPr>
              <w:rPr>
                <w:rFonts w:eastAsiaTheme="minorEastAsia" w:cstheme="minorBidi"/>
                <w:kern w:val="2"/>
                <w:sz w:val="24"/>
                <w:szCs w:val="24"/>
              </w:rPr>
            </w:sdtEndPr>
            <w:sdtContent>
              <w:r>
                <w:rPr>
                  <w:rFonts w:eastAsiaTheme="minorEastAsia" w:cstheme="minorBidi"/>
                </w:rPr>
                <w:t>5.3.2 Contribution to Industry</w:t>
              </w:r>
            </w:sdtContent>
          </w:sdt>
          <w:r>
            <w:tab/>
          </w:r>
          <w:bookmarkStart w:id="65" w:name="_Toc10558_WPSOffice_Level3Page"/>
          <w:r>
            <w:t>78</w:t>
          </w:r>
          <w:bookmarkEnd w:id="65"/>
          <w:r>
            <w:fldChar w:fldCharType="end"/>
          </w:r>
        </w:p>
        <w:p>
          <w:pPr>
            <w:pStyle w:val="17"/>
            <w:tabs>
              <w:tab w:val="right" w:leader="dot" w:pos="9360"/>
            </w:tabs>
            <w:ind w:left="480"/>
          </w:pPr>
          <w:r>
            <w:fldChar w:fldCharType="begin"/>
          </w:r>
          <w:r>
            <w:instrText xml:space="preserve"> HYPERLINK \l "_Toc19608_WPSOffice_Level2" </w:instrText>
          </w:r>
          <w:r>
            <w:fldChar w:fldCharType="separate"/>
          </w:r>
          <w:sdt>
            <w:sdtPr>
              <w:rPr>
                <w:kern w:val="2"/>
                <w:sz w:val="24"/>
                <w:szCs w:val="24"/>
              </w:rPr>
              <w:id w:val="568845040"/>
              <w:placeholder>
                <w:docPart w:val="{83d47eb0-1cfe-4c98-a61f-7b4cfaaec231}"/>
              </w:placeholder>
            </w:sdtPr>
            <w:sdtEndPr>
              <w:rPr>
                <w:kern w:val="2"/>
                <w:sz w:val="24"/>
                <w:szCs w:val="24"/>
              </w:rPr>
            </w:sdtEndPr>
            <w:sdtContent>
              <w:r>
                <w:t>5.4 Future research direction</w:t>
              </w:r>
            </w:sdtContent>
          </w:sdt>
          <w:r>
            <w:tab/>
          </w:r>
          <w:bookmarkStart w:id="66" w:name="_Toc19608_WPSOffice_Level2Page"/>
          <w:r>
            <w:t>78</w:t>
          </w:r>
          <w:bookmarkEnd w:id="66"/>
          <w:r>
            <w:fldChar w:fldCharType="end"/>
          </w:r>
        </w:p>
        <w:p>
          <w:pPr>
            <w:pStyle w:val="17"/>
            <w:tabs>
              <w:tab w:val="right" w:leader="dot" w:pos="9360"/>
            </w:tabs>
            <w:ind w:left="480"/>
          </w:pPr>
          <w:r>
            <w:fldChar w:fldCharType="begin"/>
          </w:r>
          <w:r>
            <w:instrText xml:space="preserve"> HYPERLINK \l "_Toc20950_WPSOffice_Level2" </w:instrText>
          </w:r>
          <w:r>
            <w:fldChar w:fldCharType="separate"/>
          </w:r>
          <w:sdt>
            <w:sdtPr>
              <w:rPr>
                <w:kern w:val="2"/>
                <w:sz w:val="24"/>
                <w:szCs w:val="24"/>
              </w:rPr>
              <w:id w:val="1839038656"/>
              <w:placeholder>
                <w:docPart w:val="{577b862f-c9f0-4597-bdf7-266e257ad4b1}"/>
              </w:placeholder>
            </w:sdtPr>
            <w:sdtEndPr>
              <w:rPr>
                <w:kern w:val="2"/>
                <w:sz w:val="24"/>
                <w:szCs w:val="24"/>
              </w:rPr>
            </w:sdtEndPr>
            <w:sdtContent>
              <w:r>
                <w:rPr>
                  <w:rFonts w:cs="Times New Roman"/>
                </w:rPr>
                <w:t>5.5 Personal reflection</w:t>
              </w:r>
            </w:sdtContent>
          </w:sdt>
          <w:r>
            <w:tab/>
          </w:r>
          <w:bookmarkStart w:id="67" w:name="_Toc20950_WPSOffice_Level2Page"/>
          <w:r>
            <w:t>79</w:t>
          </w:r>
          <w:bookmarkEnd w:id="67"/>
          <w:r>
            <w:fldChar w:fldCharType="end"/>
          </w:r>
        </w:p>
        <w:p>
          <w:pPr>
            <w:pStyle w:val="17"/>
            <w:tabs>
              <w:tab w:val="right" w:leader="dot" w:pos="9360"/>
            </w:tabs>
            <w:ind w:left="480"/>
          </w:pPr>
          <w:r>
            <w:fldChar w:fldCharType="begin"/>
          </w:r>
          <w:r>
            <w:instrText xml:space="preserve"> HYPERLINK \l "_Toc10558_WPSOffice_Level2" </w:instrText>
          </w:r>
          <w:r>
            <w:fldChar w:fldCharType="separate"/>
          </w:r>
          <w:sdt>
            <w:sdtPr>
              <w:rPr>
                <w:kern w:val="2"/>
                <w:sz w:val="24"/>
                <w:szCs w:val="24"/>
              </w:rPr>
              <w:id w:val="-1850932186"/>
              <w:placeholder>
                <w:docPart w:val="{548e2bc2-bb6e-4208-a984-882b4cb6e277}"/>
              </w:placeholder>
            </w:sdtPr>
            <w:sdtEndPr>
              <w:rPr>
                <w:kern w:val="2"/>
                <w:sz w:val="24"/>
                <w:szCs w:val="24"/>
              </w:rPr>
            </w:sdtEndPr>
            <w:sdtContent>
              <w:r>
                <w:rPr>
                  <w:rFonts w:cs="Times New Roman"/>
                </w:rPr>
                <w:t>5.6 conclusion</w:t>
              </w:r>
            </w:sdtContent>
          </w:sdt>
          <w:r>
            <w:tab/>
          </w:r>
          <w:bookmarkStart w:id="68" w:name="_Toc10558_WPSOffice_Level2Page"/>
          <w:r>
            <w:t>80</w:t>
          </w:r>
          <w:bookmarkEnd w:id="68"/>
          <w:r>
            <w:fldChar w:fldCharType="end"/>
          </w:r>
        </w:p>
        <w:p>
          <w:pPr>
            <w:pStyle w:val="16"/>
            <w:tabs>
              <w:tab w:val="right" w:leader="dot" w:pos="9360"/>
            </w:tabs>
          </w:pPr>
          <w:r>
            <w:fldChar w:fldCharType="begin"/>
          </w:r>
          <w:r>
            <w:instrText xml:space="preserve"> HYPERLINK \l "_Toc3526_WPSOffice_Level1" </w:instrText>
          </w:r>
          <w:r>
            <w:fldChar w:fldCharType="separate"/>
          </w:r>
          <w:sdt>
            <w:sdtPr>
              <w:rPr>
                <w:rFonts w:ascii="Times New Roman" w:hAnsi="Times New Roman" w:eastAsiaTheme="minorEastAsia"/>
                <w:kern w:val="2"/>
                <w:sz w:val="24"/>
                <w:szCs w:val="24"/>
              </w:rPr>
              <w:id w:val="-2114979683"/>
              <w:placeholder>
                <w:docPart w:val="{15e2a078-e62b-48a0-8576-4b834a097ce3}"/>
              </w:placeholder>
            </w:sdtPr>
            <w:sdtEndPr>
              <w:rPr>
                <w:rFonts w:ascii="Times New Roman" w:hAnsi="Times New Roman" w:eastAsiaTheme="minorEastAsia"/>
                <w:kern w:val="2"/>
                <w:sz w:val="24"/>
                <w:szCs w:val="24"/>
              </w:rPr>
            </w:sdtEndPr>
            <w:sdtContent>
              <w:r>
                <w:rPr>
                  <w:rFonts w:ascii="Times New Roman" w:hAnsi="Times New Roman" w:cs="Times New Roman" w:eastAsiaTheme="minorEastAsia"/>
                </w:rPr>
                <w:t>REFERENCES</w:t>
              </w:r>
            </w:sdtContent>
          </w:sdt>
          <w:r>
            <w:tab/>
          </w:r>
          <w:bookmarkStart w:id="69" w:name="_Toc3526_WPSOffice_Level1Page"/>
          <w:r>
            <w:t>81</w:t>
          </w:r>
          <w:bookmarkEnd w:id="69"/>
          <w:r>
            <w:fldChar w:fldCharType="end"/>
          </w:r>
        </w:p>
        <w:p>
          <w:pPr>
            <w:pStyle w:val="16"/>
            <w:tabs>
              <w:tab w:val="right" w:leader="dot" w:pos="9360"/>
            </w:tabs>
          </w:pPr>
          <w:r>
            <w:fldChar w:fldCharType="begin"/>
          </w:r>
          <w:r>
            <w:instrText xml:space="preserve"> HYPERLINK \l "_Toc16964_WPSOffice_Level1" </w:instrText>
          </w:r>
          <w:r>
            <w:fldChar w:fldCharType="separate"/>
          </w:r>
          <w:sdt>
            <w:sdtPr>
              <w:rPr>
                <w:rFonts w:ascii="Times New Roman" w:hAnsi="Times New Roman" w:eastAsiaTheme="minorEastAsia"/>
                <w:kern w:val="2"/>
                <w:sz w:val="24"/>
                <w:szCs w:val="24"/>
              </w:rPr>
              <w:id w:val="233674946"/>
              <w:placeholder>
                <w:docPart w:val="{007150f5-fbda-4fe0-925d-5b3fb3ffd4de}"/>
              </w:placeholder>
            </w:sdtPr>
            <w:sdtEndPr>
              <w:rPr>
                <w:rFonts w:ascii="Times New Roman" w:hAnsi="Times New Roman" w:eastAsiaTheme="minorEastAsia"/>
                <w:kern w:val="2"/>
                <w:sz w:val="24"/>
                <w:szCs w:val="24"/>
              </w:rPr>
            </w:sdtEndPr>
            <w:sdtContent>
              <w:r>
                <w:rPr>
                  <w:rFonts w:hint="eastAsia" w:ascii="Times New Roman" w:hAnsi="Times New Roman" w:eastAsiaTheme="minorEastAsia"/>
                </w:rPr>
                <w:t xml:space="preserve">APPENDIX </w:t>
              </w:r>
            </w:sdtContent>
          </w:sdt>
          <w:r>
            <w:tab/>
          </w:r>
          <w:bookmarkStart w:id="70" w:name="_Toc16964_WPSOffice_Level1Page"/>
          <w:r>
            <w:t>95</w:t>
          </w:r>
          <w:bookmarkEnd w:id="70"/>
          <w:r>
            <w:fldChar w:fldCharType="end"/>
          </w:r>
        </w:p>
        <w:p>
          <w:pPr>
            <w:pStyle w:val="16"/>
            <w:tabs>
              <w:tab w:val="right" w:leader="dot" w:pos="9360"/>
            </w:tabs>
          </w:pPr>
        </w:p>
      </w:sdtContent>
    </w:sdt>
    <w:bookmarkEnd w:id="0"/>
    <w:p>
      <w:pPr>
        <w:spacing w:before="120" w:after="120"/>
      </w:pPr>
    </w:p>
    <w:p>
      <w:pPr>
        <w:spacing w:before="120" w:after="120"/>
      </w:pPr>
    </w:p>
    <w:p>
      <w:pPr>
        <w:spacing w:before="120" w:after="120"/>
      </w:pPr>
    </w:p>
    <w:p>
      <w:pPr>
        <w:spacing w:before="120" w:after="120"/>
      </w:pPr>
    </w:p>
    <w:p>
      <w:pPr>
        <w:spacing w:before="120" w:after="120"/>
        <w:sectPr>
          <w:footerReference r:id="rId6" w:type="default"/>
          <w:pgSz w:w="12240" w:h="15840"/>
          <w:pgMar w:top="1440" w:right="1440" w:bottom="1440" w:left="1440" w:header="720" w:footer="720" w:gutter="0"/>
          <w:pgNumType w:start="1"/>
          <w:cols w:space="720" w:num="1"/>
          <w:docGrid w:linePitch="360" w:charSpace="0"/>
        </w:sectPr>
      </w:pPr>
    </w:p>
    <w:p>
      <w:pPr>
        <w:spacing w:before="120" w:after="120"/>
      </w:pPr>
    </w:p>
    <w:p>
      <w:pPr>
        <w:pStyle w:val="2"/>
        <w:spacing w:before="360" w:after="120" w:line="480" w:lineRule="auto"/>
      </w:pPr>
      <w:bookmarkStart w:id="71" w:name="_Toc13882_WPSOffice_Level1"/>
      <w:bookmarkStart w:id="72" w:name="_Toc18246_WPSOffice_Level1"/>
      <w:r>
        <w:t>CHAPTER</w:t>
      </w:r>
      <w:r>
        <w:rPr>
          <w:spacing w:val="-1"/>
        </w:rPr>
        <w:t xml:space="preserve"> </w:t>
      </w:r>
      <w:r>
        <w:t>1</w:t>
      </w:r>
      <w:r>
        <w:rPr>
          <w:rFonts w:hint="eastAsia"/>
        </w:rPr>
        <w:t xml:space="preserve">. </w:t>
      </w:r>
      <w:r>
        <w:t>INTRODUCTION</w:t>
      </w:r>
      <w:bookmarkEnd w:id="71"/>
      <w:bookmarkEnd w:id="72"/>
    </w:p>
    <w:p>
      <w:pPr>
        <w:pStyle w:val="2"/>
        <w:spacing w:before="360" w:after="120"/>
      </w:pPr>
      <w:bookmarkStart w:id="73" w:name="_Toc19410_WPSOffice_Level1"/>
      <w:bookmarkStart w:id="74" w:name="_Toc15557_WPSOffice_Level1"/>
      <w:r>
        <w:rPr>
          <w:rFonts w:hint="eastAsia"/>
        </w:rPr>
        <w:t>1.0 Overview</w:t>
      </w:r>
      <w:bookmarkEnd w:id="73"/>
      <w:bookmarkEnd w:id="74"/>
    </w:p>
    <w:p>
      <w:pPr>
        <w:spacing w:before="120" w:after="120"/>
      </w:pPr>
      <w:r>
        <w:t>This chapter provides the overview with regards to western corporate culture influences on education industry in China</w:t>
      </w:r>
      <w:r>
        <w:rPr>
          <w:rFonts w:hint="eastAsia"/>
        </w:rPr>
        <w:t>.</w:t>
      </w:r>
      <w:r>
        <w:t xml:space="preserve"> </w:t>
      </w:r>
      <w:r>
        <w:rPr>
          <w:rFonts w:hint="eastAsia"/>
        </w:rPr>
        <w:t>F</w:t>
      </w:r>
      <w:r>
        <w:t xml:space="preserve">ollowing by problem statement, research questions and research objectives, to determine the research’s intentions. Next, significance of study, scope and limitation of the research will be discussed further in this section. Operational definitions and organization of chapters will then be the last topics to be </w:t>
      </w:r>
      <w:r>
        <w:rPr>
          <w:rFonts w:hint="eastAsia"/>
        </w:rPr>
        <w:t>addressed accordingly</w:t>
      </w:r>
      <w:r>
        <w:t xml:space="preserve">. </w:t>
      </w:r>
    </w:p>
    <w:p>
      <w:pPr>
        <w:spacing w:before="120" w:after="120"/>
        <w:rPr>
          <w:rFonts w:cs="Times New Roman"/>
        </w:rPr>
      </w:pPr>
    </w:p>
    <w:p>
      <w:pPr>
        <w:pStyle w:val="2"/>
        <w:numPr>
          <w:ilvl w:val="1"/>
          <w:numId w:val="1"/>
        </w:numPr>
        <w:spacing w:before="360" w:after="120"/>
      </w:pPr>
      <w:bookmarkStart w:id="75" w:name="_Toc436914157"/>
      <w:bookmarkStart w:id="76" w:name="_Toc436668254"/>
      <w:bookmarkStart w:id="77" w:name="_Toc19410_WPSOffice_Level2"/>
      <w:bookmarkStart w:id="78" w:name="_Toc15557_WPSOffice_Level2"/>
      <w:r>
        <w:t>Background of the study</w:t>
      </w:r>
      <w:bookmarkEnd w:id="75"/>
      <w:bookmarkEnd w:id="76"/>
      <w:bookmarkEnd w:id="77"/>
      <w:bookmarkEnd w:id="78"/>
    </w:p>
    <w:p>
      <w:pPr>
        <w:spacing w:before="120" w:after="120"/>
      </w:pPr>
      <w:bookmarkStart w:id="79" w:name="OLE_LINK2"/>
      <w:r>
        <w:t xml:space="preserve">The </w:t>
      </w:r>
      <w:r>
        <w:rPr>
          <w:rFonts w:hint="eastAsia"/>
        </w:rPr>
        <w:t xml:space="preserve">education </w:t>
      </w:r>
      <w:r>
        <w:t>industry in China has been enjoyed a long period development, its overall size has been ranked in the world, and it has a good reputation over the world (Finch, Hillenbrand and Rubin, 2015). China's education industry is ushering into its "golden age" with expansion in terms of both industry size and market activity</w:t>
      </w:r>
      <w:r>
        <w:rPr>
          <w:rFonts w:hint="eastAsia"/>
        </w:rPr>
        <w:t xml:space="preserve"> </w:t>
      </w:r>
      <w:r>
        <w:t>(Xu, 2015). In 2015, the overall size of China's education industry was RMB1.6 trillion</w:t>
      </w:r>
      <w:r>
        <w:rPr>
          <w:rFonts w:hint="eastAsia"/>
        </w:rPr>
        <w:t xml:space="preserve"> </w:t>
      </w:r>
      <w:r>
        <w:t>(Baensch, 2017). This figure is expected to grow to nearly RMB3 trillion in 2020 with a Compound Annual Growth Rate (CAGR) of 12.7 percent (Genuchten and Hatton, 2012). Educational training including early childhood education, K12 training, and vocational training will become the major growth point in the future. Early childhood education is driven by the implementation of two-child policy which brings sufficient demand and the government's policies to encourage preschool education (Dreyfus and Heurgué-Hamard, 2010). Meanwhile, desire for further education and international education also drives the demand for tutoring education and language education; personal training grows because of better economic capability and higher willingness to improve competitiveness (Morgan, 2016).</w:t>
      </w:r>
    </w:p>
    <w:p>
      <w:pPr>
        <w:spacing w:before="120" w:after="120"/>
      </w:pPr>
      <w:r>
        <w:t>Chinese academic representations of corporate culture on the whole provide further justification for the official views: that corporate culture is beneficial for educational firms’ performance; that it is closely tied up with political and ideological work within corporations though some academics object to this tendency; and that corporate culture must somehow base itself on or promote “Chinese” culture and values, while simultaneously embracing socialism and accepting the best aspects of foreign cultures and management methods (Weerts, Vermeulen and Witjes, 2018).</w:t>
      </w:r>
      <w:bookmarkEnd w:id="79"/>
    </w:p>
    <w:p>
      <w:pPr>
        <w:spacing w:before="120" w:after="120"/>
      </w:pPr>
    </w:p>
    <w:p>
      <w:pPr>
        <w:pStyle w:val="2"/>
        <w:numPr>
          <w:ilvl w:val="1"/>
          <w:numId w:val="1"/>
        </w:numPr>
        <w:spacing w:before="360" w:after="120"/>
      </w:pPr>
      <w:bookmarkStart w:id="80" w:name="_Toc11616_WPSOffice_Level2"/>
      <w:bookmarkStart w:id="81" w:name="_Toc12467_WPSOffice_Level2"/>
      <w:bookmarkStart w:id="82" w:name="_Toc436668255"/>
      <w:bookmarkStart w:id="83" w:name="_Toc436914158"/>
      <w:r>
        <w:t>Problem Statement</w:t>
      </w:r>
      <w:bookmarkEnd w:id="80"/>
      <w:bookmarkEnd w:id="81"/>
      <w:bookmarkEnd w:id="82"/>
      <w:bookmarkEnd w:id="83"/>
    </w:p>
    <w:p>
      <w:pPr>
        <w:spacing w:before="120" w:after="120"/>
      </w:pPr>
      <w:r>
        <w:t xml:space="preserve">China has further opened its market to education training, especially the rapid and rapid development of vocational training (Shan, Liu and Li, 2015). The market competition is further intensified, and the market space of small institutions is getting smaller and smaller due to the shortage of teachers, the lack of market development funds and the difficulty of brand formation in the short term (Holm and Lundström, 2011). And because of the education and training industry is to charge first, after service profit pattern, so compared with other industries with distinctive characteristics, students learn in order to reduce the risk and tend to be concentrated choose brand has the advantage of the education training institutions, to form the strong stronger and the dominance of benign situation (Khan, 2011). Education's huge market and huge profits have also prompted western countries to step up their entry into </w:t>
      </w:r>
      <w:bookmarkStart w:id="84" w:name="OLE_LINK3"/>
      <w:r>
        <w:t>China's education training market</w:t>
      </w:r>
      <w:bookmarkEnd w:id="84"/>
      <w:r>
        <w:t xml:space="preserve"> (Tyutereva, 2013). These foreign companies have begun to enter China's education training market, and under the situation of evolution, the diversification of education training market pattern, training market admittance threshold low, many operators to the law of education and training the lack of scientific understanding, on the quality of teaching, teaching content, faculty of serious shortage of R &amp; D, cannot guarantee the teaching effect, lead to disregard the quality of teaching (Zeng, Zuo and Wang, 2014). The end of result is that the smaller it is, the worse its quality is, the worse its reputation is, and it is eliminated from the market (Fan, 2017).</w:t>
      </w:r>
    </w:p>
    <w:p>
      <w:pPr>
        <w:spacing w:before="120" w:after="120"/>
      </w:pPr>
      <w:r>
        <w:t>Although there is strong significance need for this research, nevertheless, there are many problems for this study. Firstly, there were abundant literature on western corporate culture influences on specific industries, however rarely linked with education industry in China. Secondly, many of the studies that researcher has reviewed were done many years ago, they are rarely recent, especially in 2018. Hence, the source of the data and literature needed to be analyzed and verified again.</w:t>
      </w:r>
    </w:p>
    <w:p>
      <w:pPr>
        <w:spacing w:before="120" w:after="120"/>
      </w:pPr>
    </w:p>
    <w:p>
      <w:pPr>
        <w:spacing w:before="120" w:after="120"/>
      </w:pPr>
    </w:p>
    <w:p>
      <w:pPr>
        <w:pStyle w:val="2"/>
        <w:numPr>
          <w:ilvl w:val="1"/>
          <w:numId w:val="1"/>
        </w:numPr>
        <w:spacing w:before="360" w:after="120"/>
      </w:pPr>
      <w:bookmarkStart w:id="85" w:name="_Toc13378_WPSOffice_Level2"/>
      <w:bookmarkStart w:id="86" w:name="_Toc436668256"/>
      <w:bookmarkStart w:id="87" w:name="_Toc436914159"/>
      <w:bookmarkStart w:id="88" w:name="_Toc10396_WPSOffice_Level2"/>
      <w:r>
        <w:t>Research objectives</w:t>
      </w:r>
      <w:bookmarkEnd w:id="85"/>
      <w:bookmarkEnd w:id="86"/>
      <w:bookmarkEnd w:id="87"/>
      <w:bookmarkEnd w:id="88"/>
    </w:p>
    <w:p>
      <w:pPr>
        <w:spacing w:before="120" w:after="120"/>
        <w:rPr>
          <w:rFonts w:cs="Times New Roman"/>
          <w:color w:val="000000"/>
        </w:rPr>
      </w:pPr>
      <w:r>
        <w:rPr>
          <w:rFonts w:cs="Times New Roman"/>
          <w:color w:val="000000"/>
        </w:rPr>
        <w:t xml:space="preserve">The </w:t>
      </w:r>
      <w:r>
        <w:rPr>
          <w:rFonts w:hint="eastAsia" w:cs="Times New Roman"/>
          <w:color w:val="000000"/>
        </w:rPr>
        <w:t xml:space="preserve">broad objective of this study is to ascertain the relationship between western corporate culture and the performance of education industry in China. </w:t>
      </w:r>
    </w:p>
    <w:p>
      <w:pPr>
        <w:spacing w:before="120" w:after="120"/>
        <w:rPr>
          <w:rFonts w:cs="Times New Roman"/>
          <w:color w:val="000000"/>
        </w:rPr>
      </w:pPr>
      <w:r>
        <w:rPr>
          <w:rFonts w:hint="eastAsia" w:cs="Times New Roman"/>
          <w:color w:val="000000"/>
        </w:rPr>
        <w:t>RO1: To see whether Deal &amp; kennedy</w:t>
      </w:r>
      <w:r>
        <w:rPr>
          <w:rFonts w:cs="Times New Roman"/>
          <w:color w:val="000000"/>
        </w:rPr>
        <w:t>’</w:t>
      </w:r>
      <w:r>
        <w:rPr>
          <w:rFonts w:hint="eastAsia" w:cs="Times New Roman"/>
          <w:color w:val="000000"/>
        </w:rPr>
        <w:t>s corporate culture dimensions</w:t>
      </w:r>
      <w:r>
        <w:rPr>
          <w:rFonts w:cs="Times New Roman"/>
          <w:color w:val="000000"/>
        </w:rPr>
        <w:t xml:space="preserve"> </w:t>
      </w:r>
      <w:r>
        <w:rPr>
          <w:rFonts w:hint="eastAsia" w:cs="Times New Roman"/>
        </w:rPr>
        <w:t>has</w:t>
      </w:r>
      <w:r>
        <w:rPr>
          <w:rFonts w:hint="eastAsia" w:cs="Times New Roman"/>
          <w:color w:val="000000"/>
        </w:rPr>
        <w:t xml:space="preserve"> influence on the performance of education industry in China.</w:t>
      </w:r>
    </w:p>
    <w:p>
      <w:pPr>
        <w:spacing w:before="120" w:after="120"/>
        <w:rPr>
          <w:rFonts w:cs="Times New Roman"/>
          <w:color w:val="000000"/>
        </w:rPr>
      </w:pPr>
      <w:r>
        <w:rPr>
          <w:rFonts w:hint="eastAsia" w:cs="Times New Roman"/>
          <w:color w:val="000000"/>
        </w:rPr>
        <w:t xml:space="preserve">RO2: To find out whether </w:t>
      </w:r>
      <w:r>
        <w:rPr>
          <w:rFonts w:cs="Times New Roman"/>
        </w:rPr>
        <w:t>Trompenaars cultural dimensions</w:t>
      </w:r>
      <w:r>
        <w:rPr>
          <w:rFonts w:hint="eastAsia" w:cs="Times New Roman"/>
        </w:rPr>
        <w:t xml:space="preserve"> has</w:t>
      </w:r>
      <w:r>
        <w:rPr>
          <w:rFonts w:hint="eastAsia" w:cs="Times New Roman"/>
          <w:color w:val="000000"/>
        </w:rPr>
        <w:t xml:space="preserve"> influence on the performance of education industry in China.</w:t>
      </w:r>
    </w:p>
    <w:p>
      <w:pPr>
        <w:spacing w:before="120" w:after="120"/>
        <w:rPr>
          <w:rFonts w:cs="Times New Roman"/>
          <w:color w:val="000000"/>
        </w:rPr>
      </w:pPr>
    </w:p>
    <w:p>
      <w:pPr>
        <w:pStyle w:val="2"/>
        <w:numPr>
          <w:ilvl w:val="1"/>
          <w:numId w:val="1"/>
        </w:numPr>
        <w:spacing w:before="360" w:after="120"/>
      </w:pPr>
      <w:bookmarkStart w:id="89" w:name="_Toc436668257"/>
      <w:bookmarkStart w:id="90" w:name="_Toc18347_WPSOffice_Level2"/>
      <w:bookmarkStart w:id="91" w:name="_Toc11573_WPSOffice_Level2"/>
      <w:bookmarkStart w:id="92" w:name="_Toc436914160"/>
      <w:r>
        <w:t>Research questions</w:t>
      </w:r>
      <w:bookmarkEnd w:id="89"/>
      <w:bookmarkEnd w:id="90"/>
      <w:bookmarkEnd w:id="91"/>
      <w:bookmarkEnd w:id="92"/>
    </w:p>
    <w:p>
      <w:pPr>
        <w:spacing w:before="120" w:after="120"/>
        <w:rPr>
          <w:rFonts w:cs="Times New Roman"/>
          <w:color w:val="000000"/>
        </w:rPr>
      </w:pPr>
      <w:r>
        <w:rPr>
          <w:rFonts w:cs="Times New Roman"/>
          <w:color w:val="000000"/>
        </w:rPr>
        <w:t xml:space="preserve">Broad RQ: Whether western corporate culture influence on he performance of education industry in China? </w:t>
      </w:r>
    </w:p>
    <w:p>
      <w:pPr>
        <w:spacing w:before="120" w:after="120"/>
        <w:rPr>
          <w:rFonts w:cs="Times New Roman"/>
          <w:color w:val="000000"/>
        </w:rPr>
      </w:pPr>
      <w:r>
        <w:rPr>
          <w:rFonts w:cs="Times New Roman"/>
          <w:color w:val="000000"/>
        </w:rPr>
        <w:t>RQ1: Will Deal</w:t>
      </w:r>
      <w:r>
        <w:rPr>
          <w:rFonts w:hint="eastAsia" w:cs="Times New Roman"/>
          <w:color w:val="000000"/>
        </w:rPr>
        <w:t xml:space="preserve"> </w:t>
      </w:r>
      <w:r>
        <w:rPr>
          <w:rFonts w:cs="Times New Roman"/>
          <w:color w:val="000000"/>
        </w:rPr>
        <w:t>&amp;</w:t>
      </w:r>
      <w:r>
        <w:rPr>
          <w:rFonts w:hint="eastAsia" w:cs="Times New Roman"/>
          <w:color w:val="000000"/>
        </w:rPr>
        <w:t xml:space="preserve"> </w:t>
      </w:r>
      <w:r>
        <w:rPr>
          <w:rFonts w:cs="Times New Roman"/>
          <w:color w:val="000000"/>
        </w:rPr>
        <w:t xml:space="preserve">kennedy’s corporate culture dimensions </w:t>
      </w:r>
      <w:r>
        <w:rPr>
          <w:rFonts w:cs="Times New Roman"/>
        </w:rPr>
        <w:t>has</w:t>
      </w:r>
      <w:r>
        <w:rPr>
          <w:rFonts w:cs="Times New Roman"/>
          <w:color w:val="000000"/>
        </w:rPr>
        <w:t xml:space="preserve"> influence on the performance of education industry in China？</w:t>
      </w:r>
    </w:p>
    <w:p>
      <w:pPr>
        <w:spacing w:before="120" w:after="120"/>
        <w:rPr>
          <w:rFonts w:cs="Times New Roman"/>
          <w:color w:val="000000"/>
        </w:rPr>
      </w:pPr>
      <w:r>
        <w:rPr>
          <w:rFonts w:cs="Times New Roman"/>
          <w:color w:val="000000"/>
        </w:rPr>
        <w:t xml:space="preserve">RQ2: Will </w:t>
      </w:r>
      <w:r>
        <w:rPr>
          <w:rFonts w:cs="Times New Roman"/>
        </w:rPr>
        <w:t>Trompenaars cultural dimensions has</w:t>
      </w:r>
      <w:r>
        <w:rPr>
          <w:rFonts w:cs="Times New Roman"/>
          <w:color w:val="000000"/>
        </w:rPr>
        <w:t xml:space="preserve"> influence on the performance of education industry in China？</w:t>
      </w:r>
    </w:p>
    <w:p>
      <w:pPr>
        <w:spacing w:before="120" w:after="120"/>
        <w:rPr>
          <w:rFonts w:cs="Times New Roman"/>
          <w:color w:val="000000"/>
        </w:rPr>
      </w:pPr>
    </w:p>
    <w:p>
      <w:pPr>
        <w:pStyle w:val="2"/>
        <w:spacing w:before="360" w:after="120"/>
      </w:pPr>
      <w:bookmarkStart w:id="93" w:name="_Toc436668260"/>
      <w:bookmarkStart w:id="94" w:name="_Toc436914163"/>
      <w:bookmarkStart w:id="95" w:name="_Toc25623_WPSOffice_Level2"/>
      <w:bookmarkStart w:id="96" w:name="_Toc21809_WPSOffice_Level2"/>
      <w:r>
        <w:t>1.</w:t>
      </w:r>
      <w:r>
        <w:rPr>
          <w:rFonts w:hint="eastAsia"/>
        </w:rPr>
        <w:t>5</w:t>
      </w:r>
      <w:r>
        <w:t xml:space="preserve"> Significance of </w:t>
      </w:r>
      <w:bookmarkEnd w:id="93"/>
      <w:bookmarkEnd w:id="94"/>
      <w:r>
        <w:rPr>
          <w:rFonts w:hint="eastAsia"/>
        </w:rPr>
        <w:t>study</w:t>
      </w:r>
      <w:bookmarkEnd w:id="95"/>
      <w:bookmarkEnd w:id="96"/>
    </w:p>
    <w:p>
      <w:pPr>
        <w:pStyle w:val="4"/>
        <w:spacing w:before="120" w:after="120"/>
      </w:pPr>
      <w:bookmarkStart w:id="97" w:name="_Toc19410_WPSOffice_Level3"/>
      <w:r>
        <w:rPr>
          <w:rFonts w:hint="eastAsia"/>
        </w:rPr>
        <w:t>1.5.1 significance to academia</w:t>
      </w:r>
      <w:bookmarkEnd w:id="97"/>
    </w:p>
    <w:p>
      <w:pPr>
        <w:spacing w:before="120" w:after="120"/>
      </w:pPr>
      <w:r>
        <w:t xml:space="preserve">This study is expected to give better analysis on the potential growth opportunities, influential, </w:t>
      </w:r>
      <w:r>
        <w:rPr>
          <w:rFonts w:hint="eastAsia"/>
        </w:rPr>
        <w:t>better performance of China</w:t>
      </w:r>
      <w:r>
        <w:t>’</w:t>
      </w:r>
      <w:r>
        <w:rPr>
          <w:rFonts w:hint="eastAsia"/>
        </w:rPr>
        <w:t>s education</w:t>
      </w:r>
      <w:r>
        <w:t xml:space="preserve"> industry</w:t>
      </w:r>
      <w:r>
        <w:rPr>
          <w:rFonts w:hint="eastAsia"/>
        </w:rPr>
        <w:t>. Thus,</w:t>
      </w:r>
      <w:r>
        <w:t xml:space="preserve"> </w:t>
      </w:r>
      <w:r>
        <w:rPr>
          <w:rFonts w:hint="eastAsia"/>
        </w:rPr>
        <w:t>education institutions</w:t>
      </w:r>
      <w:r>
        <w:t xml:space="preserve"> is </w:t>
      </w:r>
      <w:r>
        <w:rPr>
          <w:rFonts w:hint="eastAsia"/>
        </w:rPr>
        <w:t>the</w:t>
      </w:r>
      <w:r>
        <w:t xml:space="preserve"> main research area.</w:t>
      </w:r>
      <w:r>
        <w:rPr>
          <w:rFonts w:hint="eastAsia"/>
        </w:rPr>
        <w:t xml:space="preserve"> T</w:t>
      </w:r>
      <w:r>
        <w:t xml:space="preserve">he result of this research can provide a better understanding and knowledge for the academia on the </w:t>
      </w:r>
      <w:r>
        <w:rPr>
          <w:rFonts w:hint="eastAsia"/>
        </w:rPr>
        <w:t>western corporate culture</w:t>
      </w:r>
      <w:r>
        <w:t xml:space="preserve"> that will influence </w:t>
      </w:r>
      <w:r>
        <w:rPr>
          <w:rFonts w:hint="eastAsia"/>
        </w:rPr>
        <w:t>the</w:t>
      </w:r>
      <w:r>
        <w:t xml:space="preserve"> performance</w:t>
      </w:r>
      <w:r>
        <w:rPr>
          <w:rFonts w:hint="eastAsia"/>
        </w:rPr>
        <w:t xml:space="preserve"> of China</w:t>
      </w:r>
      <w:r>
        <w:t>’</w:t>
      </w:r>
      <w:r>
        <w:rPr>
          <w:rFonts w:hint="eastAsia"/>
        </w:rPr>
        <w:t>s education</w:t>
      </w:r>
      <w:r>
        <w:t xml:space="preserve"> industry.</w:t>
      </w:r>
      <w:r>
        <w:rPr>
          <w:rFonts w:hint="eastAsia"/>
        </w:rPr>
        <w:t xml:space="preserve"> </w:t>
      </w:r>
      <w:r>
        <w:t>This research will benefit researches and academicians who are interested to do this research in the relevant field. It is able for people in academic to boost up their knowledge about the significant relationship between the variables.</w:t>
      </w:r>
    </w:p>
    <w:p>
      <w:pPr>
        <w:spacing w:before="120" w:after="120"/>
      </w:pPr>
    </w:p>
    <w:p>
      <w:pPr>
        <w:pStyle w:val="4"/>
        <w:spacing w:before="120" w:after="120"/>
      </w:pPr>
      <w:bookmarkStart w:id="98" w:name="_Toc11616_WPSOffice_Level3"/>
      <w:r>
        <w:rPr>
          <w:rFonts w:hint="eastAsia"/>
        </w:rPr>
        <w:t>1.5.2 significance to industry</w:t>
      </w:r>
      <w:bookmarkEnd w:id="98"/>
    </w:p>
    <w:p>
      <w:pPr>
        <w:spacing w:before="120" w:after="120"/>
      </w:pPr>
      <w:r>
        <w:t xml:space="preserve">This paper focus on the </w:t>
      </w:r>
      <w:r>
        <w:rPr>
          <w:rFonts w:hint="eastAsia"/>
        </w:rPr>
        <w:t>major influences of western corporate culture</w:t>
      </w:r>
      <w:r>
        <w:t>, to explore the factors affect the performance</w:t>
      </w:r>
      <w:r>
        <w:rPr>
          <w:rFonts w:hint="eastAsia"/>
        </w:rPr>
        <w:t xml:space="preserve"> of education</w:t>
      </w:r>
      <w:r>
        <w:t xml:space="preserve"> industry</w:t>
      </w:r>
      <w:r>
        <w:rPr>
          <w:rFonts w:hint="eastAsia"/>
        </w:rPr>
        <w:t xml:space="preserve"> in China</w:t>
      </w:r>
      <w:r>
        <w:t xml:space="preserve">, the finding can make the managers of </w:t>
      </w:r>
      <w:r>
        <w:rPr>
          <w:rFonts w:hint="eastAsia"/>
        </w:rPr>
        <w:t>education institution</w:t>
      </w:r>
      <w:r>
        <w:t xml:space="preserve"> to know how to </w:t>
      </w:r>
      <w:r>
        <w:rPr>
          <w:rFonts w:hint="eastAsia"/>
        </w:rPr>
        <w:t>combine both Chinese and western culture in order to make their organization develop better.</w:t>
      </w:r>
    </w:p>
    <w:p>
      <w:pPr>
        <w:spacing w:before="120" w:after="120"/>
      </w:pPr>
    </w:p>
    <w:p>
      <w:pPr>
        <w:pStyle w:val="2"/>
        <w:spacing w:before="360" w:after="120" w:line="360" w:lineRule="auto"/>
      </w:pPr>
      <w:bookmarkStart w:id="99" w:name="_Toc5215_WPSOffice_Level2"/>
      <w:bookmarkStart w:id="100" w:name="_Toc21897_WPSOffice_Level2"/>
      <w:r>
        <w:rPr>
          <w:rFonts w:hint="eastAsia"/>
        </w:rPr>
        <w:t>1.6 Scope &amp; limitation of study</w:t>
      </w:r>
      <w:bookmarkEnd w:id="99"/>
      <w:bookmarkEnd w:id="100"/>
    </w:p>
    <w:p>
      <w:pPr>
        <w:spacing w:before="120" w:after="120"/>
        <w:rPr>
          <w:rFonts w:hint="eastAsia"/>
        </w:rPr>
      </w:pPr>
      <w:r>
        <w:t>Each research will have inherent limitations as each research study has specific research questions and scope to determine a specific phenomenon (Zikmund, 2010).</w:t>
      </w:r>
      <w:r>
        <w:rPr>
          <w:rFonts w:hint="eastAsia"/>
        </w:rPr>
        <w:t xml:space="preserve"> A</w:t>
      </w:r>
      <w:r>
        <w:t>bout this research</w:t>
      </w:r>
      <w:r>
        <w:rPr>
          <w:rFonts w:hint="eastAsia"/>
        </w:rPr>
        <w:t xml:space="preserve">, firstly, </w:t>
      </w:r>
      <w:r>
        <w:t>this study can only focus on general question not face to only one enterprise to research that the result cannot direct to fit a company because of different enterprise have different feature</w:t>
      </w:r>
      <w:r>
        <w:rPr>
          <w:rFonts w:hint="eastAsia"/>
        </w:rPr>
        <w:t xml:space="preserve">. </w:t>
      </w:r>
      <w:r>
        <w:t xml:space="preserve">Secondly, the study only has three months to research and the </w:t>
      </w:r>
      <w:r>
        <w:rPr>
          <w:rFonts w:hint="eastAsia"/>
        </w:rPr>
        <w:t>education industry</w:t>
      </w:r>
      <w:r>
        <w:t xml:space="preserve"> is </w:t>
      </w:r>
      <w:r>
        <w:rPr>
          <w:rFonts w:hint="eastAsia"/>
        </w:rPr>
        <w:t xml:space="preserve">a </w:t>
      </w:r>
      <w:r>
        <w:t xml:space="preserve">very </w:t>
      </w:r>
      <w:r>
        <w:rPr>
          <w:rFonts w:hint="eastAsia"/>
        </w:rPr>
        <w:t>large scale</w:t>
      </w:r>
      <w:r>
        <w:t xml:space="preserve"> in China.</w:t>
      </w:r>
      <w:r>
        <w:rPr>
          <w:rFonts w:hint="eastAsia"/>
        </w:rPr>
        <w:t xml:space="preserve"> </w:t>
      </w:r>
      <w:r>
        <w:t>Lastly,</w:t>
      </w:r>
      <w:r>
        <w:rPr>
          <w:rFonts w:hint="eastAsia"/>
        </w:rPr>
        <w:t xml:space="preserve"> </w:t>
      </w:r>
      <w:r>
        <w:t xml:space="preserve">This paper is study on </w:t>
      </w:r>
      <w:r>
        <w:rPr>
          <w:rFonts w:hint="eastAsia"/>
        </w:rPr>
        <w:t>western corporate culture influences on education industry in China</w:t>
      </w:r>
      <w:r>
        <w:t>,</w:t>
      </w:r>
      <w:r>
        <w:rPr>
          <w:rFonts w:hint="eastAsia"/>
        </w:rPr>
        <w:t xml:space="preserve"> Although there are many study conducted on education industry and corporate culture, But there are not much related to the relationship and influence of them, </w:t>
      </w:r>
      <w:r>
        <w:t>to a certain extent, the source of the data is limited.</w:t>
      </w:r>
      <w:r>
        <w:rPr>
          <w:rFonts w:hint="eastAsia"/>
        </w:rPr>
        <w:t xml:space="preserve"> And </w:t>
      </w:r>
      <w:r>
        <w:t>the academic level of the researcher is limited and</w:t>
      </w:r>
      <w:r>
        <w:rPr>
          <w:rFonts w:hint="eastAsia"/>
        </w:rPr>
        <w:t xml:space="preserve"> </w:t>
      </w:r>
      <w:r>
        <w:t>can only be studied in a limited academic context</w:t>
      </w:r>
      <w:r>
        <w:rPr>
          <w:rFonts w:hint="eastAsia"/>
        </w:rPr>
        <w:t>.</w:t>
      </w:r>
      <w:bookmarkStart w:id="101" w:name="_Toc6453_WPSOffice_Level2"/>
      <w:bookmarkStart w:id="102" w:name="_Toc23538_WPSOffice_Level2"/>
    </w:p>
    <w:p>
      <w:pPr>
        <w:spacing w:before="120" w:after="120"/>
        <w:rPr>
          <w:rFonts w:hint="eastAsia"/>
        </w:rPr>
      </w:pPr>
    </w:p>
    <w:p>
      <w:pPr>
        <w:pStyle w:val="2"/>
        <w:spacing w:before="360" w:after="120" w:line="360" w:lineRule="auto"/>
      </w:pPr>
      <w:r>
        <w:rPr>
          <w:rFonts w:hint="eastAsia"/>
        </w:rPr>
        <w:t>1.7 Operational definitions</w:t>
      </w:r>
      <w:bookmarkEnd w:id="101"/>
      <w:bookmarkEnd w:id="102"/>
    </w:p>
    <w:p>
      <w:pPr>
        <w:spacing w:before="120" w:after="120"/>
      </w:pPr>
      <w:r>
        <w:t xml:space="preserve">Table 1 below shows the primary goal of this section which is to provide the key terms and definitions to the terms stated. </w:t>
      </w:r>
    </w:p>
    <w:p>
      <w:pPr>
        <w:spacing w:before="120" w:after="120"/>
      </w:pPr>
      <w:r>
        <w:rPr>
          <w:rFonts w:hint="eastAsia"/>
          <w:i/>
          <w:iCs/>
        </w:rPr>
        <w:t>Table 1.1:</w:t>
      </w:r>
      <w:r>
        <w:rPr>
          <w:rFonts w:hint="eastAsia"/>
        </w:rPr>
        <w:t xml:space="preserve"> Operational definitions</w:t>
      </w:r>
    </w:p>
    <w:tbl>
      <w:tblPr>
        <w:tblStyle w:val="15"/>
        <w:tblW w:w="9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0"/>
        <w:gridCol w:w="7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2360" w:type="dxa"/>
          </w:tcPr>
          <w:p>
            <w:pPr>
              <w:spacing w:before="120" w:after="120"/>
              <w:jc w:val="center"/>
              <w:rPr>
                <w:b/>
              </w:rPr>
            </w:pPr>
            <w:r>
              <w:rPr>
                <w:b/>
              </w:rPr>
              <w:t>Key Term</w:t>
            </w:r>
          </w:p>
        </w:tc>
        <w:tc>
          <w:tcPr>
            <w:tcW w:w="7060" w:type="dxa"/>
          </w:tcPr>
          <w:p>
            <w:pPr>
              <w:spacing w:before="120" w:after="120"/>
              <w:jc w:val="center"/>
              <w:rPr>
                <w:b/>
              </w:rPr>
            </w:pPr>
            <w:r>
              <w:rPr>
                <w:b/>
              </w:rPr>
              <w:t>Definition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6" w:hRule="atLeast"/>
        </w:trPr>
        <w:tc>
          <w:tcPr>
            <w:tcW w:w="2360" w:type="dxa"/>
          </w:tcPr>
          <w:p>
            <w:pPr>
              <w:spacing w:before="120" w:after="120"/>
              <w:jc w:val="left"/>
              <w:rPr>
                <w:rFonts w:eastAsia="宋体"/>
              </w:rPr>
            </w:pPr>
            <w:bookmarkStart w:id="103" w:name="OLE_LINK1"/>
            <w:r>
              <w:rPr>
                <w:rFonts w:hint="eastAsia" w:eastAsia="宋体"/>
              </w:rPr>
              <w:t>Education industry</w:t>
            </w:r>
            <w:bookmarkEnd w:id="103"/>
          </w:p>
        </w:tc>
        <w:tc>
          <w:tcPr>
            <w:tcW w:w="7060" w:type="dxa"/>
          </w:tcPr>
          <w:p>
            <w:pPr>
              <w:spacing w:before="120" w:after="120"/>
              <w:rPr>
                <w:rFonts w:eastAsia="宋体"/>
              </w:rPr>
            </w:pPr>
            <w:r>
              <w:rPr>
                <w:rFonts w:hint="eastAsia" w:eastAsia="宋体"/>
              </w:rPr>
              <w:t>Education industry is commonly divided formally into such stages as preschool or kindergarten, primary school, secondary school and then colle</w:t>
            </w:r>
            <w:r>
              <w:rPr>
                <w:rFonts w:eastAsia="宋体" w:cs="Times New Roman"/>
                <w:color w:val="000000" w:themeColor="text1"/>
                <w14:textFill>
                  <w14:solidFill>
                    <w14:schemeClr w14:val="tx1"/>
                  </w14:solidFill>
                </w14:textFill>
              </w:rPr>
              <w:t xml:space="preserve">ge, university, or apprenticeship </w:t>
            </w:r>
            <w:r>
              <w:rPr>
                <w:rFonts w:eastAsia="Arial" w:cs="Times New Roman"/>
                <w:color w:val="000000" w:themeColor="text1"/>
                <w14:textFill>
                  <w14:solidFill>
                    <w14:schemeClr w14:val="tx1"/>
                  </w14:solidFill>
                </w14:textFill>
              </w:rPr>
              <w:t>(Blaug, Lauwerys and Scanlon, 2006)</w:t>
            </w:r>
            <w:r>
              <w:rPr>
                <w:rFonts w:eastAsia="宋体" w:cs="Times New Roman"/>
                <w:color w:val="000000" w:themeColor="text1"/>
                <w14:textFill>
                  <w14:solidFill>
                    <w14:schemeClr w14:val="tx1"/>
                  </w14:solidFill>
                </w14:textFill>
              </w:rPr>
              <w:t>.</w:t>
            </w:r>
          </w:p>
          <w:p>
            <w:pPr>
              <w:spacing w:before="120" w:after="12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0" w:hRule="atLeast"/>
        </w:trPr>
        <w:tc>
          <w:tcPr>
            <w:tcW w:w="2360" w:type="dxa"/>
          </w:tcPr>
          <w:p>
            <w:pPr>
              <w:spacing w:before="120" w:after="120"/>
              <w:jc w:val="left"/>
              <w:rPr>
                <w:rFonts w:eastAsia="宋体"/>
              </w:rPr>
            </w:pPr>
            <w:r>
              <w:rPr>
                <w:rFonts w:hint="eastAsia" w:eastAsia="宋体"/>
              </w:rPr>
              <w:t xml:space="preserve">Education institution </w:t>
            </w:r>
          </w:p>
        </w:tc>
        <w:tc>
          <w:tcPr>
            <w:tcW w:w="7060" w:type="dxa"/>
          </w:tcPr>
          <w:p>
            <w:pPr>
              <w:spacing w:before="120" w:after="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An educational institution is a place where people of different ages gain an education. Examples of some institutions are preschools, primary schools, secondary schools, and further and higher education. They provide a large variety of learning environments and learning spaces </w:t>
            </w:r>
            <w:r>
              <w:rPr>
                <w:rFonts w:eastAsia="Arial" w:cs="Times New Roman"/>
                <w:color w:val="000000" w:themeColor="text1"/>
                <w14:textFill>
                  <w14:solidFill>
                    <w14:schemeClr w14:val="tx1"/>
                  </w14:solidFill>
                </w14:textFill>
              </w:rPr>
              <w:t>(Shapiro, Latham and Ross, 2006)</w:t>
            </w:r>
            <w:r>
              <w:rPr>
                <w:rFonts w:cs="Times New Roman"/>
                <w:color w:val="000000" w:themeColor="text1"/>
                <w14:textFill>
                  <w14:solidFill>
                    <w14:schemeClr w14:val="tx1"/>
                  </w14:solidFill>
                </w14:textFill>
              </w:rPr>
              <w:t>.</w:t>
            </w:r>
          </w:p>
          <w:p>
            <w:pPr>
              <w:spacing w:before="120" w:after="120"/>
              <w:rPr>
                <w:rFonts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3" w:hRule="atLeast"/>
        </w:trPr>
        <w:tc>
          <w:tcPr>
            <w:tcW w:w="2360" w:type="dxa"/>
          </w:tcPr>
          <w:p>
            <w:pPr>
              <w:spacing w:before="120" w:after="120"/>
              <w:jc w:val="left"/>
              <w:rPr>
                <w:rFonts w:eastAsia="宋体"/>
              </w:rPr>
            </w:pPr>
            <w:r>
              <w:rPr>
                <w:rFonts w:hint="eastAsia" w:eastAsia="宋体"/>
              </w:rPr>
              <w:t>Organizational performance</w:t>
            </w:r>
          </w:p>
        </w:tc>
        <w:tc>
          <w:tcPr>
            <w:tcW w:w="7060" w:type="dxa"/>
          </w:tcPr>
          <w:p>
            <w:pPr>
              <w:spacing w:before="120" w:after="12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Organizational performance involves analyzing a company’s performance against its objectives and goals. In other words, organizational performance comprises real results or outputs compared with intended outputs. The analysis focuses on three main outcomes, first, shareholder value performance; second, financial performance; and third, market performance </w:t>
            </w:r>
            <w:r>
              <w:rPr>
                <w:rFonts w:eastAsia="Arial" w:cs="Times New Roman"/>
                <w:color w:val="000000" w:themeColor="text1"/>
                <w14:textFill>
                  <w14:solidFill>
                    <w14:schemeClr w14:val="tx1"/>
                  </w14:solidFill>
                </w14:textFill>
              </w:rPr>
              <w:t>(Shen and Chanda, 2009)</w:t>
            </w:r>
            <w:r>
              <w:rPr>
                <w:rFonts w:cs="Times New Roman"/>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5" w:hRule="atLeast"/>
        </w:trPr>
        <w:tc>
          <w:tcPr>
            <w:tcW w:w="2360" w:type="dxa"/>
          </w:tcPr>
          <w:p>
            <w:pPr>
              <w:spacing w:before="120" w:after="120"/>
              <w:jc w:val="left"/>
            </w:pPr>
            <w:r>
              <w:rPr>
                <w:rFonts w:cs="Times New Roman"/>
              </w:rPr>
              <w:t>Deal</w:t>
            </w:r>
            <w:r>
              <w:rPr>
                <w:rFonts w:hint="eastAsia" w:cs="Times New Roman"/>
              </w:rPr>
              <w:t xml:space="preserve"> </w:t>
            </w:r>
            <w:r>
              <w:rPr>
                <w:rFonts w:cs="Times New Roman"/>
              </w:rPr>
              <w:t>&amp;</w:t>
            </w:r>
            <w:r>
              <w:rPr>
                <w:rFonts w:hint="eastAsia" w:cs="Times New Roman"/>
              </w:rPr>
              <w:t xml:space="preserve"> </w:t>
            </w:r>
            <w:r>
              <w:rPr>
                <w:rFonts w:cs="Times New Roman"/>
              </w:rPr>
              <w:t>Kennedy corporate culture dimensions</w:t>
            </w:r>
          </w:p>
        </w:tc>
        <w:tc>
          <w:tcPr>
            <w:tcW w:w="7060" w:type="dxa"/>
          </w:tcPr>
          <w:p>
            <w:pPr>
              <w:tabs>
                <w:tab w:val="left" w:pos="2025"/>
              </w:tabs>
              <w:spacing w:before="120" w:after="120"/>
            </w:pPr>
            <w:r>
              <w:rPr>
                <w:rFonts w:hint="eastAsia"/>
              </w:rPr>
              <w:t>In their classic 1982 book, Terrence Deal and Allan Kennedy proposed one of the first models of organizational culture, the notion of corporate culture is now widely accepted to be as important a business concept as financial control and employee satisfaction.</w:t>
            </w:r>
          </w:p>
          <w:p>
            <w:pPr>
              <w:tabs>
                <w:tab w:val="left" w:pos="2025"/>
              </w:tabs>
              <w:spacing w:before="120" w:after="120"/>
            </w:pPr>
            <w:r>
              <w:rPr>
                <w:rFonts w:hint="eastAsia"/>
              </w:rPr>
              <w:t xml:space="preserve">In their work on the subject of culture, they suggested that the basis of corporate culture was an interlocking set of those cultural elements </w:t>
            </w:r>
            <w:r>
              <w:rPr>
                <w:rFonts w:cs="Times New Roman"/>
                <w:kern w:val="3"/>
              </w:rPr>
              <w:t xml:space="preserve">(Deal and Kennedy, </w:t>
            </w:r>
            <w:r>
              <w:rPr>
                <w:rFonts w:hint="eastAsia" w:cs="Times New Roman"/>
                <w:kern w:val="3"/>
              </w:rPr>
              <w:t>2008</w:t>
            </w:r>
            <w:r>
              <w:rPr>
                <w:rFonts w:cs="Times New Roman"/>
                <w:kern w:val="3"/>
              </w:rPr>
              <w:t>)</w:t>
            </w:r>
            <w:r>
              <w:rPr>
                <w:rFonts w:hint="eastAsia"/>
              </w:rPr>
              <w:t>:</w:t>
            </w:r>
          </w:p>
          <w:p>
            <w:pPr>
              <w:numPr>
                <w:ilvl w:val="0"/>
                <w:numId w:val="2"/>
              </w:numPr>
              <w:spacing w:before="120" w:after="120"/>
            </w:pPr>
            <w:r>
              <w:rPr>
                <w:rFonts w:hint="eastAsia"/>
              </w:rPr>
              <w:t>B</w:t>
            </w:r>
            <w:r>
              <w:t>usiness environment</w:t>
            </w:r>
          </w:p>
          <w:p>
            <w:pPr>
              <w:numPr>
                <w:ilvl w:val="0"/>
                <w:numId w:val="2"/>
              </w:numPr>
              <w:spacing w:before="120" w:after="120"/>
            </w:pPr>
            <w:r>
              <w:t>Values</w:t>
            </w:r>
          </w:p>
          <w:p>
            <w:pPr>
              <w:numPr>
                <w:ilvl w:val="0"/>
                <w:numId w:val="2"/>
              </w:numPr>
              <w:spacing w:before="120" w:after="120"/>
            </w:pPr>
            <w:r>
              <w:t>Heroes</w:t>
            </w:r>
          </w:p>
          <w:p>
            <w:pPr>
              <w:numPr>
                <w:ilvl w:val="0"/>
                <w:numId w:val="2"/>
              </w:numPr>
              <w:spacing w:before="120" w:after="120"/>
            </w:pPr>
            <w:r>
              <w:rPr>
                <w:rFonts w:hint="eastAsia"/>
              </w:rPr>
              <w:t>r</w:t>
            </w:r>
            <w:r>
              <w:t>ites and rituals</w:t>
            </w:r>
          </w:p>
          <w:p>
            <w:pPr>
              <w:numPr>
                <w:ilvl w:val="0"/>
                <w:numId w:val="2"/>
              </w:numPr>
              <w:spacing w:before="120" w:after="120"/>
            </w:pPr>
            <w:r>
              <w:rPr>
                <w:rFonts w:hint="eastAsia"/>
              </w:rPr>
              <w:t>C</w:t>
            </w:r>
            <w:r>
              <w:t>ultural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8" w:hRule="atLeast"/>
        </w:trPr>
        <w:tc>
          <w:tcPr>
            <w:tcW w:w="2360" w:type="dxa"/>
          </w:tcPr>
          <w:p>
            <w:pPr>
              <w:spacing w:before="120" w:after="120"/>
              <w:jc w:val="left"/>
            </w:pPr>
            <w:bookmarkStart w:id="104" w:name="OLE_LINK13"/>
            <w:r>
              <w:rPr>
                <w:rFonts w:cs="Times New Roman"/>
              </w:rPr>
              <w:t>Trompenaars cultural dimensions</w:t>
            </w:r>
            <w:bookmarkEnd w:id="104"/>
          </w:p>
        </w:tc>
        <w:tc>
          <w:tcPr>
            <w:tcW w:w="7060" w:type="dxa"/>
          </w:tcPr>
          <w:p>
            <w:pPr>
              <w:spacing w:before="120" w:after="120"/>
            </w:pPr>
            <w:r>
              <w:rPr>
                <w:rFonts w:hint="eastAsia"/>
              </w:rPr>
              <w:t>According to Fons Trompenaars, cultural differences will create a better understanding of reality. They developed a cultural model, that distinguishes seven cultural dimensions. The name of this management and communication model is the Trompenaars Cultural Dimensions (</w:t>
            </w:r>
            <w:r>
              <w:rPr>
                <w:rFonts w:eastAsia="Arial" w:cs="Times New Roman"/>
                <w:color w:val="000000" w:themeColor="text1"/>
                <w:kern w:val="3"/>
                <w14:textFill>
                  <w14:solidFill>
                    <w14:schemeClr w14:val="tx1"/>
                  </w14:solidFill>
                </w14:textFill>
              </w:rPr>
              <w:t>Trompenaars and Hampden-Turner, 2015</w:t>
            </w:r>
            <w:r>
              <w:rPr>
                <w:rFonts w:hint="eastAsia" w:eastAsia="宋体" w:cs="Times New Roman"/>
                <w:color w:val="000000" w:themeColor="text1"/>
                <w:kern w:val="3"/>
                <w14:textFill>
                  <w14:solidFill>
                    <w14:schemeClr w14:val="tx1"/>
                  </w14:solidFill>
                </w14:textFill>
              </w:rPr>
              <w:t>)</w:t>
            </w:r>
            <w:r>
              <w:rPr>
                <w:rFonts w:hint="eastAsia"/>
              </w:rPr>
              <w:t>.</w:t>
            </w:r>
          </w:p>
          <w:p>
            <w:pPr>
              <w:spacing w:before="120" w:after="120"/>
            </w:pPr>
          </w:p>
          <w:p>
            <w:pPr>
              <w:spacing w:before="120" w:after="120"/>
            </w:pPr>
            <w:r>
              <w:rPr>
                <w:rFonts w:hint="eastAsia"/>
              </w:rPr>
              <w:t>These are the seven cultural dimensions:</w:t>
            </w:r>
          </w:p>
          <w:p>
            <w:pPr>
              <w:numPr>
                <w:ilvl w:val="0"/>
                <w:numId w:val="3"/>
              </w:numPr>
              <w:spacing w:before="120" w:after="120"/>
            </w:pPr>
            <w:r>
              <w:rPr>
                <w:rFonts w:hint="eastAsia"/>
              </w:rPr>
              <w:t>Universalism versus Particularism</w:t>
            </w:r>
          </w:p>
          <w:p>
            <w:pPr>
              <w:numPr>
                <w:ilvl w:val="0"/>
                <w:numId w:val="3"/>
              </w:numPr>
              <w:spacing w:before="120" w:after="120"/>
            </w:pPr>
            <w:r>
              <w:rPr>
                <w:rFonts w:hint="eastAsia"/>
              </w:rPr>
              <w:t>Individualism versus Communitarianism</w:t>
            </w:r>
          </w:p>
          <w:p>
            <w:pPr>
              <w:numPr>
                <w:ilvl w:val="0"/>
                <w:numId w:val="3"/>
              </w:numPr>
              <w:spacing w:before="120" w:after="120"/>
            </w:pPr>
            <w:r>
              <w:rPr>
                <w:rFonts w:hint="eastAsia"/>
              </w:rPr>
              <w:t>Neutral versus Emotional</w:t>
            </w:r>
          </w:p>
          <w:p>
            <w:pPr>
              <w:numPr>
                <w:ilvl w:val="0"/>
                <w:numId w:val="3"/>
              </w:numPr>
              <w:spacing w:before="120" w:after="120"/>
            </w:pPr>
            <w:r>
              <w:rPr>
                <w:rFonts w:hint="eastAsia"/>
              </w:rPr>
              <w:t>Specific versus Diffuse</w:t>
            </w:r>
          </w:p>
          <w:p>
            <w:pPr>
              <w:numPr>
                <w:ilvl w:val="0"/>
                <w:numId w:val="3"/>
              </w:numPr>
              <w:spacing w:before="120" w:after="120"/>
            </w:pPr>
            <w:r>
              <w:rPr>
                <w:rFonts w:hint="eastAsia"/>
              </w:rPr>
              <w:t>Achievement versus Ascription</w:t>
            </w:r>
          </w:p>
          <w:p>
            <w:pPr>
              <w:numPr>
                <w:ilvl w:val="0"/>
                <w:numId w:val="3"/>
              </w:numPr>
              <w:spacing w:before="120" w:after="120"/>
            </w:pPr>
            <w:r>
              <w:rPr>
                <w:rFonts w:hint="eastAsia"/>
              </w:rPr>
              <w:t>Sequential versus Synchronous time</w:t>
            </w:r>
          </w:p>
          <w:p>
            <w:pPr>
              <w:numPr>
                <w:ilvl w:val="0"/>
                <w:numId w:val="3"/>
              </w:numPr>
              <w:spacing w:before="120" w:after="120"/>
            </w:pPr>
            <w:r>
              <w:rPr>
                <w:rFonts w:hint="eastAsia"/>
              </w:rPr>
              <w:t>Internal direction versus External direction</w:t>
            </w:r>
          </w:p>
        </w:tc>
      </w:tr>
    </w:tbl>
    <w:p>
      <w:pPr>
        <w:spacing w:before="120" w:after="120"/>
      </w:pPr>
    </w:p>
    <w:p>
      <w:pPr>
        <w:pStyle w:val="2"/>
        <w:spacing w:before="360" w:after="120" w:line="360" w:lineRule="auto"/>
      </w:pPr>
      <w:bookmarkStart w:id="105" w:name="_Toc13924_WPSOffice_Level2"/>
      <w:bookmarkStart w:id="106" w:name="_Toc453_WPSOffice_Level2"/>
      <w:r>
        <w:rPr>
          <w:rFonts w:hint="eastAsia"/>
        </w:rPr>
        <w:t>1.8 Organisation of chapters</w:t>
      </w:r>
      <w:bookmarkEnd w:id="105"/>
      <w:bookmarkEnd w:id="106"/>
    </w:p>
    <w:p>
      <w:pPr>
        <w:spacing w:before="120" w:after="120"/>
      </w:pPr>
      <w:r>
        <w:t>In order to keep the research simple and clear it is essential for the researcher to structure the research in a proper manner. Therefore, this research is designed in 5 chapters and sub chapters. The brief information regarding each chapter is given below:</w:t>
      </w:r>
    </w:p>
    <w:p>
      <w:pPr>
        <w:spacing w:before="120" w:after="120"/>
      </w:pPr>
    </w:p>
    <w:p>
      <w:pPr>
        <w:spacing w:before="120" w:after="120"/>
        <w:rPr>
          <w:b/>
          <w:bCs/>
        </w:rPr>
      </w:pPr>
      <w:bookmarkStart w:id="107" w:name="_Toc1537_WPSOffice_Level2"/>
      <w:bookmarkStart w:id="108" w:name="_Toc9274_WPSOffice_Level2"/>
      <w:r>
        <w:rPr>
          <w:b/>
          <w:bCs/>
        </w:rPr>
        <w:t>Chapter 1: Introduction</w:t>
      </w:r>
      <w:bookmarkEnd w:id="107"/>
      <w:bookmarkEnd w:id="108"/>
    </w:p>
    <w:p>
      <w:pPr>
        <w:spacing w:before="120" w:after="120"/>
      </w:pPr>
      <w:r>
        <w:t>Chapter one is the first chapter of research with include the basic knowledge and initial research information finding of researcher based on the research topic.This chapter included research background, aims and objectives, research question and research limitation that was presented as upper of the report, therefore viewer can easily to know the core objective about this research.</w:t>
      </w:r>
    </w:p>
    <w:p>
      <w:pPr>
        <w:spacing w:before="120" w:after="120"/>
      </w:pPr>
    </w:p>
    <w:p>
      <w:pPr>
        <w:spacing w:before="120" w:after="120"/>
        <w:rPr>
          <w:b/>
          <w:bCs/>
        </w:rPr>
      </w:pPr>
      <w:bookmarkStart w:id="109" w:name="_Toc28967_WPSOffice_Level2"/>
      <w:bookmarkStart w:id="110" w:name="_Toc1797_WPSOffice_Level2"/>
      <w:r>
        <w:rPr>
          <w:b/>
          <w:bCs/>
        </w:rPr>
        <w:t>Chapter 2: Literature Review</w:t>
      </w:r>
      <w:bookmarkEnd w:id="109"/>
      <w:bookmarkEnd w:id="110"/>
    </w:p>
    <w:p>
      <w:pPr>
        <w:spacing w:before="120" w:after="120"/>
      </w:pPr>
      <w:r>
        <w:t xml:space="preserve">Chapter two consists of a combination of literature review on </w:t>
      </w:r>
      <w:r>
        <w:rPr>
          <w:rFonts w:hint="eastAsia"/>
        </w:rPr>
        <w:t>the performance of Chinese education institutions</w:t>
      </w:r>
      <w:r>
        <w:t>, fundamental theories, theoretical framework, and hypotheses development.</w:t>
      </w:r>
      <w:r>
        <w:rPr>
          <w:rFonts w:hint="eastAsia"/>
        </w:rPr>
        <w:t xml:space="preserve"> </w:t>
      </w:r>
      <w:r>
        <w:t xml:space="preserve">This chapter reviews the </w:t>
      </w:r>
      <w:r>
        <w:rPr>
          <w:rFonts w:hint="eastAsia"/>
        </w:rPr>
        <w:t>theoretical</w:t>
      </w:r>
      <w:r>
        <w:t xml:space="preserve"> framework.</w:t>
      </w:r>
    </w:p>
    <w:p>
      <w:pPr>
        <w:spacing w:before="120" w:after="120"/>
      </w:pPr>
    </w:p>
    <w:p>
      <w:pPr>
        <w:spacing w:before="120" w:after="120"/>
        <w:rPr>
          <w:b/>
          <w:bCs/>
        </w:rPr>
      </w:pPr>
      <w:bookmarkStart w:id="111" w:name="_Toc8829_WPSOffice_Level2"/>
      <w:bookmarkStart w:id="112" w:name="_Toc23874_WPSOffice_Level2"/>
      <w:r>
        <w:rPr>
          <w:b/>
          <w:bCs/>
        </w:rPr>
        <w:t>Chapter 3: Research Methodology</w:t>
      </w:r>
      <w:bookmarkEnd w:id="111"/>
      <w:bookmarkEnd w:id="112"/>
    </w:p>
    <w:p>
      <w:pPr>
        <w:spacing w:before="120" w:after="120"/>
      </w:pPr>
      <w:r>
        <w:t xml:space="preserve">Chapter three is the chapter that provide explanations on research methodology, research design, approaches, tools and techniques used to collect data. Furthermore, this chapter also explains in detailed on research instrument, populations, sampling methods, as well as sample size. </w:t>
      </w:r>
    </w:p>
    <w:p>
      <w:pPr>
        <w:spacing w:before="120" w:after="120"/>
      </w:pPr>
    </w:p>
    <w:p>
      <w:pPr>
        <w:spacing w:before="120" w:after="120"/>
        <w:rPr>
          <w:b/>
          <w:bCs/>
        </w:rPr>
      </w:pPr>
      <w:bookmarkStart w:id="113" w:name="_Toc7616_WPSOffice_Level2"/>
      <w:bookmarkStart w:id="114" w:name="_Toc20538_WPSOffice_Level2"/>
      <w:r>
        <w:rPr>
          <w:b/>
          <w:bCs/>
        </w:rPr>
        <w:t>Chapter 4: Analysis and Findings</w:t>
      </w:r>
      <w:bookmarkEnd w:id="113"/>
      <w:bookmarkEnd w:id="114"/>
    </w:p>
    <w:p>
      <w:pPr>
        <w:spacing w:before="120" w:after="120"/>
      </w:pPr>
      <w:r>
        <w:t>Chapter four will provide further analysis and investigations on the data which is relevant to the questions and hypotheses discussed. Obtained data will be presented in tables and figure format for better interpretations.</w:t>
      </w:r>
    </w:p>
    <w:p>
      <w:pPr>
        <w:spacing w:before="120" w:after="120"/>
      </w:pPr>
    </w:p>
    <w:p>
      <w:pPr>
        <w:spacing w:before="120" w:after="120"/>
        <w:rPr>
          <w:b/>
          <w:bCs/>
        </w:rPr>
      </w:pPr>
      <w:bookmarkStart w:id="115" w:name="_Toc5515_WPSOffice_Level2"/>
      <w:bookmarkStart w:id="116" w:name="_Toc29568_WPSOffice_Level2"/>
      <w:r>
        <w:rPr>
          <w:b/>
          <w:bCs/>
        </w:rPr>
        <w:t>Chapter 5: Conclusion</w:t>
      </w:r>
      <w:bookmarkEnd w:id="115"/>
      <w:bookmarkEnd w:id="116"/>
    </w:p>
    <w:p>
      <w:pPr>
        <w:spacing w:before="120" w:after="120"/>
        <w:sectPr>
          <w:footerReference r:id="rId7" w:type="default"/>
          <w:pgSz w:w="12240" w:h="15840"/>
          <w:pgMar w:top="1440" w:right="1440" w:bottom="1440" w:left="1440" w:header="720" w:footer="720" w:gutter="0"/>
          <w:pgNumType w:start="1"/>
          <w:cols w:space="720" w:num="1"/>
          <w:docGrid w:linePitch="360" w:charSpace="0"/>
        </w:sectPr>
      </w:pPr>
      <w:r>
        <w:t>Chapter five is the final chapter that summarize all the findings in this research and to discuss about some recommendations and suggestions for future research. Besides that, this chapter also further discuss on limitation and implications of this research</w:t>
      </w:r>
    </w:p>
    <w:p>
      <w:pPr>
        <w:pStyle w:val="2"/>
        <w:spacing w:before="360" w:after="120"/>
      </w:pPr>
      <w:bookmarkStart w:id="117" w:name="_Toc11616_WPSOffice_Level1"/>
      <w:bookmarkStart w:id="118" w:name="_Toc12467_WPSOffice_Level1"/>
      <w:bookmarkStart w:id="119" w:name="_Toc4142_WPSOffice_Level1"/>
      <w:bookmarkStart w:id="120" w:name="_Toc24778_WPSOffice_Level1"/>
      <w:r>
        <w:t>CHAPTER 2</w:t>
      </w:r>
      <w:r>
        <w:rPr>
          <w:rFonts w:hint="eastAsia"/>
        </w:rPr>
        <w:t>.</w:t>
      </w:r>
      <w:r>
        <w:rPr>
          <w:spacing w:val="1"/>
        </w:rPr>
        <w:t xml:space="preserve"> </w:t>
      </w:r>
      <w:r>
        <w:t>LITERATURE</w:t>
      </w:r>
      <w:r>
        <w:rPr>
          <w:spacing w:val="4"/>
        </w:rPr>
        <w:t xml:space="preserve"> </w:t>
      </w:r>
      <w:r>
        <w:t>REVIEW</w:t>
      </w:r>
      <w:bookmarkEnd w:id="117"/>
      <w:bookmarkEnd w:id="118"/>
    </w:p>
    <w:p>
      <w:pPr>
        <w:pStyle w:val="2"/>
        <w:spacing w:before="360" w:after="120"/>
      </w:pPr>
      <w:bookmarkStart w:id="121" w:name="_Toc13378_WPSOffice_Level1"/>
      <w:bookmarkStart w:id="122" w:name="_Toc10396_WPSOffice_Level1"/>
      <w:r>
        <w:rPr>
          <w:rFonts w:hint="eastAsia"/>
        </w:rPr>
        <w:t>2.0 Overview</w:t>
      </w:r>
      <w:bookmarkEnd w:id="119"/>
      <w:bookmarkEnd w:id="120"/>
      <w:bookmarkEnd w:id="121"/>
      <w:bookmarkEnd w:id="122"/>
    </w:p>
    <w:p>
      <w:pPr>
        <w:spacing w:before="120" w:after="120"/>
      </w:pPr>
      <w:r>
        <w:t xml:space="preserve">Chapter two reviews the recent researches and literature on </w:t>
      </w:r>
      <w:r>
        <w:rPr>
          <w:rFonts w:hint="eastAsia"/>
        </w:rPr>
        <w:t>western corporate culture</w:t>
      </w:r>
      <w:r>
        <w:t xml:space="preserve"> and establishes the theoretical basis. This chapter will outline the previous literature on the main points of this study, such as</w:t>
      </w:r>
      <w:r>
        <w:rPr>
          <w:rFonts w:hint="eastAsia"/>
        </w:rPr>
        <w:t xml:space="preserve"> western corporate culture, the performance of education industry in China, </w:t>
      </w:r>
      <w:r>
        <w:rPr>
          <w:rFonts w:hint="eastAsia" w:cs="Times New Roman"/>
        </w:rPr>
        <w:t>Deal &amp; Kennedy</w:t>
      </w:r>
      <w:r>
        <w:rPr>
          <w:rFonts w:cs="Times New Roman"/>
        </w:rPr>
        <w:t>’</w:t>
      </w:r>
      <w:r>
        <w:rPr>
          <w:rFonts w:hint="eastAsia" w:cs="Times New Roman"/>
        </w:rPr>
        <w:t>s corporate culture dimensions</w:t>
      </w:r>
      <w:r>
        <w:rPr>
          <w:rFonts w:cs="Times New Roman"/>
        </w:rPr>
        <w:t xml:space="preserve"> </w:t>
      </w:r>
      <w:r>
        <w:rPr>
          <w:rFonts w:eastAsia="Arial" w:cs="Times New Roman"/>
          <w:color w:val="000000" w:themeColor="text1"/>
          <w:shd w:val="clear" w:color="auto" w:fill="FFFFFF"/>
          <w14:textFill>
            <w14:solidFill>
              <w14:schemeClr w14:val="tx1"/>
            </w14:solidFill>
          </w14:textFill>
        </w:rPr>
        <w:t>(Deal and Kennedy, 2000)</w:t>
      </w:r>
      <w:r>
        <w:rPr>
          <w:rFonts w:eastAsia="宋体" w:cs="Times New Roman"/>
          <w:color w:val="666666"/>
          <w:shd w:val="clear" w:color="auto" w:fill="FFFFFF"/>
        </w:rPr>
        <w:t xml:space="preserve"> </w:t>
      </w:r>
      <w:r>
        <w:rPr>
          <w:rFonts w:hint="eastAsia" w:cs="Times New Roman"/>
        </w:rPr>
        <w:t xml:space="preserve">and </w:t>
      </w:r>
      <w:r>
        <w:t xml:space="preserve">the </w:t>
      </w:r>
      <w:r>
        <w:rPr>
          <w:rFonts w:hint="eastAsia"/>
        </w:rPr>
        <w:t xml:space="preserve">Trompenaars Cultural Dimensions </w:t>
      </w:r>
      <w:r>
        <w:rPr>
          <w:rFonts w:eastAsia="Arial" w:cs="Times New Roman"/>
          <w:color w:val="000000" w:themeColor="text1"/>
          <w14:textFill>
            <w14:solidFill>
              <w14:schemeClr w14:val="tx1"/>
            </w14:solidFill>
          </w14:textFill>
        </w:rPr>
        <w:t>(Trompenaars and Hampden,</w:t>
      </w:r>
      <w:r>
        <w:rPr>
          <w:rFonts w:hint="eastAsia" w:eastAsia="宋体" w:cs="Times New Roman"/>
          <w:color w:val="000000" w:themeColor="text1"/>
          <w14:textFill>
            <w14:solidFill>
              <w14:schemeClr w14:val="tx1"/>
            </w14:solidFill>
          </w14:textFill>
        </w:rPr>
        <w:t xml:space="preserve"> </w:t>
      </w:r>
      <w:r>
        <w:rPr>
          <w:rFonts w:eastAsia="Arial" w:cs="Times New Roman"/>
          <w:color w:val="000000" w:themeColor="text1"/>
          <w14:textFill>
            <w14:solidFill>
              <w14:schemeClr w14:val="tx1"/>
            </w14:solidFill>
          </w14:textFill>
        </w:rPr>
        <w:t>2015)</w:t>
      </w:r>
      <w:r>
        <w:rPr>
          <w:rFonts w:hint="eastAsia"/>
        </w:rPr>
        <w:t>. At last</w:t>
      </w:r>
      <w:r>
        <w:t>, according to the literature review, the research framework of current project and research hypothesis is put forwar</w:t>
      </w:r>
      <w:r>
        <w:rPr>
          <w:rFonts w:hint="eastAsia"/>
        </w:rPr>
        <w:t>d.</w:t>
      </w:r>
    </w:p>
    <w:p>
      <w:pPr>
        <w:pStyle w:val="2"/>
        <w:spacing w:before="360" w:after="120"/>
      </w:pPr>
      <w:r>
        <w:rPr>
          <w:rFonts w:hint="eastAsia"/>
        </w:rPr>
        <w:t>2.1 The performance of education industry in China</w:t>
      </w:r>
    </w:p>
    <w:p>
      <w:pPr>
        <w:widowControl/>
        <w:spacing w:before="120" w:after="120"/>
        <w:rPr>
          <w:rFonts w:eastAsia="宋体" w:cs="Times New Roman"/>
          <w:color w:val="000000"/>
          <w:kern w:val="0"/>
          <w:shd w:val="clear" w:color="auto" w:fill="FFFFFF"/>
          <w:lang w:bidi="ar"/>
        </w:rPr>
      </w:pPr>
      <w:r>
        <w:rPr>
          <w:rFonts w:eastAsia="宋体" w:cs="Times New Roman"/>
          <w:color w:val="000000"/>
          <w:kern w:val="0"/>
          <w:shd w:val="clear" w:color="auto" w:fill="FFFFFF"/>
          <w:lang w:bidi="ar"/>
        </w:rPr>
        <w:t>China education is one of the largest education system in the world. On June 2017, there were 9.4 million students taking the National Higher Education Entrance Examination (Gao Kao) in China</w:t>
      </w:r>
      <w:r>
        <w:rPr>
          <w:rFonts w:hint="eastAsia" w:eastAsia="宋体" w:cs="Times New Roman"/>
          <w:color w:val="000000"/>
          <w:kern w:val="0"/>
          <w:shd w:val="clear" w:color="auto" w:fill="FFFFFF"/>
          <w:lang w:bidi="ar"/>
        </w:rPr>
        <w:t xml:space="preserve"> </w:t>
      </w:r>
      <w:r>
        <w:rPr>
          <w:rFonts w:eastAsia="Arial" w:cs="Times New Roman"/>
          <w:color w:val="000000" w:themeColor="text1"/>
          <w14:textFill>
            <w14:solidFill>
              <w14:schemeClr w14:val="tx1"/>
            </w14:solidFill>
          </w14:textFill>
        </w:rPr>
        <w:t>(Wu and Ping,</w:t>
      </w:r>
      <w:r>
        <w:rPr>
          <w:rFonts w:hint="eastAsia" w:eastAsia="宋体" w:cs="Times New Roman"/>
          <w:color w:val="000000" w:themeColor="text1"/>
          <w14:textFill>
            <w14:solidFill>
              <w14:schemeClr w14:val="tx1"/>
            </w14:solidFill>
          </w14:textFill>
        </w:rPr>
        <w:t xml:space="preserve"> 2014</w:t>
      </w:r>
      <w:r>
        <w:rPr>
          <w:rFonts w:eastAsia="Arial" w:cs="Times New Roman"/>
          <w:color w:val="000000" w:themeColor="text1"/>
          <w14:textFill>
            <w14:solidFill>
              <w14:schemeClr w14:val="tx1"/>
            </w14:solidFill>
          </w14:textFill>
        </w:rPr>
        <w:t>)</w:t>
      </w:r>
      <w:r>
        <w:rPr>
          <w:rFonts w:eastAsia="宋体" w:cs="Times New Roman"/>
          <w:color w:val="000000"/>
          <w:kern w:val="0"/>
          <w:shd w:val="clear" w:color="auto" w:fill="FFFFFF"/>
          <w:lang w:bidi="ar"/>
        </w:rPr>
        <w:t>. Investment in education accounts for about 4% of total GDP in China. In 1986, the Chinese government passed a compulsory education law, making nine years of education mandatory for all Chinese children</w:t>
      </w:r>
      <w:r>
        <w:rPr>
          <w:rFonts w:hint="eastAsia" w:eastAsia="宋体" w:cs="Times New Roman"/>
          <w:color w:val="000000"/>
          <w:kern w:val="0"/>
          <w:shd w:val="clear" w:color="auto" w:fill="FFFFFF"/>
          <w:lang w:bidi="ar"/>
        </w:rPr>
        <w:t xml:space="preserve"> </w:t>
      </w:r>
      <w:r>
        <w:rPr>
          <w:rFonts w:eastAsia="Arial" w:cs="Times New Roman"/>
          <w:color w:val="000000" w:themeColor="text1"/>
          <w14:textFill>
            <w14:solidFill>
              <w14:schemeClr w14:val="tx1"/>
            </w14:solidFill>
          </w14:textFill>
        </w:rPr>
        <w:t>(Xie and Huang, 2012)</w:t>
      </w:r>
      <w:r>
        <w:rPr>
          <w:rFonts w:eastAsia="宋体" w:cs="Times New Roman"/>
          <w:color w:val="000000"/>
          <w:kern w:val="0"/>
          <w:shd w:val="clear" w:color="auto" w:fill="FFFFFF"/>
          <w:lang w:bidi="ar"/>
        </w:rPr>
        <w:t>. Today, the Ministry of Education estimates that above 99 percent of the school-age children have received universal nine-year basic education</w:t>
      </w:r>
      <w:r>
        <w:rPr>
          <w:rFonts w:hint="eastAsia" w:eastAsia="宋体" w:cs="Times New Roman"/>
          <w:color w:val="000000"/>
          <w:kern w:val="0"/>
          <w:shd w:val="clear" w:color="auto" w:fill="FFFFFF"/>
          <w:lang w:bidi="ar"/>
        </w:rPr>
        <w:t xml:space="preserve"> </w:t>
      </w:r>
      <w:r>
        <w:rPr>
          <w:rFonts w:eastAsia="Arial" w:cs="Times New Roman"/>
          <w:color w:val="000000" w:themeColor="text1"/>
          <w14:textFill>
            <w14:solidFill>
              <w14:schemeClr w14:val="tx1"/>
            </w14:solidFill>
          </w14:textFill>
        </w:rPr>
        <w:t>(Wang and Lewin, 2016)</w:t>
      </w:r>
      <w:r>
        <w:rPr>
          <w:rFonts w:eastAsia="宋体" w:cs="Times New Roman"/>
          <w:color w:val="000000"/>
          <w:kern w:val="0"/>
          <w:shd w:val="clear" w:color="auto" w:fill="FFFFFF"/>
          <w:lang w:bidi="ar"/>
        </w:rPr>
        <w:t>.</w:t>
      </w:r>
    </w:p>
    <w:p>
      <w:pPr>
        <w:widowControl/>
        <w:spacing w:before="120" w:after="120"/>
        <w:rPr>
          <w:rFonts w:cs="Times New Roman"/>
          <w:color w:val="000000"/>
        </w:rPr>
      </w:pPr>
      <w:r>
        <w:rPr>
          <w:rFonts w:cs="Times New Roman"/>
          <w:color w:val="000000"/>
        </w:rPr>
        <w:t>On March 2018, Ministry of Education of the People's Republic of China</w:t>
      </w:r>
      <w:r>
        <w:rPr>
          <w:rFonts w:cs="Times New Roman"/>
          <w:color w:val="000000" w:themeColor="text1"/>
          <w14:textFill>
            <w14:solidFill>
              <w14:schemeClr w14:val="tx1"/>
            </w14:solidFill>
          </w14:textFill>
        </w:rPr>
        <w:t xml:space="preserve"> </w:t>
      </w:r>
      <w:r>
        <w:rPr>
          <w:rFonts w:cs="Times New Roman"/>
          <w:color w:val="000000"/>
        </w:rPr>
        <w:t>announced a total of 489,200 international students were studying in China in 2017</w:t>
      </w:r>
      <w:r>
        <w:rPr>
          <w:rFonts w:hint="eastAsia" w:cs="Times New Roman"/>
          <w:color w:val="000000"/>
        </w:rPr>
        <w:t>,</w:t>
      </w:r>
      <w:r>
        <w:rPr>
          <w:rFonts w:cs="Times New Roman"/>
          <w:color w:val="000000"/>
        </w:rPr>
        <w:t xml:space="preserve"> International students have enrolled in over 935 higher education institutions in China</w:t>
      </w:r>
      <w:r>
        <w:rPr>
          <w:rFonts w:hint="eastAsia" w:cs="Times New Roman"/>
          <w:color w:val="000000"/>
        </w:rPr>
        <w:t xml:space="preserve"> </w:t>
      </w:r>
      <w:r>
        <w:rPr>
          <w:rFonts w:eastAsia="Arial" w:cs="Times New Roman"/>
          <w:color w:val="000000" w:themeColor="text1"/>
          <w14:textFill>
            <w14:solidFill>
              <w14:schemeClr w14:val="tx1"/>
            </w14:solidFill>
          </w14:textFill>
        </w:rPr>
        <w:t>(Hu, Yang and Tang, 2018)</w:t>
      </w:r>
      <w:r>
        <w:rPr>
          <w:rFonts w:cs="Times New Roman"/>
          <w:color w:val="000000"/>
        </w:rPr>
        <w:t>. China has a long history of providing education to international students studying in high schools and universities in China. Over the past few years, the number of international students who study abroad in China has significantly increased every year</w:t>
      </w:r>
      <w:r>
        <w:rPr>
          <w:rFonts w:hint="eastAsia" w:cs="Times New Roman"/>
          <w:color w:val="000000" w:themeColor="text1"/>
          <w14:textFill>
            <w14:solidFill>
              <w14:schemeClr w14:val="tx1"/>
            </w14:solidFill>
          </w14:textFill>
        </w:rPr>
        <w:t xml:space="preserve"> </w:t>
      </w:r>
      <w:r>
        <w:rPr>
          <w:rFonts w:eastAsia="Arial" w:cs="Times New Roman"/>
          <w:color w:val="000000" w:themeColor="text1"/>
          <w14:textFill>
            <w14:solidFill>
              <w14:schemeClr w14:val="tx1"/>
            </w14:solidFill>
          </w14:textFill>
        </w:rPr>
        <w:t>(Shabanifar and Konyalioglu, 2013)</w:t>
      </w:r>
      <w:r>
        <w:rPr>
          <w:rFonts w:cs="Times New Roman"/>
          <w:color w:val="000000" w:themeColor="text1"/>
          <w14:textFill>
            <w14:solidFill>
              <w14:schemeClr w14:val="tx1"/>
            </w14:solidFill>
          </w14:textFill>
        </w:rPr>
        <w:t>.</w:t>
      </w:r>
    </w:p>
    <w:p>
      <w:pPr>
        <w:widowControl/>
        <w:spacing w:before="120" w:after="120"/>
        <w:rPr>
          <w:rFonts w:cs="Times New Roman"/>
          <w:color w:val="000000"/>
        </w:rPr>
      </w:pPr>
      <w:r>
        <w:rPr>
          <w:rFonts w:cs="Times New Roman"/>
          <w:color w:val="000000"/>
        </w:rPr>
        <w:t>The higher education sector has growth as well</w:t>
      </w:r>
      <w:r>
        <w:rPr>
          <w:rFonts w:hint="eastAsia" w:cs="Times New Roman"/>
          <w:color w:val="000000"/>
        </w:rPr>
        <w:t xml:space="preserve">, </w:t>
      </w:r>
      <w:r>
        <w:rPr>
          <w:rFonts w:cs="Times New Roman"/>
          <w:color w:val="000000"/>
        </w:rPr>
        <w:t>China has increased the proportion of its college-age population in higher education to over 20 percent now from 1.4 percent in 1978</w:t>
      </w:r>
      <w:r>
        <w:rPr>
          <w:rFonts w:hint="eastAsia" w:cs="Times New Roman"/>
          <w:color w:val="000000"/>
        </w:rPr>
        <w:t xml:space="preserve"> </w:t>
      </w:r>
      <w:r>
        <w:rPr>
          <w:rFonts w:eastAsia="Arial" w:cs="Times New Roman"/>
          <w:color w:val="000000" w:themeColor="text1"/>
          <w14:textFill>
            <w14:solidFill>
              <w14:schemeClr w14:val="tx1"/>
            </w14:solidFill>
          </w14:textFill>
        </w:rPr>
        <w:t>(Jian, 2013)</w:t>
      </w:r>
      <w:r>
        <w:rPr>
          <w:rFonts w:cs="Times New Roman"/>
          <w:color w:val="000000"/>
        </w:rPr>
        <w:t>. At the same time, China is improving the quality of education through a major effort at school curriculum reform</w:t>
      </w:r>
      <w:r>
        <w:rPr>
          <w:rFonts w:cs="Times New Roman"/>
          <w:color w:val="000000" w:themeColor="text1"/>
          <w14:textFill>
            <w14:solidFill>
              <w14:schemeClr w14:val="tx1"/>
            </w14:solidFill>
          </w14:textFill>
        </w:rPr>
        <w:t xml:space="preserve"> </w:t>
      </w:r>
      <w:r>
        <w:rPr>
          <w:rFonts w:eastAsia="Arial" w:cs="Times New Roman"/>
          <w:color w:val="000000" w:themeColor="text1"/>
          <w14:textFill>
            <w14:solidFill>
              <w14:schemeClr w14:val="tx1"/>
            </w14:solidFill>
          </w14:textFill>
        </w:rPr>
        <w:t>(Zheng, 2014)</w:t>
      </w:r>
      <w:r>
        <w:rPr>
          <w:rFonts w:cs="Times New Roman"/>
          <w:color w:val="000000"/>
        </w:rPr>
        <w:t>.</w:t>
      </w:r>
    </w:p>
    <w:p>
      <w:pPr>
        <w:widowControl/>
        <w:spacing w:before="120" w:after="120"/>
        <w:rPr>
          <w:rFonts w:cs="Times New Roman"/>
          <w:color w:val="000000"/>
        </w:rPr>
      </w:pPr>
    </w:p>
    <w:p>
      <w:pPr>
        <w:pStyle w:val="4"/>
        <w:spacing w:before="120" w:after="120"/>
      </w:pPr>
      <w:bookmarkStart w:id="123" w:name="_Toc26703_WPSOffice_Level2"/>
      <w:bookmarkStart w:id="124" w:name="_Toc15931_WPSOffice_Level1"/>
      <w:bookmarkStart w:id="125" w:name="_Toc27466_WPSOffice_Level2"/>
      <w:bookmarkStart w:id="126" w:name="_Toc20592_WPSOffice_Level1"/>
      <w:r>
        <w:rPr>
          <w:rFonts w:hint="eastAsia"/>
        </w:rPr>
        <w:t>2.1.1 Global perspective</w:t>
      </w:r>
      <w:bookmarkEnd w:id="123"/>
      <w:bookmarkEnd w:id="124"/>
      <w:bookmarkEnd w:id="125"/>
      <w:bookmarkEnd w:id="126"/>
    </w:p>
    <w:p>
      <w:pPr>
        <w:spacing w:before="120" w:after="120"/>
        <w:rPr>
          <w:rFonts w:cs="Times New Roman"/>
        </w:rPr>
      </w:pPr>
      <w:r>
        <w:rPr>
          <w:rFonts w:cs="Times New Roman"/>
        </w:rPr>
        <w:t>Currently, the internationalization of Chinese education faces extremely unbalanced import and export</w:t>
      </w:r>
      <w:r>
        <w:rPr>
          <w:rFonts w:cs="Times New Roman"/>
          <w:color w:val="000000" w:themeColor="text1"/>
          <w14:textFill>
            <w14:solidFill>
              <w14:schemeClr w14:val="tx1"/>
            </w14:solidFill>
          </w14:textFill>
        </w:rPr>
        <w:t xml:space="preserve"> </w:t>
      </w:r>
      <w:r>
        <w:rPr>
          <w:rFonts w:eastAsia="Arial" w:cs="Times New Roman"/>
          <w:color w:val="000000" w:themeColor="text1"/>
          <w14:textFill>
            <w14:solidFill>
              <w14:schemeClr w14:val="tx1"/>
            </w14:solidFill>
          </w14:textFill>
        </w:rPr>
        <w:t>(Normile, 2017)</w:t>
      </w:r>
      <w:r>
        <w:rPr>
          <w:rFonts w:cs="Times New Roman"/>
          <w:color w:val="000000" w:themeColor="text1"/>
          <w14:textFill>
            <w14:solidFill>
              <w14:schemeClr w14:val="tx1"/>
            </w14:solidFill>
          </w14:textFill>
        </w:rPr>
        <w:t>.</w:t>
      </w:r>
      <w:r>
        <w:rPr>
          <w:rFonts w:cs="Times New Roman"/>
        </w:rPr>
        <w:t xml:space="preserve"> Restricted by weak educational resources of domestic education institutions, although the "export" of international education is highly potential, it is still in the beginning stage</w:t>
      </w:r>
      <w:r>
        <w:rPr>
          <w:rFonts w:cs="Times New Roman"/>
          <w:color w:val="000000" w:themeColor="text1"/>
          <w14:textFill>
            <w14:solidFill>
              <w14:schemeClr w14:val="tx1"/>
            </w14:solidFill>
          </w14:textFill>
        </w:rPr>
        <w:t xml:space="preserve"> </w:t>
      </w:r>
      <w:r>
        <w:rPr>
          <w:rFonts w:eastAsia="Arial" w:cs="Times New Roman"/>
          <w:color w:val="000000" w:themeColor="text1"/>
          <w14:textFill>
            <w14:solidFill>
              <w14:schemeClr w14:val="tx1"/>
            </w14:solidFill>
          </w14:textFill>
        </w:rPr>
        <w:t>(Chan, 2014)</w:t>
      </w:r>
      <w:r>
        <w:rPr>
          <w:rFonts w:cs="Times New Roman"/>
        </w:rPr>
        <w:t>.</w:t>
      </w:r>
    </w:p>
    <w:p>
      <w:pPr>
        <w:spacing w:before="120" w:after="120"/>
        <w:rPr>
          <w:rFonts w:cs="Times New Roman"/>
          <w:color w:val="000000" w:themeColor="text1"/>
          <w14:textFill>
            <w14:solidFill>
              <w14:schemeClr w14:val="tx1"/>
            </w14:solidFill>
          </w14:textFill>
        </w:rPr>
      </w:pPr>
      <w:r>
        <w:rPr>
          <w:rFonts w:cs="Times New Roman"/>
        </w:rPr>
        <w:t>Enterprises' overseas presence and policy support will drive the export of Chinese education industry in the future</w:t>
      </w:r>
      <w:r>
        <w:rPr>
          <w:rFonts w:hint="eastAsia" w:cs="Times New Roman"/>
        </w:rPr>
        <w:t xml:space="preserve"> </w:t>
      </w:r>
      <w:r>
        <w:rPr>
          <w:rFonts w:eastAsia="Arial" w:cs="Times New Roman"/>
          <w:color w:val="000000" w:themeColor="text1"/>
          <w14:textFill>
            <w14:solidFill>
              <w14:schemeClr w14:val="tx1"/>
            </w14:solidFill>
          </w14:textFill>
        </w:rPr>
        <w:t>(John, 2015)</w:t>
      </w:r>
      <w:r>
        <w:rPr>
          <w:rFonts w:cs="Times New Roman"/>
        </w:rPr>
        <w:t>. For enterprises, overseas presence not only helps them build their international images and prove the quality of their education content, to get more recognition domestically, but helps expand overseas markets in advance and identify new profit growth point. In addition, national policies also actively encourage local education to "go global"</w:t>
      </w:r>
      <w:r>
        <w:rPr>
          <w:rFonts w:hint="eastAsia" w:cs="Times New Roman"/>
        </w:rPr>
        <w:t xml:space="preserve"> </w:t>
      </w:r>
      <w:r>
        <w:rPr>
          <w:rFonts w:eastAsia="Arial" w:cs="Times New Roman"/>
          <w:color w:val="000000" w:themeColor="text1"/>
          <w14:textFill>
            <w14:solidFill>
              <w14:schemeClr w14:val="tx1"/>
            </w14:solidFill>
          </w14:textFill>
        </w:rPr>
        <w:t>(Naka, 2016)</w:t>
      </w:r>
      <w:r>
        <w:rPr>
          <w:rFonts w:cs="Times New Roman"/>
        </w:rPr>
        <w:t>. For example, B</w:t>
      </w:r>
      <w:r>
        <w:rPr>
          <w:rFonts w:hint="eastAsia" w:cs="Times New Roman"/>
        </w:rPr>
        <w:t xml:space="preserve"> </w:t>
      </w:r>
      <w:r>
        <w:rPr>
          <w:rFonts w:cs="Times New Roman"/>
        </w:rPr>
        <w:t>&amp;</w:t>
      </w:r>
      <w:r>
        <w:rPr>
          <w:rFonts w:hint="eastAsia" w:cs="Times New Roman"/>
        </w:rPr>
        <w:t xml:space="preserve"> </w:t>
      </w:r>
      <w:r>
        <w:rPr>
          <w:rFonts w:cs="Times New Roman"/>
        </w:rPr>
        <w:t>R</w:t>
      </w:r>
      <w:r>
        <w:rPr>
          <w:rFonts w:hint="eastAsia" w:cs="Times New Roman"/>
        </w:rPr>
        <w:t>(</w:t>
      </w:r>
      <w:r>
        <w:rPr>
          <w:rFonts w:eastAsia="宋体" w:cs="Times New Roman"/>
          <w:color w:val="000000" w:themeColor="text1"/>
          <w14:textFill>
            <w14:solidFill>
              <w14:schemeClr w14:val="tx1"/>
            </w14:solidFill>
          </w14:textFill>
        </w:rPr>
        <w:t>The Belt and Road</w:t>
      </w:r>
      <w:r>
        <w:rPr>
          <w:rFonts w:hint="eastAsia" w:cs="Times New Roman"/>
        </w:rPr>
        <w:t>)</w:t>
      </w:r>
      <w:r>
        <w:rPr>
          <w:rFonts w:cs="Times New Roman"/>
        </w:rPr>
        <w:t xml:space="preserve"> initiative proposed by the central government will "increase the number of overseas students studying in China and Chinese students studying in countries along B</w:t>
      </w:r>
      <w:r>
        <w:rPr>
          <w:rFonts w:hint="eastAsia" w:cs="Times New Roman"/>
        </w:rPr>
        <w:t xml:space="preserve"> </w:t>
      </w:r>
      <w:r>
        <w:rPr>
          <w:rFonts w:cs="Times New Roman"/>
        </w:rPr>
        <w:t>&amp;</w:t>
      </w:r>
      <w:r>
        <w:rPr>
          <w:rFonts w:hint="eastAsia" w:cs="Times New Roman"/>
        </w:rPr>
        <w:t xml:space="preserve"> </w:t>
      </w:r>
      <w:r>
        <w:rPr>
          <w:rFonts w:cs="Times New Roman"/>
        </w:rPr>
        <w:t>R, and cooperate in running schools</w:t>
      </w:r>
      <w:r>
        <w:rPr>
          <w:rFonts w:hint="eastAsia" w:cs="Times New Roman"/>
        </w:rPr>
        <w:t xml:space="preserve">" </w:t>
      </w:r>
      <w:r>
        <w:rPr>
          <w:rFonts w:cs="Times New Roman"/>
        </w:rPr>
        <w:t>, to provide opportunities for education export</w:t>
      </w:r>
      <w:r>
        <w:rPr>
          <w:rFonts w:hint="eastAsia" w:cs="Times New Roman"/>
        </w:rPr>
        <w:t xml:space="preserve"> </w:t>
      </w:r>
      <w:r>
        <w:rPr>
          <w:rFonts w:eastAsia="Arial" w:cs="Times New Roman"/>
          <w:color w:val="000000" w:themeColor="text1"/>
          <w14:textFill>
            <w14:solidFill>
              <w14:schemeClr w14:val="tx1"/>
            </w14:solidFill>
          </w14:textFill>
        </w:rPr>
        <w:t>(Li, 2018)</w:t>
      </w:r>
      <w:r>
        <w:rPr>
          <w:rFonts w:cs="Times New Roman"/>
        </w:rPr>
        <w:t>. However, different to "import"</w:t>
      </w:r>
      <w:r>
        <w:rPr>
          <w:rFonts w:hint="eastAsia" w:cs="Times New Roman"/>
        </w:rPr>
        <w:t xml:space="preserve"> </w:t>
      </w:r>
      <w:r>
        <w:rPr>
          <w:rFonts w:cs="Times New Roman"/>
        </w:rPr>
        <w:t>, currently the degree of internationalized "export" in various education sectors are different, form high to low are K12 training, preschool education, higher education and vocational education</w:t>
      </w:r>
      <w:r>
        <w:rPr>
          <w:rFonts w:cs="Times New Roman"/>
          <w:color w:val="000000" w:themeColor="text1"/>
          <w14:textFill>
            <w14:solidFill>
              <w14:schemeClr w14:val="tx1"/>
            </w14:solidFill>
          </w14:textFill>
        </w:rPr>
        <w:t xml:space="preserve"> </w:t>
      </w:r>
      <w:r>
        <w:rPr>
          <w:rFonts w:eastAsia="Arial" w:cs="Times New Roman"/>
          <w:color w:val="000000" w:themeColor="text1"/>
          <w14:textFill>
            <w14:solidFill>
              <w14:schemeClr w14:val="tx1"/>
            </w14:solidFill>
          </w14:textFill>
        </w:rPr>
        <w:t>(Jia, 2015)</w:t>
      </w:r>
      <w:r>
        <w:rPr>
          <w:rFonts w:cs="Times New Roman"/>
          <w:color w:val="000000" w:themeColor="text1"/>
          <w14:textFill>
            <w14:solidFill>
              <w14:schemeClr w14:val="tx1"/>
            </w14:solidFill>
          </w14:textFill>
        </w:rPr>
        <w:t>.</w:t>
      </w:r>
    </w:p>
    <w:p>
      <w:pPr>
        <w:pStyle w:val="4"/>
        <w:spacing w:before="120" w:after="120"/>
      </w:pPr>
      <w:bookmarkStart w:id="127" w:name="_Toc29511_WPSOffice_Level1"/>
      <w:bookmarkStart w:id="128" w:name="_Toc25393_WPSOffice_Level2"/>
      <w:bookmarkStart w:id="129" w:name="_Toc14302_WPSOffice_Level2"/>
      <w:bookmarkStart w:id="130" w:name="_Toc30948_WPSOffice_Level1"/>
      <w:r>
        <w:rPr>
          <w:rFonts w:hint="eastAsia"/>
        </w:rPr>
        <w:t>2.1.2 Local perspective</w:t>
      </w:r>
      <w:bookmarkEnd w:id="127"/>
      <w:bookmarkEnd w:id="128"/>
      <w:bookmarkEnd w:id="129"/>
      <w:bookmarkEnd w:id="130"/>
    </w:p>
    <w:p>
      <w:pPr>
        <w:pStyle w:val="9"/>
        <w:widowControl/>
        <w:shd w:val="clear" w:color="auto" w:fill="FFFFFF"/>
        <w:spacing w:before="120" w:beforeAutospacing="0" w:after="120" w:afterAutospacing="0"/>
        <w:jc w:val="both"/>
        <w:textAlignment w:val="baseline"/>
        <w:rPr>
          <w:rFonts w:eastAsia="Arial"/>
          <w:color w:val="000000" w:themeColor="text1"/>
          <w14:textFill>
            <w14:solidFill>
              <w14:schemeClr w14:val="tx1"/>
            </w14:solidFill>
          </w14:textFill>
        </w:rPr>
      </w:pPr>
      <w:r>
        <w:rPr>
          <w:rFonts w:eastAsia="Arial"/>
          <w:color w:val="000000" w:themeColor="text1"/>
          <w:shd w:val="clear" w:color="auto" w:fill="FFFFFF"/>
          <w14:textFill>
            <w14:solidFill>
              <w14:schemeClr w14:val="tx1"/>
            </w14:solidFill>
          </w14:textFill>
        </w:rPr>
        <w:t>Currently, the education market in China is highly fragmented</w:t>
      </w:r>
      <w:r>
        <w:rPr>
          <w:rFonts w:hint="eastAsia" w:eastAsia="宋体"/>
          <w:color w:val="000000" w:themeColor="text1"/>
          <w:shd w:val="clear" w:color="auto" w:fill="FFFFFF"/>
          <w14:textFill>
            <w14:solidFill>
              <w14:schemeClr w14:val="tx1"/>
            </w14:solidFill>
          </w14:textFill>
        </w:rPr>
        <w:t xml:space="preserve"> </w:t>
      </w:r>
      <w:r>
        <w:rPr>
          <w:rFonts w:eastAsia="Arial"/>
          <w:color w:val="000000" w:themeColor="text1"/>
          <w14:textFill>
            <w14:solidFill>
              <w14:schemeClr w14:val="tx1"/>
            </w14:solidFill>
          </w14:textFill>
        </w:rPr>
        <w:t>(SU, 2017)</w:t>
      </w:r>
      <w:r>
        <w:rPr>
          <w:rFonts w:eastAsia="Arial"/>
          <w:color w:val="000000" w:themeColor="text1"/>
          <w:shd w:val="clear" w:color="auto" w:fill="FFFFFF"/>
          <w14:textFill>
            <w14:solidFill>
              <w14:schemeClr w14:val="tx1"/>
            </w14:solidFill>
          </w14:textFill>
        </w:rPr>
        <w:t>. The private education industry is characterized by stable cash flows and generous profits, able to attract investments from both domestic and international investors</w:t>
      </w:r>
      <w:r>
        <w:rPr>
          <w:rFonts w:hint="eastAsia" w:eastAsia="宋体"/>
          <w:color w:val="000000" w:themeColor="text1"/>
          <w:shd w:val="clear" w:color="auto" w:fill="FFFFFF"/>
          <w14:textFill>
            <w14:solidFill>
              <w14:schemeClr w14:val="tx1"/>
            </w14:solidFill>
          </w14:textFill>
        </w:rPr>
        <w:t xml:space="preserve"> </w:t>
      </w:r>
      <w:r>
        <w:rPr>
          <w:rFonts w:eastAsia="Arial"/>
          <w:color w:val="000000" w:themeColor="text1"/>
          <w14:textFill>
            <w14:solidFill>
              <w14:schemeClr w14:val="tx1"/>
            </w14:solidFill>
          </w14:textFill>
        </w:rPr>
        <w:t>(Jain, 2012)</w:t>
      </w:r>
      <w:r>
        <w:rPr>
          <w:rFonts w:eastAsia="Arial"/>
          <w:color w:val="000000" w:themeColor="text1"/>
          <w:shd w:val="clear" w:color="auto" w:fill="FFFFFF"/>
          <w14:textFill>
            <w14:solidFill>
              <w14:schemeClr w14:val="tx1"/>
            </w14:solidFill>
          </w14:textFill>
        </w:rPr>
        <w:t>. The private education industry, after a phase of very rapid growth is now in a phase of consolidated development. However, since the beginning of 2014, two major trends have emerged in China’s private education sector with the power to greatly transform the industry</w:t>
      </w:r>
      <w:r>
        <w:rPr>
          <w:rFonts w:hint="eastAsia" w:eastAsia="宋体"/>
          <w:color w:val="000000" w:themeColor="text1"/>
          <w:shd w:val="clear" w:color="auto" w:fill="FFFFFF"/>
          <w14:textFill>
            <w14:solidFill>
              <w14:schemeClr w14:val="tx1"/>
            </w14:solidFill>
          </w14:textFill>
        </w:rPr>
        <w:t xml:space="preserve"> </w:t>
      </w:r>
      <w:r>
        <w:rPr>
          <w:rFonts w:eastAsia="Arial"/>
          <w:color w:val="000000" w:themeColor="text1"/>
          <w14:textFill>
            <w14:solidFill>
              <w14:schemeClr w14:val="tx1"/>
            </w14:solidFill>
          </w14:textFill>
        </w:rPr>
        <w:t>(Lin, 2015)</w:t>
      </w:r>
      <w:r>
        <w:rPr>
          <w:rFonts w:eastAsia="Arial"/>
          <w:color w:val="000000" w:themeColor="text1"/>
          <w:shd w:val="clear" w:color="auto" w:fill="FFFFFF"/>
          <w14:textFill>
            <w14:solidFill>
              <w14:schemeClr w14:val="tx1"/>
            </w14:solidFill>
          </w14:textFill>
        </w:rPr>
        <w:t>.</w:t>
      </w:r>
      <w:r>
        <w:rPr>
          <w:rFonts w:hint="eastAsia" w:eastAsia="宋体"/>
          <w:color w:val="000000" w:themeColor="text1"/>
          <w:shd w:val="clear" w:color="auto" w:fill="FFFFFF"/>
          <w14:textFill>
            <w14:solidFill>
              <w14:schemeClr w14:val="tx1"/>
            </w14:solidFill>
          </w14:textFill>
        </w:rPr>
        <w:t xml:space="preserve"> </w:t>
      </w:r>
      <w:r>
        <w:rPr>
          <w:rFonts w:eastAsia="Arial"/>
          <w:color w:val="000000" w:themeColor="text1"/>
          <w:shd w:val="clear" w:color="auto" w:fill="FFFFFF"/>
          <w14:textFill>
            <w14:solidFill>
              <w14:schemeClr w14:val="tx1"/>
            </w14:solidFill>
          </w14:textFill>
        </w:rPr>
        <w:t>The second is the continuous growth of the online education sector since 2013</w:t>
      </w:r>
      <w:r>
        <w:rPr>
          <w:rFonts w:eastAsia="宋体"/>
          <w:color w:val="000000" w:themeColor="text1"/>
          <w14:textFill>
            <w14:solidFill>
              <w14:schemeClr w14:val="tx1"/>
            </w14:solidFill>
          </w14:textFill>
        </w:rPr>
        <w:t xml:space="preserve"> </w:t>
      </w:r>
      <w:r>
        <w:rPr>
          <w:rFonts w:eastAsia="Arial"/>
          <w:color w:val="000000" w:themeColor="text1"/>
          <w14:textFill>
            <w14:solidFill>
              <w14:schemeClr w14:val="tx1"/>
            </w14:solidFill>
          </w14:textFill>
        </w:rPr>
        <w:t>(Z</w:t>
      </w:r>
      <w:r>
        <w:rPr>
          <w:rFonts w:hint="eastAsia" w:eastAsia="宋体"/>
          <w:color w:val="000000" w:themeColor="text1"/>
          <w14:textFill>
            <w14:solidFill>
              <w14:schemeClr w14:val="tx1"/>
            </w14:solidFill>
          </w14:textFill>
        </w:rPr>
        <w:t>uo</w:t>
      </w:r>
      <w:r>
        <w:rPr>
          <w:rFonts w:eastAsia="Arial"/>
          <w:color w:val="000000" w:themeColor="text1"/>
          <w14:textFill>
            <w14:solidFill>
              <w14:schemeClr w14:val="tx1"/>
            </w14:solidFill>
          </w14:textFill>
        </w:rPr>
        <w:t>, 2018).</w:t>
      </w:r>
      <w:r>
        <w:rPr>
          <w:rFonts w:eastAsia="Arial"/>
          <w:color w:val="000000" w:themeColor="text1"/>
          <w:shd w:val="clear" w:color="auto" w:fill="FFFFFF"/>
          <w14:textFill>
            <w14:solidFill>
              <w14:schemeClr w14:val="tx1"/>
            </w14:solidFill>
          </w14:textFill>
        </w:rPr>
        <w:t xml:space="preserve"> Investors strongly believe in an expansion of this field, especially if we consider that online educational services are characterized by a lack of boundaries and are subject to loose regulation</w:t>
      </w:r>
      <w:r>
        <w:rPr>
          <w:rFonts w:eastAsia="宋体"/>
          <w:color w:val="000000" w:themeColor="text1"/>
          <w14:textFill>
            <w14:solidFill>
              <w14:schemeClr w14:val="tx1"/>
            </w14:solidFill>
          </w14:textFill>
        </w:rPr>
        <w:t xml:space="preserve"> </w:t>
      </w:r>
      <w:r>
        <w:rPr>
          <w:rFonts w:eastAsia="Arial"/>
          <w:color w:val="000000" w:themeColor="text1"/>
          <w14:textFill>
            <w14:solidFill>
              <w14:schemeClr w14:val="tx1"/>
            </w14:solidFill>
          </w14:textFill>
        </w:rPr>
        <w:t>(Z</w:t>
      </w:r>
      <w:r>
        <w:rPr>
          <w:rFonts w:hint="eastAsia" w:eastAsia="宋体"/>
          <w:color w:val="000000" w:themeColor="text1"/>
          <w14:textFill>
            <w14:solidFill>
              <w14:schemeClr w14:val="tx1"/>
            </w14:solidFill>
          </w14:textFill>
        </w:rPr>
        <w:t>uo</w:t>
      </w:r>
      <w:r>
        <w:rPr>
          <w:rFonts w:eastAsia="Arial"/>
          <w:color w:val="000000" w:themeColor="text1"/>
          <w14:textFill>
            <w14:solidFill>
              <w14:schemeClr w14:val="tx1"/>
            </w14:solidFill>
          </w14:textFill>
        </w:rPr>
        <w:t>, 2018).</w:t>
      </w:r>
      <w:r>
        <w:rPr>
          <w:rFonts w:eastAsia="Arial"/>
          <w:color w:val="000000" w:themeColor="text1"/>
          <w:shd w:val="clear" w:color="auto" w:fill="FFFFFF"/>
          <w14:textFill>
            <w14:solidFill>
              <w14:schemeClr w14:val="tx1"/>
            </w14:solidFill>
          </w14:textFill>
        </w:rPr>
        <w:t xml:space="preserve"> The experts expect that in the next years a wave of IPOs will take place in the online education industry: this is a clear sign of a market that is consistently maturing</w:t>
      </w:r>
      <w:r>
        <w:rPr>
          <w:rFonts w:eastAsia="宋体"/>
          <w:color w:val="000000" w:themeColor="text1"/>
          <w14:textFill>
            <w14:solidFill>
              <w14:schemeClr w14:val="tx1"/>
            </w14:solidFill>
          </w14:textFill>
        </w:rPr>
        <w:t xml:space="preserve"> </w:t>
      </w:r>
      <w:r>
        <w:rPr>
          <w:rFonts w:eastAsia="Arial"/>
          <w:color w:val="000000" w:themeColor="text1"/>
          <w14:textFill>
            <w14:solidFill>
              <w14:schemeClr w14:val="tx1"/>
            </w14:solidFill>
          </w14:textFill>
        </w:rPr>
        <w:t>(Gao, 2014).</w:t>
      </w:r>
    </w:p>
    <w:p>
      <w:pPr>
        <w:pStyle w:val="9"/>
        <w:widowControl/>
        <w:shd w:val="clear" w:color="auto" w:fill="FFFFFF"/>
        <w:spacing w:before="120" w:beforeAutospacing="0" w:after="120" w:afterAutospacing="0"/>
        <w:jc w:val="both"/>
        <w:textAlignment w:val="baseline"/>
        <w:rPr>
          <w:rFonts w:eastAsia="Arial"/>
          <w:color w:val="000000" w:themeColor="text1"/>
          <w14:textFill>
            <w14:solidFill>
              <w14:schemeClr w14:val="tx1"/>
            </w14:solidFill>
          </w14:textFill>
        </w:rPr>
      </w:pPr>
      <w:r>
        <w:rPr>
          <w:rFonts w:hint="eastAsia" w:eastAsia="宋体"/>
          <w:color w:val="000000" w:themeColor="text1"/>
          <w:shd w:val="clear" w:color="auto" w:fill="FFFFFF"/>
          <w14:textFill>
            <w14:solidFill>
              <w14:schemeClr w14:val="tx1"/>
            </w14:solidFill>
          </w14:textFill>
        </w:rPr>
        <w:t>T</w:t>
      </w:r>
      <w:r>
        <w:rPr>
          <w:rFonts w:eastAsia="Arial"/>
          <w:color w:val="000000" w:themeColor="text1"/>
          <w:shd w:val="clear" w:color="auto" w:fill="FFFFFF"/>
          <w14:textFill>
            <w14:solidFill>
              <w14:schemeClr w14:val="tx1"/>
            </w14:solidFill>
          </w14:textFill>
        </w:rPr>
        <w:t xml:space="preserve">he main segments that compose the education system in China will </w:t>
      </w:r>
      <w:r>
        <w:rPr>
          <w:rFonts w:hint="eastAsia" w:eastAsia="宋体"/>
          <w:color w:val="000000" w:themeColor="text1"/>
          <w:shd w:val="clear" w:color="auto" w:fill="FFFFFF"/>
          <w14:textFill>
            <w14:solidFill>
              <w14:schemeClr w14:val="tx1"/>
            </w14:solidFill>
          </w14:textFill>
        </w:rPr>
        <w:t xml:space="preserve">be </w:t>
      </w:r>
      <w:r>
        <w:rPr>
          <w:rFonts w:eastAsia="Arial"/>
          <w:color w:val="000000" w:themeColor="text1"/>
          <w:shd w:val="clear" w:color="auto" w:fill="FFFFFF"/>
          <w14:textFill>
            <w14:solidFill>
              <w14:schemeClr w14:val="tx1"/>
            </w14:solidFill>
          </w14:textFill>
        </w:rPr>
        <w:t>analyze</w:t>
      </w:r>
      <w:r>
        <w:rPr>
          <w:rFonts w:hint="eastAsia" w:eastAsia="宋体"/>
          <w:color w:val="000000" w:themeColor="text1"/>
          <w:shd w:val="clear" w:color="auto" w:fill="FFFFFF"/>
          <w14:textFill>
            <w14:solidFill>
              <w14:schemeClr w14:val="tx1"/>
            </w14:solidFill>
          </w14:textFill>
        </w:rPr>
        <w:t xml:space="preserve">d </w:t>
      </w:r>
      <w:r>
        <w:rPr>
          <w:rFonts w:eastAsia="Arial"/>
          <w:color w:val="000000" w:themeColor="text1"/>
          <w:shd w:val="clear" w:color="auto" w:fill="FFFFFF"/>
          <w14:textFill>
            <w14:solidFill>
              <w14:schemeClr w14:val="tx1"/>
            </w14:solidFill>
          </w14:textFill>
        </w:rPr>
        <w:t xml:space="preserve">one by one, concentrating on the aspects with the highest impact on the overall education </w:t>
      </w:r>
      <w:r>
        <w:rPr>
          <w:rFonts w:hint="eastAsia" w:eastAsia="宋体"/>
          <w:color w:val="000000" w:themeColor="text1"/>
          <w:shd w:val="clear" w:color="auto" w:fill="FFFFFF"/>
          <w14:textFill>
            <w14:solidFill>
              <w14:schemeClr w14:val="tx1"/>
            </w14:solidFill>
          </w14:textFill>
        </w:rPr>
        <w:t>industry</w:t>
      </w:r>
      <w:r>
        <w:rPr>
          <w:rFonts w:eastAsia="Arial"/>
          <w:color w:val="000000" w:themeColor="text1"/>
          <w:shd w:val="clear" w:color="auto" w:fill="FFFFFF"/>
          <w14:textFill>
            <w14:solidFill>
              <w14:schemeClr w14:val="tx1"/>
            </w14:solidFill>
          </w14:textFill>
        </w:rPr>
        <w:t>.</w:t>
      </w:r>
      <w:r>
        <w:rPr>
          <w:rFonts w:hint="eastAsia" w:eastAsia="宋体"/>
          <w:color w:val="000000" w:themeColor="text1"/>
          <w:shd w:val="clear" w:color="auto" w:fill="FFFFFF"/>
          <w14:textFill>
            <w14:solidFill>
              <w14:schemeClr w14:val="tx1"/>
            </w14:solidFill>
          </w14:textFill>
        </w:rPr>
        <w:t xml:space="preserve"> </w:t>
      </w:r>
      <w:r>
        <w:rPr>
          <w:rFonts w:eastAsia="Arial"/>
          <w:color w:val="000000" w:themeColor="text1"/>
          <w:shd w:val="clear" w:color="auto" w:fill="FFFFFF"/>
          <w14:textFill>
            <w14:solidFill>
              <w14:schemeClr w14:val="tx1"/>
            </w14:solidFill>
          </w14:textFill>
        </w:rPr>
        <w:t xml:space="preserve">All these segments compose and influence the </w:t>
      </w:r>
      <w:r>
        <w:rPr>
          <w:rFonts w:hint="eastAsia" w:eastAsia="宋体"/>
          <w:color w:val="000000" w:themeColor="text1"/>
          <w:shd w:val="clear" w:color="auto" w:fill="FFFFFF"/>
          <w14:textFill>
            <w14:solidFill>
              <w14:schemeClr w14:val="tx1"/>
            </w14:solidFill>
          </w14:textFill>
        </w:rPr>
        <w:t>performance of</w:t>
      </w:r>
      <w:r>
        <w:rPr>
          <w:rFonts w:eastAsia="Arial"/>
          <w:color w:val="000000" w:themeColor="text1"/>
          <w:shd w:val="clear" w:color="auto" w:fill="FFFFFF"/>
          <w14:textFill>
            <w14:solidFill>
              <w14:schemeClr w14:val="tx1"/>
            </w14:solidFill>
          </w14:textFill>
        </w:rPr>
        <w:t xml:space="preserve"> </w:t>
      </w:r>
      <w:r>
        <w:rPr>
          <w:rFonts w:hint="eastAsia" w:eastAsia="宋体"/>
          <w:color w:val="000000" w:themeColor="text1"/>
          <w:shd w:val="clear" w:color="auto" w:fill="FFFFFF"/>
          <w14:textFill>
            <w14:solidFill>
              <w14:schemeClr w14:val="tx1"/>
            </w14:solidFill>
          </w14:textFill>
        </w:rPr>
        <w:t>China</w:t>
      </w:r>
      <w:r>
        <w:rPr>
          <w:rFonts w:eastAsia="宋体"/>
          <w:color w:val="000000" w:themeColor="text1"/>
          <w:shd w:val="clear" w:color="auto" w:fill="FFFFFF"/>
          <w14:textFill>
            <w14:solidFill>
              <w14:schemeClr w14:val="tx1"/>
            </w14:solidFill>
          </w14:textFill>
        </w:rPr>
        <w:t>’</w:t>
      </w:r>
      <w:r>
        <w:rPr>
          <w:rFonts w:hint="eastAsia" w:eastAsia="宋体"/>
          <w:color w:val="000000" w:themeColor="text1"/>
          <w:shd w:val="clear" w:color="auto" w:fill="FFFFFF"/>
          <w14:textFill>
            <w14:solidFill>
              <w14:schemeClr w14:val="tx1"/>
            </w14:solidFill>
          </w14:textFill>
        </w:rPr>
        <w:t xml:space="preserve">s </w:t>
      </w:r>
      <w:r>
        <w:rPr>
          <w:rFonts w:eastAsia="Arial"/>
          <w:color w:val="000000" w:themeColor="text1"/>
          <w:shd w:val="clear" w:color="auto" w:fill="FFFFFF"/>
          <w14:textFill>
            <w14:solidFill>
              <w14:schemeClr w14:val="tx1"/>
            </w14:solidFill>
          </w14:textFill>
        </w:rPr>
        <w:t xml:space="preserve">education </w:t>
      </w:r>
      <w:r>
        <w:rPr>
          <w:rFonts w:hint="eastAsia" w:eastAsia="宋体"/>
          <w:color w:val="000000" w:themeColor="text1"/>
          <w:shd w:val="clear" w:color="auto" w:fill="FFFFFF"/>
          <w14:textFill>
            <w14:solidFill>
              <w14:schemeClr w14:val="tx1"/>
            </w14:solidFill>
          </w14:textFill>
        </w:rPr>
        <w:t>industry</w:t>
      </w:r>
      <w:r>
        <w:rPr>
          <w:rFonts w:eastAsia="Arial"/>
          <w:color w:val="000000" w:themeColor="text1"/>
          <w:shd w:val="clear" w:color="auto" w:fill="FFFFFF"/>
          <w14:textFill>
            <w14:solidFill>
              <w14:schemeClr w14:val="tx1"/>
            </w14:solidFill>
          </w14:textFill>
        </w:rPr>
        <w:t xml:space="preserve">. </w:t>
      </w:r>
    </w:p>
    <w:p>
      <w:pPr>
        <w:pStyle w:val="9"/>
        <w:widowControl/>
        <w:shd w:val="clear" w:color="auto" w:fill="FFFFFF"/>
        <w:spacing w:before="120" w:beforeAutospacing="0" w:after="120" w:afterAutospacing="0"/>
        <w:jc w:val="both"/>
        <w:textAlignment w:val="baseline"/>
        <w:rPr>
          <w:rFonts w:eastAsia="Arial"/>
          <w:color w:val="000000" w:themeColor="text1"/>
          <w:shd w:val="clear" w:color="auto" w:fill="FFFFFF"/>
          <w14:textFill>
            <w14:solidFill>
              <w14:schemeClr w14:val="tx1"/>
            </w14:solidFill>
          </w14:textFill>
        </w:rPr>
      </w:pPr>
      <w:r>
        <w:rPr>
          <w:rFonts w:eastAsia="Arial"/>
          <w:color w:val="000000" w:themeColor="text1"/>
          <w:shd w:val="clear" w:color="auto" w:fill="FFFFFF"/>
          <w14:textFill>
            <w14:solidFill>
              <w14:schemeClr w14:val="tx1"/>
            </w14:solidFill>
          </w14:textFill>
        </w:rPr>
        <w:t>As a first step, it makes sense to start directly at early childhood education. Pre-school education</w:t>
      </w:r>
      <w:r>
        <w:rPr>
          <w:rStyle w:val="12"/>
          <w:rFonts w:hint="eastAsia" w:eastAsia="宋体"/>
          <w:color w:val="000000" w:themeColor="text1"/>
          <w:shd w:val="clear" w:color="auto" w:fill="FFFFFF"/>
          <w14:textFill>
            <w14:solidFill>
              <w14:schemeClr w14:val="tx1"/>
            </w14:solidFill>
          </w14:textFill>
        </w:rPr>
        <w:t xml:space="preserve"> </w:t>
      </w:r>
      <w:r>
        <w:rPr>
          <w:rFonts w:eastAsia="Arial"/>
          <w:color w:val="000000" w:themeColor="text1"/>
          <w:shd w:val="clear" w:color="auto" w:fill="FFFFFF"/>
          <w14:textFill>
            <w14:solidFill>
              <w14:schemeClr w14:val="tx1"/>
            </w14:solidFill>
          </w14:textFill>
        </w:rPr>
        <w:t xml:space="preserve">takes a relevant piece of the pie of the education </w:t>
      </w:r>
      <w:r>
        <w:rPr>
          <w:rFonts w:hint="eastAsia" w:eastAsia="宋体"/>
          <w:color w:val="000000" w:themeColor="text1"/>
          <w:shd w:val="clear" w:color="auto" w:fill="FFFFFF"/>
          <w14:textFill>
            <w14:solidFill>
              <w14:schemeClr w14:val="tx1"/>
            </w14:solidFill>
          </w14:textFill>
        </w:rPr>
        <w:t>industry</w:t>
      </w:r>
      <w:r>
        <w:rPr>
          <w:rFonts w:eastAsia="宋体"/>
          <w:color w:val="000000" w:themeColor="text1"/>
          <w14:textFill>
            <w14:solidFill>
              <w14:schemeClr w14:val="tx1"/>
            </w14:solidFill>
          </w14:textFill>
        </w:rPr>
        <w:t xml:space="preserve"> </w:t>
      </w:r>
      <w:r>
        <w:rPr>
          <w:rFonts w:eastAsia="Arial"/>
          <w:color w:val="000000" w:themeColor="text1"/>
          <w14:textFill>
            <w14:solidFill>
              <w14:schemeClr w14:val="tx1"/>
            </w14:solidFill>
          </w14:textFill>
        </w:rPr>
        <w:t>(Kilic, 2013)</w:t>
      </w:r>
      <w:r>
        <w:rPr>
          <w:rFonts w:eastAsia="Arial"/>
          <w:color w:val="000000" w:themeColor="text1"/>
          <w:shd w:val="clear" w:color="auto" w:fill="FFFFFF"/>
          <w14:textFill>
            <w14:solidFill>
              <w14:schemeClr w14:val="tx1"/>
            </w14:solidFill>
          </w14:textFill>
        </w:rPr>
        <w:t>. The government’s approach with respect to the one-child policy has recently changed. In fact, China relaxed the one-child policy between 2013 and 2014, which could lead to a sharp increase in the number of Chinese children in the future</w:t>
      </w:r>
      <w:r>
        <w:rPr>
          <w:rFonts w:hint="eastAsia" w:eastAsia="宋体"/>
          <w:color w:val="000000" w:themeColor="text1"/>
          <w:shd w:val="clear" w:color="auto" w:fill="FFFFFF"/>
          <w14:textFill>
            <w14:solidFill>
              <w14:schemeClr w14:val="tx1"/>
            </w14:solidFill>
          </w14:textFill>
        </w:rPr>
        <w:t xml:space="preserve"> </w:t>
      </w:r>
      <w:r>
        <w:rPr>
          <w:rFonts w:eastAsia="Arial"/>
          <w:color w:val="000000" w:themeColor="text1"/>
          <w14:textFill>
            <w14:solidFill>
              <w14:schemeClr w14:val="tx1"/>
            </w14:solidFill>
          </w14:textFill>
        </w:rPr>
        <w:t>(Tsao, 2015)</w:t>
      </w:r>
      <w:r>
        <w:rPr>
          <w:rFonts w:eastAsia="Arial"/>
          <w:color w:val="000000" w:themeColor="text1"/>
          <w:shd w:val="clear" w:color="auto" w:fill="FFFFFF"/>
          <w14:textFill>
            <w14:solidFill>
              <w14:schemeClr w14:val="tx1"/>
            </w14:solidFill>
          </w14:textFill>
        </w:rPr>
        <w:t>. Since 2012 the Kindergarten market has registered average growth of 9%, a clear sign of expansion. Beyond that, it has to be stressed how a gradual shrinking of public pre-schools has been offset by the development of private structures mainly targeting wealthy families</w:t>
      </w:r>
      <w:r>
        <w:rPr>
          <w:rFonts w:eastAsia="宋体"/>
          <w:color w:val="000000" w:themeColor="text1"/>
          <w14:textFill>
            <w14:solidFill>
              <w14:schemeClr w14:val="tx1"/>
            </w14:solidFill>
          </w14:textFill>
        </w:rPr>
        <w:t xml:space="preserve"> </w:t>
      </w:r>
      <w:r>
        <w:rPr>
          <w:rFonts w:eastAsia="Arial"/>
          <w:color w:val="000000" w:themeColor="text1"/>
          <w14:textFill>
            <w14:solidFill>
              <w14:schemeClr w14:val="tx1"/>
            </w14:solidFill>
          </w14:textFill>
        </w:rPr>
        <w:t>(Tsao, 2017)</w:t>
      </w:r>
      <w:r>
        <w:rPr>
          <w:rFonts w:eastAsia="Arial"/>
          <w:color w:val="000000" w:themeColor="text1"/>
          <w:shd w:val="clear" w:color="auto" w:fill="FFFFFF"/>
          <w14:textFill>
            <w14:solidFill>
              <w14:schemeClr w14:val="tx1"/>
            </w14:solidFill>
          </w14:textFill>
        </w:rPr>
        <w:t>.</w:t>
      </w:r>
    </w:p>
    <w:p>
      <w:pPr>
        <w:pStyle w:val="9"/>
        <w:widowControl/>
        <w:shd w:val="clear" w:color="auto" w:fill="FFFFFF"/>
        <w:spacing w:before="120" w:beforeAutospacing="0" w:after="120" w:afterAutospacing="0"/>
        <w:jc w:val="both"/>
        <w:textAlignment w:val="baseline"/>
        <w:rPr>
          <w:rFonts w:eastAsia="宋体"/>
          <w:color w:val="000000" w:themeColor="text1"/>
          <w:shd w:val="clear" w:color="auto" w:fill="FFFFFF"/>
          <w14:textFill>
            <w14:solidFill>
              <w14:schemeClr w14:val="tx1"/>
            </w14:solidFill>
          </w14:textFill>
        </w:rPr>
      </w:pPr>
      <w:r>
        <w:rPr>
          <w:rFonts w:eastAsia="Arial"/>
          <w:color w:val="000000" w:themeColor="text1"/>
          <w:shd w:val="clear" w:color="auto" w:fill="FFFFFF"/>
          <w14:textFill>
            <w14:solidFill>
              <w14:schemeClr w14:val="tx1"/>
            </w14:solidFill>
          </w14:textFill>
        </w:rPr>
        <w:t>Going up the educational progression, besides the public institutions responsible for providing primary and secondary education, there is a relevant market for extracurricular tutoring</w:t>
      </w:r>
      <w:r>
        <w:rPr>
          <w:rFonts w:hint="eastAsia" w:eastAsia="宋体"/>
          <w:color w:val="000000" w:themeColor="text1"/>
          <w:shd w:val="clear" w:color="auto" w:fill="FFFFFF"/>
          <w14:textFill>
            <w14:solidFill>
              <w14:schemeClr w14:val="tx1"/>
            </w14:solidFill>
          </w14:textFill>
        </w:rPr>
        <w:t xml:space="preserve"> </w:t>
      </w:r>
      <w:r>
        <w:rPr>
          <w:rFonts w:eastAsia="Arial"/>
          <w:color w:val="000000" w:themeColor="text1"/>
          <w14:textFill>
            <w14:solidFill>
              <w14:schemeClr w14:val="tx1"/>
            </w14:solidFill>
          </w14:textFill>
        </w:rPr>
        <w:t>(Li, 2012)</w:t>
      </w:r>
      <w:r>
        <w:rPr>
          <w:rFonts w:eastAsia="Arial"/>
          <w:color w:val="000000" w:themeColor="text1"/>
          <w:shd w:val="clear" w:color="auto" w:fill="FFFFFF"/>
          <w14:textFill>
            <w14:solidFill>
              <w14:schemeClr w14:val="tx1"/>
            </w14:solidFill>
          </w14:textFill>
        </w:rPr>
        <w:t>. In 1977 the national entrance examination required to access to the university system was reintroduced</w:t>
      </w:r>
      <w:r>
        <w:rPr>
          <w:rFonts w:hint="eastAsia" w:eastAsia="宋体"/>
          <w:color w:val="000000" w:themeColor="text1"/>
          <w:shd w:val="clear" w:color="auto" w:fill="FFFFFF"/>
          <w14:textFill>
            <w14:solidFill>
              <w14:schemeClr w14:val="tx1"/>
            </w14:solidFill>
          </w14:textFill>
        </w:rPr>
        <w:t xml:space="preserve"> </w:t>
      </w:r>
      <w:r>
        <w:rPr>
          <w:rFonts w:eastAsia="Arial"/>
          <w:color w:val="000000" w:themeColor="text1"/>
          <w14:textFill>
            <w14:solidFill>
              <w14:schemeClr w14:val="tx1"/>
            </w14:solidFill>
          </w14:textFill>
        </w:rPr>
        <w:t>(Haifeng, 2015)</w:t>
      </w:r>
      <w:r>
        <w:rPr>
          <w:rFonts w:eastAsia="Arial"/>
          <w:color w:val="000000" w:themeColor="text1"/>
          <w:shd w:val="clear" w:color="auto" w:fill="FFFFFF"/>
          <w14:textFill>
            <w14:solidFill>
              <w14:schemeClr w14:val="tx1"/>
            </w14:solidFill>
          </w14:textFill>
        </w:rPr>
        <w:t>. Thus, students are required to achieve high scores if they want to enter top-ranked universities.</w:t>
      </w:r>
      <w:r>
        <w:rPr>
          <w:rFonts w:hint="eastAsia" w:eastAsia="宋体"/>
          <w:color w:val="000000" w:themeColor="text1"/>
          <w:shd w:val="clear" w:color="auto" w:fill="FFFFFF"/>
          <w14:textFill>
            <w14:solidFill>
              <w14:schemeClr w14:val="tx1"/>
            </w14:solidFill>
          </w14:textFill>
        </w:rPr>
        <w:t xml:space="preserve"> </w:t>
      </w:r>
      <w:r>
        <w:rPr>
          <w:rFonts w:eastAsia="Arial"/>
          <w:color w:val="000000" w:themeColor="text1"/>
          <w:shd w:val="clear" w:color="auto" w:fill="FFFFFF"/>
          <w14:textFill>
            <w14:solidFill>
              <w14:schemeClr w14:val="tx1"/>
            </w14:solidFill>
          </w14:textFill>
        </w:rPr>
        <w:t>However, it is fragmented and many actors hold a small piece of the pie. One of the Chinese government’s priorities is the </w:t>
      </w:r>
      <w:r>
        <w:rPr>
          <w:rStyle w:val="12"/>
          <w:rFonts w:eastAsia="Arial"/>
          <w:i w:val="0"/>
          <w:iCs/>
          <w:color w:val="000000" w:themeColor="text1"/>
          <w:shd w:val="clear" w:color="auto" w:fill="FFFFFF"/>
          <w14:textFill>
            <w14:solidFill>
              <w14:schemeClr w14:val="tx1"/>
            </w14:solidFill>
          </w14:textFill>
        </w:rPr>
        <w:t>internationalization</w:t>
      </w:r>
      <w:r>
        <w:rPr>
          <w:rFonts w:eastAsia="Arial"/>
          <w:color w:val="000000" w:themeColor="text1"/>
          <w:shd w:val="clear" w:color="auto" w:fill="FFFFFF"/>
          <w14:textFill>
            <w14:solidFill>
              <w14:schemeClr w14:val="tx1"/>
            </w14:solidFill>
          </w14:textFill>
        </w:rPr>
        <w:t> of the education system</w:t>
      </w:r>
      <w:r>
        <w:rPr>
          <w:rFonts w:hint="eastAsia" w:eastAsia="宋体"/>
          <w:color w:val="000000" w:themeColor="text1"/>
          <w:shd w:val="clear" w:color="auto" w:fill="FFFFFF"/>
          <w14:textFill>
            <w14:solidFill>
              <w14:schemeClr w14:val="tx1"/>
            </w14:solidFill>
          </w14:textFill>
        </w:rPr>
        <w:t xml:space="preserve"> </w:t>
      </w:r>
      <w:r>
        <w:rPr>
          <w:rFonts w:eastAsia="Arial"/>
          <w:color w:val="000000" w:themeColor="text1"/>
          <w14:textFill>
            <w14:solidFill>
              <w14:schemeClr w14:val="tx1"/>
            </w14:solidFill>
          </w14:textFill>
        </w:rPr>
        <w:t>(Wang, 2014)</w:t>
      </w:r>
      <w:r>
        <w:rPr>
          <w:rFonts w:eastAsia="Arial"/>
          <w:color w:val="000000" w:themeColor="text1"/>
          <w:shd w:val="clear" w:color="auto" w:fill="FFFFFF"/>
          <w14:textFill>
            <w14:solidFill>
              <w14:schemeClr w14:val="tx1"/>
            </w14:solidFill>
          </w14:textFill>
        </w:rPr>
        <w:t>. International primary and secondary schools are developing rapidly</w:t>
      </w:r>
      <w:r>
        <w:rPr>
          <w:rFonts w:hint="eastAsia" w:eastAsia="宋体"/>
          <w:color w:val="000000" w:themeColor="text1"/>
          <w:shd w:val="clear" w:color="auto" w:fill="FFFFFF"/>
          <w14:textFill>
            <w14:solidFill>
              <w14:schemeClr w14:val="tx1"/>
            </w14:solidFill>
          </w14:textFill>
        </w:rPr>
        <w:t>,</w:t>
      </w:r>
      <w:r>
        <w:rPr>
          <w:rFonts w:eastAsia="Arial"/>
          <w:color w:val="000000" w:themeColor="text1"/>
          <w:shd w:val="clear" w:color="auto" w:fill="FFFFFF"/>
          <w14:textFill>
            <w14:solidFill>
              <w14:schemeClr w14:val="tx1"/>
            </w14:solidFill>
          </w14:textFill>
        </w:rPr>
        <w:t xml:space="preserve"> </w:t>
      </w:r>
      <w:r>
        <w:rPr>
          <w:rFonts w:hint="eastAsia" w:eastAsia="宋体"/>
          <w:color w:val="000000" w:themeColor="text1"/>
          <w:shd w:val="clear" w:color="auto" w:fill="FFFFFF"/>
          <w14:textFill>
            <w14:solidFill>
              <w14:schemeClr w14:val="tx1"/>
            </w14:solidFill>
          </w14:textFill>
        </w:rPr>
        <w:t>f</w:t>
      </w:r>
      <w:r>
        <w:rPr>
          <w:rFonts w:eastAsia="Arial"/>
          <w:color w:val="000000" w:themeColor="text1"/>
          <w:shd w:val="clear" w:color="auto" w:fill="FFFFFF"/>
          <w14:textFill>
            <w14:solidFill>
              <w14:schemeClr w14:val="tx1"/>
            </w14:solidFill>
          </w14:textFill>
        </w:rPr>
        <w:t>rom 2002 to 2012, this market registered a CAGR of about 25%</w:t>
      </w:r>
      <w:r>
        <w:rPr>
          <w:rFonts w:eastAsia="宋体"/>
          <w:color w:val="000000" w:themeColor="text1"/>
          <w14:textFill>
            <w14:solidFill>
              <w14:schemeClr w14:val="tx1"/>
            </w14:solidFill>
          </w14:textFill>
        </w:rPr>
        <w:t xml:space="preserve"> </w:t>
      </w:r>
      <w:r>
        <w:rPr>
          <w:rFonts w:eastAsia="Arial"/>
          <w:color w:val="000000" w:themeColor="text1"/>
          <w14:textFill>
            <w14:solidFill>
              <w14:schemeClr w14:val="tx1"/>
            </w14:solidFill>
          </w14:textFill>
        </w:rPr>
        <w:t>(Gong, 2014).</w:t>
      </w:r>
      <w:r>
        <w:rPr>
          <w:rFonts w:eastAsia="Arial"/>
          <w:color w:val="000000" w:themeColor="text1"/>
          <w:shd w:val="clear" w:color="auto" w:fill="FFFFFF"/>
          <w14:textFill>
            <w14:solidFill>
              <w14:schemeClr w14:val="tx1"/>
            </w14:solidFill>
          </w14:textFill>
        </w:rPr>
        <w:t xml:space="preserve"> International schools prepare students for further studies at foreign universities, satisfying Chinese parents’ need for a diversified education</w:t>
      </w:r>
      <w:r>
        <w:rPr>
          <w:rFonts w:eastAsia="宋体"/>
          <w:color w:val="000000" w:themeColor="text1"/>
          <w14:textFill>
            <w14:solidFill>
              <w14:schemeClr w14:val="tx1"/>
            </w14:solidFill>
          </w14:textFill>
        </w:rPr>
        <w:t xml:space="preserve"> </w:t>
      </w:r>
      <w:r>
        <w:rPr>
          <w:rFonts w:eastAsia="Arial"/>
          <w:color w:val="000000" w:themeColor="text1"/>
          <w14:textFill>
            <w14:solidFill>
              <w14:schemeClr w14:val="tx1"/>
            </w14:solidFill>
          </w14:textFill>
        </w:rPr>
        <w:t>(Shih, 2015)</w:t>
      </w:r>
      <w:r>
        <w:rPr>
          <w:rFonts w:eastAsia="宋体"/>
          <w:color w:val="000000" w:themeColor="text1"/>
          <w14:textFill>
            <w14:solidFill>
              <w14:schemeClr w14:val="tx1"/>
            </w14:solidFill>
          </w14:textFill>
        </w:rPr>
        <w:t>.</w:t>
      </w:r>
      <w:r>
        <w:rPr>
          <w:rFonts w:eastAsia="Arial"/>
          <w:color w:val="000000" w:themeColor="text1"/>
          <w:shd w:val="clear" w:color="auto" w:fill="FFFFFF"/>
          <w14:textFill>
            <w14:solidFill>
              <w14:schemeClr w14:val="tx1"/>
            </w14:solidFill>
          </w14:textFill>
        </w:rPr>
        <w:t xml:space="preserve"> The international schools are now in their growth phase. There is still room to grow, especially if we consider the huge territories will be accessed in the future</w:t>
      </w:r>
      <w:r>
        <w:rPr>
          <w:rFonts w:eastAsia="宋体"/>
          <w:color w:val="000000" w:themeColor="text1"/>
          <w14:textFill>
            <w14:solidFill>
              <w14:schemeClr w14:val="tx1"/>
            </w14:solidFill>
          </w14:textFill>
        </w:rPr>
        <w:t xml:space="preserve"> </w:t>
      </w:r>
      <w:r>
        <w:rPr>
          <w:rFonts w:eastAsia="Arial"/>
          <w:color w:val="000000" w:themeColor="text1"/>
          <w14:textFill>
            <w14:solidFill>
              <w14:schemeClr w14:val="tx1"/>
            </w14:solidFill>
          </w14:textFill>
        </w:rPr>
        <w:t>(Chang, 20</w:t>
      </w:r>
      <w:r>
        <w:rPr>
          <w:rFonts w:hint="eastAsia" w:eastAsia="宋体"/>
          <w:color w:val="000000" w:themeColor="text1"/>
          <w14:textFill>
            <w14:solidFill>
              <w14:schemeClr w14:val="tx1"/>
            </w14:solidFill>
          </w14:textFill>
        </w:rPr>
        <w:t>10</w:t>
      </w:r>
      <w:r>
        <w:rPr>
          <w:rFonts w:eastAsia="Arial"/>
          <w:color w:val="000000" w:themeColor="text1"/>
          <w14:textFill>
            <w14:solidFill>
              <w14:schemeClr w14:val="tx1"/>
            </w14:solidFill>
          </w14:textFill>
        </w:rPr>
        <w:t>).</w:t>
      </w:r>
      <w:r>
        <w:rPr>
          <w:rFonts w:hint="eastAsia" w:eastAsia="宋体"/>
          <w:color w:val="000000" w:themeColor="text1"/>
          <w:shd w:val="clear" w:color="auto" w:fill="FFFFFF"/>
          <w14:textFill>
            <w14:solidFill>
              <w14:schemeClr w14:val="tx1"/>
            </w14:solidFill>
          </w14:textFill>
        </w:rPr>
        <w:t xml:space="preserve"> </w:t>
      </w:r>
    </w:p>
    <w:p>
      <w:pPr>
        <w:pStyle w:val="9"/>
        <w:widowControl/>
        <w:shd w:val="clear" w:color="auto" w:fill="FFFFFF"/>
        <w:spacing w:before="120" w:beforeAutospacing="0" w:after="120" w:afterAutospacing="0"/>
        <w:jc w:val="both"/>
        <w:textAlignment w:val="baseline"/>
        <w:rPr>
          <w:rFonts w:eastAsia="Arial"/>
          <w:color w:val="000000" w:themeColor="text1"/>
          <w14:textFill>
            <w14:solidFill>
              <w14:schemeClr w14:val="tx1"/>
            </w14:solidFill>
          </w14:textFill>
        </w:rPr>
      </w:pPr>
      <w:r>
        <w:rPr>
          <w:rFonts w:hint="eastAsia" w:eastAsia="宋体"/>
          <w:color w:val="000000" w:themeColor="text1"/>
          <w:shd w:val="clear" w:color="auto" w:fill="FFFFFF"/>
          <w14:textFill>
            <w14:solidFill>
              <w14:schemeClr w14:val="tx1"/>
            </w14:solidFill>
          </w14:textFill>
        </w:rPr>
        <w:t>T</w:t>
      </w:r>
      <w:r>
        <w:rPr>
          <w:rFonts w:eastAsia="Arial"/>
          <w:color w:val="000000" w:themeColor="text1"/>
          <w:shd w:val="clear" w:color="auto" w:fill="FFFFFF"/>
          <w14:textFill>
            <w14:solidFill>
              <w14:schemeClr w14:val="tx1"/>
            </w14:solidFill>
          </w14:textFill>
        </w:rPr>
        <w:t>he major trends that are impacting the education market in China is the expansion of the vocational education market</w:t>
      </w:r>
      <w:r>
        <w:rPr>
          <w:rFonts w:hint="eastAsia" w:eastAsia="宋体"/>
          <w:color w:val="000000" w:themeColor="text1"/>
          <w:shd w:val="clear" w:color="auto" w:fill="FFFFFF"/>
          <w14:textFill>
            <w14:solidFill>
              <w14:schemeClr w14:val="tx1"/>
            </w14:solidFill>
          </w14:textFill>
        </w:rPr>
        <w:t xml:space="preserve"> </w:t>
      </w:r>
      <w:r>
        <w:rPr>
          <w:rFonts w:eastAsia="Arial"/>
          <w:color w:val="000000" w:themeColor="text1"/>
          <w14:textFill>
            <w14:solidFill>
              <w14:schemeClr w14:val="tx1"/>
            </w14:solidFill>
          </w14:textFill>
        </w:rPr>
        <w:t>(Agrawal and Agrawal, 2017).</w:t>
      </w:r>
      <w:r>
        <w:rPr>
          <w:rFonts w:eastAsia="Arial"/>
          <w:color w:val="000000" w:themeColor="text1"/>
          <w:shd w:val="clear" w:color="auto" w:fill="FFFFFF"/>
          <w14:textFill>
            <w14:solidFill>
              <w14:schemeClr w14:val="tx1"/>
            </w14:solidFill>
          </w14:textFill>
        </w:rPr>
        <w:t xml:space="preserve"> Vocational education is provided at secondary and higher levels, and endows students with skills related to specific fields</w:t>
      </w:r>
      <w:r>
        <w:rPr>
          <w:rFonts w:hint="eastAsia" w:eastAsia="宋体"/>
          <w:color w:val="000000" w:themeColor="text1"/>
          <w:shd w:val="clear" w:color="auto" w:fill="FFFFFF"/>
          <w14:textFill>
            <w14:solidFill>
              <w14:schemeClr w14:val="tx1"/>
            </w14:solidFill>
          </w14:textFill>
        </w:rPr>
        <w:t>, i</w:t>
      </w:r>
      <w:r>
        <w:rPr>
          <w:rFonts w:eastAsia="Arial"/>
          <w:color w:val="000000" w:themeColor="text1"/>
          <w:shd w:val="clear" w:color="auto" w:fill="FFFFFF"/>
          <w14:textFill>
            <w14:solidFill>
              <w14:schemeClr w14:val="tx1"/>
            </w14:solidFill>
          </w14:textFill>
        </w:rPr>
        <w:t>t embeds several careers and industries for which it is possible to be trained</w:t>
      </w:r>
      <w:r>
        <w:rPr>
          <w:rFonts w:hint="eastAsia" w:eastAsia="宋体"/>
          <w:color w:val="000000" w:themeColor="text1"/>
          <w:shd w:val="clear" w:color="auto" w:fill="FFFFFF"/>
          <w14:textFill>
            <w14:solidFill>
              <w14:schemeClr w14:val="tx1"/>
            </w14:solidFill>
          </w14:textFill>
        </w:rPr>
        <w:t xml:space="preserve"> </w:t>
      </w:r>
      <w:r>
        <w:rPr>
          <w:rFonts w:eastAsia="Arial"/>
          <w:color w:val="000000" w:themeColor="text1"/>
          <w14:textFill>
            <w14:solidFill>
              <w14:schemeClr w14:val="tx1"/>
            </w14:solidFill>
          </w14:textFill>
        </w:rPr>
        <w:t>(Schmidtke and Chen, 2012).</w:t>
      </w:r>
      <w:r>
        <w:rPr>
          <w:rFonts w:hint="eastAsia" w:eastAsia="宋体"/>
          <w:color w:val="000000" w:themeColor="text1"/>
          <w:shd w:val="clear" w:color="auto" w:fill="FFFFFF"/>
          <w14:textFill>
            <w14:solidFill>
              <w14:schemeClr w14:val="tx1"/>
            </w14:solidFill>
          </w14:textFill>
        </w:rPr>
        <w:t xml:space="preserve"> </w:t>
      </w:r>
      <w:r>
        <w:rPr>
          <w:rFonts w:eastAsia="Arial"/>
          <w:color w:val="000000" w:themeColor="text1"/>
          <w:shd w:val="clear" w:color="auto" w:fill="FFFFFF"/>
          <w14:textFill>
            <w14:solidFill>
              <w14:schemeClr w14:val="tx1"/>
            </w14:solidFill>
          </w14:textFill>
        </w:rPr>
        <w:t>Management and IT training are still the most relevant among the specialization fields, with an expected CAGR of 7% over the next three years</w:t>
      </w:r>
      <w:r>
        <w:rPr>
          <w:rFonts w:eastAsia="宋体"/>
          <w:color w:val="000000" w:themeColor="text1"/>
          <w14:textFill>
            <w14:solidFill>
              <w14:schemeClr w14:val="tx1"/>
            </w14:solidFill>
          </w14:textFill>
        </w:rPr>
        <w:t xml:space="preserve"> </w:t>
      </w:r>
      <w:r>
        <w:rPr>
          <w:rFonts w:eastAsia="Arial"/>
          <w:color w:val="000000" w:themeColor="text1"/>
          <w14:textFill>
            <w14:solidFill>
              <w14:schemeClr w14:val="tx1"/>
            </w14:solidFill>
          </w14:textFill>
        </w:rPr>
        <w:t>(Gremaud, 2017).</w:t>
      </w:r>
      <w:r>
        <w:rPr>
          <w:rFonts w:eastAsia="Arial"/>
          <w:color w:val="000000" w:themeColor="text1"/>
          <w:shd w:val="clear" w:color="auto" w:fill="FFFFFF"/>
          <w14:textFill>
            <w14:solidFill>
              <w14:schemeClr w14:val="tx1"/>
            </w14:solidFill>
          </w14:textFill>
        </w:rPr>
        <w:t xml:space="preserve"> Recently, computer graphics and online marketing training have grown due to the broad expansion of Internet applications and a huge demand for skilled workers</w:t>
      </w:r>
      <w:r>
        <w:rPr>
          <w:rFonts w:hint="eastAsia" w:eastAsia="宋体"/>
          <w:color w:val="000000" w:themeColor="text1"/>
          <w:shd w:val="clear" w:color="auto" w:fill="FFFFFF"/>
          <w14:textFill>
            <w14:solidFill>
              <w14:schemeClr w14:val="tx1"/>
            </w14:solidFill>
          </w14:textFill>
        </w:rPr>
        <w:t xml:space="preserve"> </w:t>
      </w:r>
      <w:r>
        <w:rPr>
          <w:rFonts w:eastAsia="Arial"/>
          <w:color w:val="000000" w:themeColor="text1"/>
          <w14:textFill>
            <w14:solidFill>
              <w14:schemeClr w14:val="tx1"/>
            </w14:solidFill>
          </w14:textFill>
        </w:rPr>
        <w:t>(Boshchenko and Fokina, 2013).</w:t>
      </w:r>
      <w:r>
        <w:rPr>
          <w:rFonts w:eastAsia="Arial"/>
          <w:color w:val="000000" w:themeColor="text1"/>
          <w:shd w:val="clear" w:color="auto" w:fill="FFFFFF"/>
          <w14:textFill>
            <w14:solidFill>
              <w14:schemeClr w14:val="tx1"/>
            </w14:solidFill>
          </w14:textFill>
        </w:rPr>
        <w:t xml:space="preserve"> Regarding manufacturing companies, China has made great strides towards sophistication and process improvements</w:t>
      </w:r>
      <w:r>
        <w:rPr>
          <w:rFonts w:eastAsia="宋体"/>
          <w:color w:val="000000" w:themeColor="text1"/>
          <w14:textFill>
            <w14:solidFill>
              <w14:schemeClr w14:val="tx1"/>
            </w14:solidFill>
          </w14:textFill>
        </w:rPr>
        <w:t xml:space="preserve"> </w:t>
      </w:r>
      <w:r>
        <w:rPr>
          <w:rFonts w:eastAsia="Arial"/>
          <w:color w:val="000000" w:themeColor="text1"/>
          <w14:textFill>
            <w14:solidFill>
              <w14:schemeClr w14:val="tx1"/>
            </w14:solidFill>
          </w14:textFill>
        </w:rPr>
        <w:t>(Xia, 2012).</w:t>
      </w:r>
    </w:p>
    <w:p>
      <w:pPr>
        <w:pStyle w:val="2"/>
        <w:spacing w:before="360" w:after="120"/>
      </w:pPr>
      <w:r>
        <w:rPr>
          <w:rFonts w:hint="eastAsia"/>
        </w:rPr>
        <w:t>2.2 Independent variables for performance</w:t>
      </w:r>
    </w:p>
    <w:p>
      <w:pPr>
        <w:pStyle w:val="4"/>
        <w:spacing w:before="120" w:after="120"/>
      </w:pPr>
      <w:bookmarkStart w:id="131" w:name="_Toc27818_WPSOffice_Level1"/>
      <w:bookmarkStart w:id="132" w:name="_Toc18464_WPSOffice_Level3"/>
      <w:bookmarkStart w:id="133" w:name="_Toc24926_WPSOffice_Level1"/>
      <w:bookmarkStart w:id="134" w:name="_Toc14425_WPSOffice_Level3"/>
      <w:bookmarkStart w:id="135" w:name="_Toc13378_WPSOffice_Level3"/>
      <w:r>
        <w:rPr>
          <w:rFonts w:hint="eastAsia"/>
        </w:rPr>
        <w:t>2.2.1 Deal &amp; Kennedy corporate culture dimensions</w:t>
      </w:r>
      <w:bookmarkEnd w:id="131"/>
      <w:bookmarkEnd w:id="132"/>
      <w:bookmarkEnd w:id="133"/>
      <w:bookmarkEnd w:id="134"/>
      <w:bookmarkEnd w:id="135"/>
    </w:p>
    <w:p>
      <w:pPr>
        <w:spacing w:before="120" w:after="120"/>
      </w:pPr>
      <w:bookmarkStart w:id="136" w:name="_Toc15931_WPSOffice_Level2"/>
      <w:r>
        <w:rPr>
          <w:rFonts w:hint="eastAsia"/>
        </w:rPr>
        <w:t>2.2.1.1 A global perspective</w:t>
      </w:r>
      <w:bookmarkEnd w:id="136"/>
    </w:p>
    <w:p>
      <w:pPr>
        <w:spacing w:before="120" w:after="120"/>
        <w:rPr>
          <w:rFonts w:cs="Times New Roman"/>
          <w:kern w:val="3"/>
        </w:rPr>
      </w:pPr>
      <w:r>
        <w:rPr>
          <w:rFonts w:cs="Times New Roman"/>
          <w:kern w:val="3"/>
        </w:rPr>
        <w:t>Corporate culture has been defined in many ways by various authors and researchers</w:t>
      </w:r>
      <w:r>
        <w:rPr>
          <w:rFonts w:hint="eastAsia" w:cs="Times New Roman"/>
          <w:kern w:val="3"/>
        </w:rPr>
        <w:t xml:space="preserve"> and</w:t>
      </w:r>
      <w:r>
        <w:rPr>
          <w:rFonts w:cs="Times New Roman"/>
          <w:kern w:val="3"/>
        </w:rPr>
        <w:t xml:space="preserve"> many would agree that corporate culture can be referred to as a set of values, beliefs, and behavior patterns that form the core identity of organisations, and help in shaping the employees’ behavior (Deal and Kennedy, </w:t>
      </w:r>
      <w:r>
        <w:rPr>
          <w:rFonts w:hint="eastAsia" w:cs="Times New Roman"/>
          <w:kern w:val="3"/>
        </w:rPr>
        <w:t>2008).</w:t>
      </w:r>
      <w:r>
        <w:rPr>
          <w:rFonts w:cs="Times New Roman"/>
          <w:kern w:val="3"/>
        </w:rPr>
        <w:t xml:space="preserve"> Corporate culture also acts as a cognitive map that influences the way in which the context is defined, for it provides the selection mechanisms or norms and values which people enact</w:t>
      </w:r>
    </w:p>
    <w:p>
      <w:pPr>
        <w:spacing w:before="120" w:after="120"/>
        <w:rPr>
          <w:rFonts w:cs="Times New Roman"/>
          <w:kern w:val="3"/>
        </w:rPr>
      </w:pPr>
      <w:r>
        <w:rPr>
          <w:rFonts w:cs="Times New Roman"/>
          <w:kern w:val="3"/>
        </w:rPr>
        <w:t xml:space="preserve">events </w:t>
      </w:r>
      <w:r>
        <w:rPr>
          <w:rFonts w:eastAsia="Arial" w:cs="Times New Roman"/>
          <w:color w:val="000000" w:themeColor="text1"/>
          <w:kern w:val="3"/>
          <w14:textFill>
            <w14:solidFill>
              <w14:schemeClr w14:val="tx1"/>
            </w14:solidFill>
          </w14:textFill>
        </w:rPr>
        <w:t>(Hickman and Silva, 2018)</w:t>
      </w:r>
      <w:r>
        <w:rPr>
          <w:rFonts w:cs="Times New Roman"/>
          <w:color w:val="000000" w:themeColor="text1"/>
          <w:kern w:val="3"/>
          <w14:textFill>
            <w14:solidFill>
              <w14:schemeClr w14:val="tx1"/>
            </w14:solidFill>
          </w14:textFill>
        </w:rPr>
        <w:t>.</w:t>
      </w:r>
      <w:r>
        <w:rPr>
          <w:rFonts w:cs="Times New Roman"/>
          <w:kern w:val="3"/>
        </w:rPr>
        <w:t xml:space="preserve"> It is also a pattern of beliefs, symbols, rituals, myths, and practices that have evolved over time in an organisation (Pheysey, 1993). Corporate culture is also the dominant values espoused by an organisation or a set of values and assumptions that underlie the statement: “this is how we do things around here” (Deal and Kennedy, </w:t>
      </w:r>
      <w:r>
        <w:rPr>
          <w:rFonts w:hint="eastAsia" w:cs="Times New Roman"/>
          <w:kern w:val="3"/>
        </w:rPr>
        <w:t>2008</w:t>
      </w:r>
      <w:r>
        <w:rPr>
          <w:rFonts w:cs="Times New Roman"/>
          <w:kern w:val="3"/>
        </w:rPr>
        <w:t>).</w:t>
      </w:r>
    </w:p>
    <w:p>
      <w:pPr>
        <w:spacing w:before="120" w:after="120"/>
        <w:rPr>
          <w:rFonts w:cs="Times New Roman"/>
          <w:kern w:val="3"/>
        </w:rPr>
      </w:pPr>
      <w:r>
        <w:rPr>
          <w:rFonts w:cs="Times New Roman"/>
          <w:kern w:val="3"/>
        </w:rPr>
        <w:t>Schein (</w:t>
      </w:r>
      <w:r>
        <w:rPr>
          <w:rFonts w:hint="eastAsia" w:cs="Times New Roman"/>
          <w:kern w:val="3"/>
        </w:rPr>
        <w:t>200</w:t>
      </w:r>
      <w:r>
        <w:rPr>
          <w:rFonts w:cs="Times New Roman"/>
          <w:kern w:val="3"/>
        </w:rPr>
        <w:t>2) defined organisational culture as a pattern of basic assumptions invented, discovered or developed by a given group as it learns to cope with its problem of external adaptation and internal integration. These values are then taught to new members in the organisation as the correct way to think and feel in relation to those problems. For Schein (</w:t>
      </w:r>
      <w:r>
        <w:rPr>
          <w:rFonts w:hint="eastAsia" w:cs="Times New Roman"/>
          <w:kern w:val="3"/>
        </w:rPr>
        <w:t>2002</w:t>
      </w:r>
      <w:r>
        <w:rPr>
          <w:rFonts w:cs="Times New Roman"/>
          <w:kern w:val="3"/>
        </w:rPr>
        <w:t>), culture is the sum that total of all the shared, taken for granted assumptions that a group has learned throughout its history. Also, culture is determined to be the residue of success. Culture is also the structure and control system to generate behavioral standards</w:t>
      </w:r>
      <w:r>
        <w:rPr>
          <w:rFonts w:cs="Times New Roman"/>
          <w:color w:val="000000" w:themeColor="text1"/>
          <w:kern w:val="3"/>
          <w14:textFill>
            <w14:solidFill>
              <w14:schemeClr w14:val="tx1"/>
            </w14:solidFill>
          </w14:textFill>
        </w:rPr>
        <w:t xml:space="preserve"> </w:t>
      </w:r>
      <w:r>
        <w:rPr>
          <w:rFonts w:eastAsia="Arial" w:cs="Times New Roman"/>
          <w:color w:val="000000" w:themeColor="text1"/>
          <w14:textFill>
            <w14:solidFill>
              <w14:schemeClr w14:val="tx1"/>
            </w14:solidFill>
          </w14:textFill>
        </w:rPr>
        <w:t>(Guiso, Sapienza and Zingales, 2013)</w:t>
      </w:r>
      <w:r>
        <w:rPr>
          <w:rFonts w:cs="Times New Roman"/>
          <w:color w:val="000000" w:themeColor="text1"/>
          <w:kern w:val="3"/>
          <w14:textFill>
            <w14:solidFill>
              <w14:schemeClr w14:val="tx1"/>
            </w14:solidFill>
          </w14:textFill>
        </w:rPr>
        <w:t>.</w:t>
      </w:r>
    </w:p>
    <w:p>
      <w:pPr>
        <w:spacing w:before="120" w:after="120"/>
        <w:rPr>
          <w:rFonts w:cs="Times New Roman"/>
          <w:kern w:val="3"/>
        </w:rPr>
      </w:pPr>
      <w:r>
        <w:rPr>
          <w:rFonts w:cs="Times New Roman"/>
          <w:kern w:val="3"/>
        </w:rPr>
        <w:t xml:space="preserve">According to </w:t>
      </w:r>
      <w:r>
        <w:rPr>
          <w:rFonts w:eastAsia="Arial" w:cs="Times New Roman"/>
          <w:color w:val="000000" w:themeColor="text1"/>
          <w:kern w:val="3"/>
          <w14:textFill>
            <w14:solidFill>
              <w14:schemeClr w14:val="tx1"/>
            </w14:solidFill>
          </w14:textFill>
        </w:rPr>
        <w:t>Hickman and Silva</w:t>
      </w:r>
      <w:r>
        <w:rPr>
          <w:rFonts w:cs="Times New Roman"/>
          <w:kern w:val="3"/>
        </w:rPr>
        <w:t xml:space="preserve"> (</w:t>
      </w:r>
      <w:r>
        <w:rPr>
          <w:rFonts w:hint="eastAsia" w:cs="Times New Roman"/>
          <w:kern w:val="3"/>
        </w:rPr>
        <w:t>2018</w:t>
      </w:r>
      <w:r>
        <w:rPr>
          <w:rFonts w:cs="Times New Roman"/>
          <w:kern w:val="3"/>
        </w:rPr>
        <w:t>), corporate culture has to be kept strictly apart from similar looking concepts like the corporate identity, organi</w:t>
      </w:r>
      <w:r>
        <w:rPr>
          <w:rFonts w:hint="eastAsia" w:cs="Times New Roman"/>
          <w:kern w:val="3"/>
        </w:rPr>
        <w:t>z</w:t>
      </w:r>
      <w:r>
        <w:rPr>
          <w:rFonts w:cs="Times New Roman"/>
          <w:kern w:val="3"/>
        </w:rPr>
        <w:t>ational climate or the national culture. Corporate culture is the implicit, invisible, intrinsic, and informal consciousness of the organi</w:t>
      </w:r>
      <w:r>
        <w:rPr>
          <w:rFonts w:hint="eastAsia" w:cs="Times New Roman"/>
          <w:kern w:val="3"/>
        </w:rPr>
        <w:t>z</w:t>
      </w:r>
      <w:r>
        <w:rPr>
          <w:rFonts w:cs="Times New Roman"/>
          <w:kern w:val="3"/>
        </w:rPr>
        <w:t>ation which guides the behavior of the individuals and which shapes itself out of the behavior</w:t>
      </w:r>
      <w:r>
        <w:rPr>
          <w:rFonts w:cs="Times New Roman"/>
          <w:color w:val="000000" w:themeColor="text1"/>
          <w:kern w:val="3"/>
          <w14:textFill>
            <w14:solidFill>
              <w14:schemeClr w14:val="tx1"/>
            </w14:solidFill>
          </w14:textFill>
        </w:rPr>
        <w:t xml:space="preserve"> </w:t>
      </w:r>
      <w:r>
        <w:rPr>
          <w:rFonts w:eastAsia="Arial" w:cs="Times New Roman"/>
          <w:color w:val="000000" w:themeColor="text1"/>
          <w14:textFill>
            <w14:solidFill>
              <w14:schemeClr w14:val="tx1"/>
            </w14:solidFill>
          </w14:textFill>
        </w:rPr>
        <w:t>(Eccles, Ioannou and Serafeim, 2012)</w:t>
      </w:r>
      <w:r>
        <w:rPr>
          <w:rFonts w:cs="Times New Roman"/>
          <w:color w:val="000000" w:themeColor="text1"/>
          <w:kern w:val="3"/>
          <w14:textFill>
            <w14:solidFill>
              <w14:schemeClr w14:val="tx1"/>
            </w14:solidFill>
          </w14:textFill>
        </w:rPr>
        <w:t>.</w:t>
      </w:r>
    </w:p>
    <w:p>
      <w:pPr>
        <w:spacing w:before="120" w:after="120"/>
        <w:rPr>
          <w:rFonts w:cs="Times New Roman"/>
          <w:kern w:val="3"/>
        </w:rPr>
      </w:pPr>
      <w:r>
        <w:rPr>
          <w:rFonts w:eastAsia="Arial" w:cs="Times New Roman"/>
          <w:color w:val="000000" w:themeColor="text1"/>
          <w:kern w:val="3"/>
          <w14:textFill>
            <w14:solidFill>
              <w14:schemeClr w14:val="tx1"/>
            </w14:solidFill>
          </w14:textFill>
        </w:rPr>
        <w:t>Grenville</w:t>
      </w:r>
      <w:r>
        <w:rPr>
          <w:rFonts w:hint="eastAsia" w:eastAsia="宋体" w:cs="Times New Roman"/>
          <w:color w:val="000000" w:themeColor="text1"/>
          <w:kern w:val="3"/>
          <w14:textFill>
            <w14:solidFill>
              <w14:schemeClr w14:val="tx1"/>
            </w14:solidFill>
          </w14:textFill>
        </w:rPr>
        <w:t xml:space="preserve"> </w:t>
      </w:r>
      <w:r>
        <w:rPr>
          <w:rFonts w:cs="Times New Roman"/>
          <w:kern w:val="3"/>
        </w:rPr>
        <w:t>(</w:t>
      </w:r>
      <w:r>
        <w:rPr>
          <w:rFonts w:hint="eastAsia" w:cs="Times New Roman"/>
          <w:kern w:val="3"/>
        </w:rPr>
        <w:t>2009</w:t>
      </w:r>
      <w:r>
        <w:rPr>
          <w:rFonts w:cs="Times New Roman"/>
          <w:kern w:val="3"/>
        </w:rPr>
        <w:t>)</w:t>
      </w:r>
      <w:r>
        <w:rPr>
          <w:rFonts w:hint="eastAsia" w:cs="Times New Roman"/>
          <w:kern w:val="3"/>
        </w:rPr>
        <w:t xml:space="preserve"> </w:t>
      </w:r>
      <w:r>
        <w:rPr>
          <w:rFonts w:cs="Times New Roman"/>
          <w:kern w:val="3"/>
        </w:rPr>
        <w:t>examined the relationship between corporate culture and performance. In that study, corporate culture was based on the perceptions of</w:t>
      </w:r>
      <w:r>
        <w:rPr>
          <w:rFonts w:hint="eastAsia" w:cs="Times New Roman"/>
          <w:kern w:val="3"/>
        </w:rPr>
        <w:t xml:space="preserve"> </w:t>
      </w:r>
      <w:r>
        <w:rPr>
          <w:rFonts w:cs="Times New Roman"/>
          <w:kern w:val="3"/>
        </w:rPr>
        <w:t>organi</w:t>
      </w:r>
      <w:r>
        <w:rPr>
          <w:rFonts w:hint="eastAsia" w:cs="Times New Roman"/>
          <w:kern w:val="3"/>
        </w:rPr>
        <w:t>z</w:t>
      </w:r>
      <w:r>
        <w:rPr>
          <w:rFonts w:cs="Times New Roman"/>
          <w:kern w:val="3"/>
        </w:rPr>
        <w:t>ational practices and conditions, to characterize the organi</w:t>
      </w:r>
      <w:r>
        <w:rPr>
          <w:rFonts w:hint="eastAsia" w:cs="Times New Roman"/>
          <w:kern w:val="3"/>
        </w:rPr>
        <w:t>z</w:t>
      </w:r>
      <w:r>
        <w:rPr>
          <w:rFonts w:cs="Times New Roman"/>
          <w:kern w:val="3"/>
        </w:rPr>
        <w:t>ational culture. He found that the organi</w:t>
      </w:r>
      <w:r>
        <w:rPr>
          <w:rFonts w:hint="eastAsia" w:cs="Times New Roman"/>
          <w:kern w:val="3"/>
        </w:rPr>
        <w:t>z</w:t>
      </w:r>
      <w:r>
        <w:rPr>
          <w:rFonts w:cs="Times New Roman"/>
          <w:kern w:val="3"/>
        </w:rPr>
        <w:t>ation with participat</w:t>
      </w:r>
      <w:r>
        <w:rPr>
          <w:rFonts w:hint="eastAsia" w:cs="Times New Roman"/>
          <w:kern w:val="3"/>
        </w:rPr>
        <w:t>ive</w:t>
      </w:r>
      <w:r>
        <w:rPr>
          <w:rFonts w:cs="Times New Roman"/>
          <w:kern w:val="3"/>
        </w:rPr>
        <w:t xml:space="preserve"> culture performed better than other cultural types.</w:t>
      </w:r>
    </w:p>
    <w:p>
      <w:pPr>
        <w:spacing w:before="120" w:after="120"/>
        <w:rPr>
          <w:rFonts w:cs="Times New Roman"/>
          <w:kern w:val="3"/>
        </w:rPr>
      </w:pPr>
      <w:r>
        <w:rPr>
          <w:rFonts w:cs="Times New Roman"/>
          <w:kern w:val="3"/>
        </w:rPr>
        <w:t>Corporate culture is also related to organi</w:t>
      </w:r>
      <w:r>
        <w:rPr>
          <w:rFonts w:hint="eastAsia" w:cs="Times New Roman"/>
          <w:kern w:val="3"/>
        </w:rPr>
        <w:t>z</w:t>
      </w:r>
      <w:r>
        <w:rPr>
          <w:rFonts w:cs="Times New Roman"/>
          <w:kern w:val="3"/>
        </w:rPr>
        <w:t>ational strategy (</w:t>
      </w:r>
      <w:r>
        <w:rPr>
          <w:rFonts w:hint="eastAsia" w:cs="Times New Roman"/>
          <w:kern w:val="3"/>
        </w:rPr>
        <w:t>Mullins, 2011</w:t>
      </w:r>
      <w:r>
        <w:rPr>
          <w:rFonts w:cs="Times New Roman"/>
          <w:kern w:val="3"/>
        </w:rPr>
        <w:t xml:space="preserve">). </w:t>
      </w:r>
      <w:r>
        <w:rPr>
          <w:rFonts w:hint="eastAsia" w:cs="Times New Roman"/>
          <w:kern w:val="3"/>
        </w:rPr>
        <w:t xml:space="preserve">Anghel </w:t>
      </w:r>
      <w:r>
        <w:rPr>
          <w:rFonts w:cs="Times New Roman"/>
          <w:kern w:val="3"/>
        </w:rPr>
        <w:t>(</w:t>
      </w:r>
      <w:r>
        <w:rPr>
          <w:rFonts w:hint="eastAsia" w:cs="Times New Roman"/>
          <w:kern w:val="3"/>
        </w:rPr>
        <w:t>2012</w:t>
      </w:r>
      <w:r>
        <w:rPr>
          <w:rFonts w:cs="Times New Roman"/>
          <w:kern w:val="3"/>
        </w:rPr>
        <w:t>) found a strong relationship between corporate strategy and culture. He found that firms pursuing the prospectors’ strategy tends to have developmental culture, and those with defensive strategy tend to have hierarchical culture. Rashid and Anantharaman (</w:t>
      </w:r>
      <w:r>
        <w:rPr>
          <w:rFonts w:hint="eastAsia" w:cs="Times New Roman"/>
          <w:kern w:val="3"/>
        </w:rPr>
        <w:t>2002</w:t>
      </w:r>
      <w:r>
        <w:rPr>
          <w:rFonts w:cs="Times New Roman"/>
          <w:kern w:val="3"/>
        </w:rPr>
        <w:t>) also found that there was an association between organi</w:t>
      </w:r>
      <w:r>
        <w:rPr>
          <w:rFonts w:hint="eastAsia" w:cs="Times New Roman"/>
          <w:kern w:val="3"/>
        </w:rPr>
        <w:t>z</w:t>
      </w:r>
      <w:r>
        <w:rPr>
          <w:rFonts w:cs="Times New Roman"/>
          <w:kern w:val="3"/>
        </w:rPr>
        <w:t>ational strategy and culture which is consistent with the findings by</w:t>
      </w:r>
      <w:r>
        <w:rPr>
          <w:rFonts w:hint="eastAsia" w:cs="Times New Roman"/>
          <w:kern w:val="3"/>
        </w:rPr>
        <w:t xml:space="preserve"> Anghel</w:t>
      </w:r>
      <w:r>
        <w:rPr>
          <w:rFonts w:cs="Times New Roman"/>
          <w:kern w:val="3"/>
        </w:rPr>
        <w:t xml:space="preserve"> (</w:t>
      </w:r>
      <w:r>
        <w:rPr>
          <w:rFonts w:hint="eastAsia" w:cs="Times New Roman"/>
          <w:kern w:val="3"/>
        </w:rPr>
        <w:t>2012</w:t>
      </w:r>
      <w:r>
        <w:rPr>
          <w:rFonts w:cs="Times New Roman"/>
          <w:kern w:val="3"/>
        </w:rPr>
        <w:t>).</w:t>
      </w:r>
    </w:p>
    <w:p>
      <w:pPr>
        <w:spacing w:before="120" w:after="120"/>
        <w:rPr>
          <w:rFonts w:cs="Times New Roman"/>
          <w:kern w:val="3"/>
        </w:rPr>
      </w:pPr>
      <w:r>
        <w:rPr>
          <w:rFonts w:cs="Times New Roman"/>
          <w:kern w:val="3"/>
        </w:rPr>
        <w:t xml:space="preserve">From the above literature, it appears that </w:t>
      </w:r>
      <w:r>
        <w:rPr>
          <w:rFonts w:hint="eastAsia" w:cs="Times New Roman"/>
          <w:kern w:val="3"/>
        </w:rPr>
        <w:t>corporate</w:t>
      </w:r>
      <w:r>
        <w:rPr>
          <w:rFonts w:cs="Times New Roman"/>
          <w:kern w:val="3"/>
        </w:rPr>
        <w:t xml:space="preserve"> culture played an</w:t>
      </w:r>
      <w:r>
        <w:rPr>
          <w:rFonts w:hint="eastAsia" w:cs="Times New Roman"/>
          <w:kern w:val="3"/>
        </w:rPr>
        <w:t xml:space="preserve"> </w:t>
      </w:r>
      <w:r>
        <w:rPr>
          <w:rFonts w:cs="Times New Roman"/>
          <w:kern w:val="3"/>
        </w:rPr>
        <w:t xml:space="preserve">important role in promoting </w:t>
      </w:r>
      <w:r>
        <w:rPr>
          <w:rFonts w:hint="eastAsia" w:cs="Times New Roman"/>
          <w:kern w:val="3"/>
        </w:rPr>
        <w:t>company</w:t>
      </w:r>
      <w:r>
        <w:rPr>
          <w:rFonts w:cs="Times New Roman"/>
          <w:kern w:val="3"/>
        </w:rPr>
        <w:t xml:space="preserve"> success, and this could only be achieved by assuring an appropriate culture being developed or shaped in the organi</w:t>
      </w:r>
      <w:r>
        <w:rPr>
          <w:rFonts w:hint="eastAsia" w:cs="Times New Roman"/>
          <w:kern w:val="3"/>
        </w:rPr>
        <w:t>z</w:t>
      </w:r>
      <w:r>
        <w:rPr>
          <w:rFonts w:cs="Times New Roman"/>
          <w:kern w:val="3"/>
        </w:rPr>
        <w:t>ation that matches the managers values, attitudes and behavior.</w:t>
      </w:r>
      <w:r>
        <w:rPr>
          <w:rFonts w:hint="eastAsia" w:cs="Times New Roman"/>
          <w:kern w:val="3"/>
        </w:rPr>
        <w:t xml:space="preserve"> (</w:t>
      </w:r>
      <w:r>
        <w:rPr>
          <w:rFonts w:eastAsia="Arial" w:cs="Times New Roman"/>
          <w:color w:val="000000" w:themeColor="text1"/>
          <w:kern w:val="3"/>
          <w14:textFill>
            <w14:solidFill>
              <w14:schemeClr w14:val="tx1"/>
            </w14:solidFill>
          </w14:textFill>
        </w:rPr>
        <w:t>Hickman and Silva</w:t>
      </w:r>
      <w:r>
        <w:rPr>
          <w:rFonts w:hint="eastAsia" w:eastAsia="宋体" w:cs="Times New Roman"/>
          <w:color w:val="000000" w:themeColor="text1"/>
          <w:kern w:val="3"/>
          <w14:textFill>
            <w14:solidFill>
              <w14:schemeClr w14:val="tx1"/>
            </w14:solidFill>
          </w14:textFill>
        </w:rPr>
        <w:t xml:space="preserve">, </w:t>
      </w:r>
      <w:r>
        <w:rPr>
          <w:rFonts w:hint="eastAsia" w:cs="Times New Roman"/>
          <w:kern w:val="3"/>
        </w:rPr>
        <w:t>2018)</w:t>
      </w:r>
    </w:p>
    <w:p>
      <w:pPr>
        <w:spacing w:before="120" w:after="120"/>
        <w:rPr>
          <w:rFonts w:cs="Times New Roman"/>
          <w:kern w:val="3"/>
        </w:rPr>
      </w:pPr>
    </w:p>
    <w:p>
      <w:pPr>
        <w:spacing w:before="120" w:after="120"/>
      </w:pPr>
      <w:bookmarkStart w:id="137" w:name="_Toc29511_WPSOffice_Level2"/>
      <w:r>
        <w:rPr>
          <w:rFonts w:hint="eastAsia"/>
        </w:rPr>
        <w:t>2.2.1.2 A local perspective</w:t>
      </w:r>
      <w:bookmarkEnd w:id="137"/>
    </w:p>
    <w:p>
      <w:pPr>
        <w:spacing w:before="120" w:after="120"/>
        <w:rPr>
          <w:rFonts w:eastAsia="Guardian" w:cs="Times New Roman"/>
          <w:color w:val="222222"/>
          <w:kern w:val="3"/>
          <w:shd w:val="clear" w:color="auto" w:fill="FFFFFF"/>
        </w:rPr>
      </w:pPr>
      <w:r>
        <w:rPr>
          <w:rFonts w:eastAsia="Guardian" w:cs="Times New Roman"/>
          <w:color w:val="222222"/>
          <w:kern w:val="3"/>
          <w:shd w:val="clear" w:color="auto" w:fill="FFFFFF"/>
        </w:rPr>
        <w:t>The origin of culture as an independent variable affecting an employee’s attitudes and behaviour can be traced back more than 50 years ago to the notion of institutionalization (Hammonds, 2000). Culture is an important force determining managerial attitudes and practices, and does influence the practice of management</w:t>
      </w:r>
      <w:r>
        <w:rPr>
          <w:rFonts w:hint="eastAsia" w:eastAsia="宋体" w:cs="Times New Roman"/>
          <w:color w:val="222222"/>
          <w:kern w:val="3"/>
          <w:shd w:val="clear" w:color="auto" w:fill="FFFFFF"/>
        </w:rPr>
        <w:t xml:space="preserve"> </w:t>
      </w:r>
      <w:r>
        <w:rPr>
          <w:rFonts w:eastAsia="Arial" w:cs="Times New Roman"/>
          <w:color w:val="000000" w:themeColor="text1"/>
          <w:kern w:val="3"/>
          <w14:textFill>
            <w14:solidFill>
              <w14:schemeClr w14:val="tx1"/>
            </w14:solidFill>
          </w14:textFill>
        </w:rPr>
        <w:t>(Brothers, 2007)</w:t>
      </w:r>
      <w:r>
        <w:rPr>
          <w:rFonts w:eastAsia="Guardian" w:cs="Times New Roman"/>
          <w:color w:val="222222"/>
          <w:kern w:val="3"/>
          <w:shd w:val="clear" w:color="auto" w:fill="FFFFFF"/>
        </w:rPr>
        <w:t>. Cultural differences may often affect management expectations and styles</w:t>
      </w:r>
      <w:r>
        <w:rPr>
          <w:rFonts w:hint="eastAsia" w:eastAsia="宋体" w:cs="Times New Roman"/>
          <w:color w:val="222222"/>
          <w:kern w:val="3"/>
          <w:shd w:val="clear" w:color="auto" w:fill="FFFFFF"/>
        </w:rPr>
        <w:t>, c</w:t>
      </w:r>
      <w:r>
        <w:rPr>
          <w:rFonts w:eastAsia="Guardian" w:cs="Times New Roman"/>
          <w:color w:val="222222"/>
          <w:kern w:val="3"/>
          <w:shd w:val="clear" w:color="auto" w:fill="FFFFFF"/>
        </w:rPr>
        <w:t>oping with other cultures and trying to understand why and how culture influences behaviour is one of the most crucial issues facing management</w:t>
      </w:r>
      <w:r>
        <w:rPr>
          <w:rFonts w:eastAsia="宋体" w:cs="Times New Roman"/>
          <w:color w:val="000000" w:themeColor="text1"/>
          <w:kern w:val="3"/>
          <w14:textFill>
            <w14:solidFill>
              <w14:schemeClr w14:val="tx1"/>
            </w14:solidFill>
          </w14:textFill>
        </w:rPr>
        <w:t xml:space="preserve"> </w:t>
      </w:r>
      <w:r>
        <w:rPr>
          <w:rFonts w:eastAsia="Arial" w:cs="Times New Roman"/>
          <w:color w:val="000000" w:themeColor="text1"/>
          <w:kern w:val="3"/>
          <w14:textFill>
            <w14:solidFill>
              <w14:schemeClr w14:val="tx1"/>
            </w14:solidFill>
          </w14:textFill>
        </w:rPr>
        <w:t>(Miller, 2010)</w:t>
      </w:r>
      <w:r>
        <w:rPr>
          <w:rFonts w:eastAsia="Guardian" w:cs="Times New Roman"/>
          <w:color w:val="222222"/>
          <w:kern w:val="3"/>
          <w:shd w:val="clear" w:color="auto" w:fill="FFFFFF"/>
        </w:rPr>
        <w:t xml:space="preserve">. The impact of culture in organizations is becoming increasingly important. </w:t>
      </w:r>
      <w:r>
        <w:rPr>
          <w:rFonts w:hint="eastAsia" w:eastAsia="宋体" w:cs="Times New Roman"/>
          <w:color w:val="222222"/>
          <w:kern w:val="3"/>
          <w:shd w:val="clear" w:color="auto" w:fill="FFFFFF"/>
        </w:rPr>
        <w:t>O</w:t>
      </w:r>
      <w:r>
        <w:rPr>
          <w:rFonts w:eastAsia="Guardian" w:cs="Times New Roman"/>
          <w:color w:val="222222"/>
          <w:kern w:val="3"/>
          <w:shd w:val="clear" w:color="auto" w:fill="FFFFFF"/>
        </w:rPr>
        <w:t>rganizations are driven by their own kind of culture known as ‘corporate culture’, which has significant influence on member’s attitude and behavior</w:t>
      </w:r>
      <w:r>
        <w:rPr>
          <w:rFonts w:hint="eastAsia" w:eastAsia="宋体" w:cs="Times New Roman"/>
          <w:color w:val="222222"/>
          <w:kern w:val="3"/>
          <w:shd w:val="clear" w:color="auto" w:fill="FFFFFF"/>
        </w:rPr>
        <w:t xml:space="preserve"> (</w:t>
      </w:r>
      <w:r>
        <w:rPr>
          <w:rFonts w:eastAsia="Arial" w:cs="Times New Roman"/>
          <w:color w:val="000000" w:themeColor="text1"/>
          <w:kern w:val="3"/>
          <w14:textFill>
            <w14:solidFill>
              <w14:schemeClr w14:val="tx1"/>
            </w14:solidFill>
          </w14:textFill>
        </w:rPr>
        <w:t>Hickman and Silva</w:t>
      </w:r>
      <w:r>
        <w:rPr>
          <w:rFonts w:hint="eastAsia" w:eastAsia="宋体" w:cs="Times New Roman"/>
          <w:color w:val="000000" w:themeColor="text1"/>
          <w:kern w:val="3"/>
          <w14:textFill>
            <w14:solidFill>
              <w14:schemeClr w14:val="tx1"/>
            </w14:solidFill>
          </w14:textFill>
        </w:rPr>
        <w:t xml:space="preserve">, </w:t>
      </w:r>
      <w:r>
        <w:rPr>
          <w:rFonts w:hint="eastAsia" w:cs="Times New Roman"/>
          <w:kern w:val="3"/>
        </w:rPr>
        <w:t>2018)</w:t>
      </w:r>
      <w:r>
        <w:rPr>
          <w:rFonts w:eastAsia="Guardian" w:cs="Times New Roman"/>
          <w:color w:val="222222"/>
          <w:kern w:val="3"/>
          <w:shd w:val="clear" w:color="auto" w:fill="FFFFFF"/>
        </w:rPr>
        <w:t>. Bateman and Snell (1999) observed that a company’s culture provides a framework that organizes and directs people’s behavior on the job. Corporate culture impact individual behavior on what it takes to be in good standing and directs the appropriate behavior for each circumstance. Culture is an essential quality of excellent organizations (Amah, 20</w:t>
      </w:r>
      <w:r>
        <w:rPr>
          <w:rFonts w:hint="eastAsia" w:eastAsia="宋体" w:cs="Times New Roman"/>
          <w:color w:val="222222"/>
          <w:kern w:val="3"/>
          <w:shd w:val="clear" w:color="auto" w:fill="FFFFFF"/>
        </w:rPr>
        <w:t>1</w:t>
      </w:r>
      <w:r>
        <w:rPr>
          <w:rFonts w:eastAsia="Guardian" w:cs="Times New Roman"/>
          <w:color w:val="222222"/>
          <w:kern w:val="3"/>
          <w:shd w:val="clear" w:color="auto" w:fill="FFFFFF"/>
        </w:rPr>
        <w:t xml:space="preserve">6). Culture is viewed as the organization’s DNA – invisible to the naked eye yet powerful template that shapes what happens in the workplace (Davenport </w:t>
      </w:r>
      <w:r>
        <w:rPr>
          <w:rFonts w:hint="eastAsia" w:eastAsia="宋体" w:cs="Times New Roman"/>
          <w:color w:val="222222"/>
          <w:kern w:val="3"/>
          <w:shd w:val="clear" w:color="auto" w:fill="FFFFFF"/>
        </w:rPr>
        <w:t>2011</w:t>
      </w:r>
      <w:r>
        <w:rPr>
          <w:rFonts w:eastAsia="Guardian" w:cs="Times New Roman"/>
          <w:color w:val="222222"/>
          <w:kern w:val="3"/>
          <w:shd w:val="clear" w:color="auto" w:fill="FFFFFF"/>
        </w:rPr>
        <w:t>). Corporate culture has been defined as “the way things get done around here” (Deal and Kennedy, 200</w:t>
      </w:r>
      <w:r>
        <w:rPr>
          <w:rFonts w:hint="eastAsia" w:eastAsia="宋体" w:cs="Times New Roman"/>
          <w:color w:val="222222"/>
          <w:kern w:val="3"/>
          <w:shd w:val="clear" w:color="auto" w:fill="FFFFFF"/>
        </w:rPr>
        <w:t>8</w:t>
      </w:r>
      <w:r>
        <w:rPr>
          <w:rFonts w:eastAsia="Guardian" w:cs="Times New Roman"/>
          <w:color w:val="222222"/>
          <w:kern w:val="3"/>
          <w:shd w:val="clear" w:color="auto" w:fill="FFFFFF"/>
        </w:rPr>
        <w:t>). This implies that the culture of one organization can differ from another even in the same industry. Schein (</w:t>
      </w:r>
      <w:r>
        <w:rPr>
          <w:rFonts w:hint="eastAsia" w:eastAsia="宋体" w:cs="Times New Roman"/>
          <w:color w:val="222222"/>
          <w:kern w:val="3"/>
          <w:shd w:val="clear" w:color="auto" w:fill="FFFFFF"/>
        </w:rPr>
        <w:t>2000</w:t>
      </w:r>
      <w:r>
        <w:rPr>
          <w:rFonts w:eastAsia="Guardian" w:cs="Times New Roman"/>
          <w:color w:val="222222"/>
          <w:kern w:val="3"/>
          <w:shd w:val="clear" w:color="auto" w:fill="FFFFFF"/>
        </w:rPr>
        <w:t>) defined corporate culture as the pattern of basic assumptions that a given group has invented, discovered or developed in learning to cope with its problems of external adaptation and integration that have worked well enough to be considered valid, and therefore to be taught to new members as the correct way to perceive, think and feel in relation to those problems</w:t>
      </w:r>
      <w:r>
        <w:rPr>
          <w:rFonts w:hint="eastAsia" w:eastAsia="宋体" w:cs="Times New Roman"/>
          <w:color w:val="222222"/>
          <w:kern w:val="3"/>
          <w:shd w:val="clear" w:color="auto" w:fill="FFFFFF"/>
        </w:rPr>
        <w:t xml:space="preserve"> </w:t>
      </w:r>
      <w:r>
        <w:rPr>
          <w:rFonts w:eastAsia="Arial" w:cs="Times New Roman"/>
          <w:color w:val="000000" w:themeColor="text1"/>
          <w:kern w:val="3"/>
          <w14:textFill>
            <w14:solidFill>
              <w14:schemeClr w14:val="tx1"/>
            </w14:solidFill>
          </w14:textFill>
        </w:rPr>
        <w:t>(Miller, 201</w:t>
      </w:r>
      <w:r>
        <w:rPr>
          <w:rFonts w:hint="eastAsia" w:eastAsia="宋体" w:cs="Times New Roman"/>
          <w:color w:val="000000" w:themeColor="text1"/>
          <w:kern w:val="3"/>
          <w14:textFill>
            <w14:solidFill>
              <w14:schemeClr w14:val="tx1"/>
            </w14:solidFill>
          </w14:textFill>
        </w:rPr>
        <w:t>1</w:t>
      </w:r>
      <w:r>
        <w:rPr>
          <w:rFonts w:eastAsia="Arial" w:cs="Times New Roman"/>
          <w:color w:val="000000" w:themeColor="text1"/>
          <w:kern w:val="3"/>
          <w14:textFill>
            <w14:solidFill>
              <w14:schemeClr w14:val="tx1"/>
            </w14:solidFill>
          </w14:textFill>
        </w:rPr>
        <w:t>)</w:t>
      </w:r>
      <w:r>
        <w:rPr>
          <w:rFonts w:hint="eastAsia" w:eastAsia="宋体" w:cs="Times New Roman"/>
          <w:color w:val="222222"/>
          <w:kern w:val="3"/>
          <w:shd w:val="clear" w:color="auto" w:fill="FFFFFF"/>
        </w:rPr>
        <w:t xml:space="preserve"> </w:t>
      </w:r>
      <w:r>
        <w:rPr>
          <w:rFonts w:eastAsia="Guardian" w:cs="Times New Roman"/>
          <w:color w:val="222222"/>
          <w:kern w:val="3"/>
          <w:shd w:val="clear" w:color="auto" w:fill="FFFFFF"/>
        </w:rPr>
        <w:t>.</w:t>
      </w:r>
    </w:p>
    <w:p>
      <w:pPr>
        <w:spacing w:before="120" w:after="120"/>
        <w:rPr>
          <w:rFonts w:eastAsia="Guardian" w:cs="Times New Roman"/>
          <w:color w:val="222222"/>
          <w:kern w:val="3"/>
          <w:shd w:val="clear" w:color="auto" w:fill="FFFFFF"/>
        </w:rPr>
      </w:pPr>
      <w:r>
        <w:rPr>
          <w:rFonts w:eastAsia="Guardian" w:cs="Times New Roman"/>
          <w:color w:val="222222"/>
          <w:kern w:val="3"/>
          <w:shd w:val="clear" w:color="auto" w:fill="FFFFFF"/>
        </w:rPr>
        <w:t>Culture helps guide daily activities of workers to meet certain goals</w:t>
      </w:r>
      <w:r>
        <w:rPr>
          <w:rFonts w:hint="eastAsia" w:eastAsia="宋体" w:cs="Times New Roman"/>
          <w:color w:val="222222"/>
          <w:kern w:val="3"/>
          <w:shd w:val="clear" w:color="auto" w:fill="FFFFFF"/>
        </w:rPr>
        <w:t>,</w:t>
      </w:r>
      <w:r>
        <w:rPr>
          <w:rFonts w:eastAsia="Guardian" w:cs="Times New Roman"/>
          <w:color w:val="222222"/>
          <w:kern w:val="3"/>
          <w:shd w:val="clear" w:color="auto" w:fill="FFFFFF"/>
        </w:rPr>
        <w:t xml:space="preserve"> </w:t>
      </w:r>
      <w:r>
        <w:rPr>
          <w:rFonts w:hint="eastAsia" w:eastAsia="宋体" w:cs="Times New Roman"/>
          <w:color w:val="222222"/>
          <w:kern w:val="3"/>
          <w:shd w:val="clear" w:color="auto" w:fill="FFFFFF"/>
        </w:rPr>
        <w:t>i</w:t>
      </w:r>
      <w:r>
        <w:rPr>
          <w:rFonts w:eastAsia="Guardian" w:cs="Times New Roman"/>
          <w:color w:val="222222"/>
          <w:kern w:val="3"/>
          <w:shd w:val="clear" w:color="auto" w:fill="FFFFFF"/>
        </w:rPr>
        <w:t xml:space="preserve">t enables organizations respond rapidly to customers’ need or the moves of a competitor. Nickels (2010) further defined corporate culture as widely shared values within an organization that provide coherence and cooperation to achieve goals. This means  that corporate culture glues employees together and also enable them cooperate  towards the achievement of organizational goals. Corporate culture has also been defined as “ the set of values, guiding beliefs, understandings, and ways of thinking that is shared by members of an organization and is taught to new members as  correct” (Duncan, </w:t>
      </w:r>
      <w:r>
        <w:rPr>
          <w:rFonts w:hint="eastAsia" w:eastAsia="宋体" w:cs="Times New Roman"/>
          <w:color w:val="222222"/>
          <w:kern w:val="3"/>
          <w:shd w:val="clear" w:color="auto" w:fill="FFFFFF"/>
        </w:rPr>
        <w:t>2013</w:t>
      </w:r>
      <w:r>
        <w:rPr>
          <w:rFonts w:eastAsia="Guardian" w:cs="Times New Roman"/>
          <w:color w:val="222222"/>
          <w:kern w:val="3"/>
          <w:shd w:val="clear" w:color="auto" w:fill="FFFFFF"/>
        </w:rPr>
        <w:t>). This implies that culture is learned and not genetically inherited. The learning process tends to go on unconsciously making culture pass from one generation to another unnoticed (McShane and Von-Glinow, 20</w:t>
      </w:r>
      <w:r>
        <w:rPr>
          <w:rFonts w:hint="eastAsia" w:eastAsia="宋体" w:cs="Times New Roman"/>
          <w:color w:val="222222"/>
          <w:kern w:val="3"/>
          <w:shd w:val="clear" w:color="auto" w:fill="FFFFFF"/>
        </w:rPr>
        <w:t>1</w:t>
      </w:r>
      <w:r>
        <w:rPr>
          <w:rFonts w:eastAsia="Guardian" w:cs="Times New Roman"/>
          <w:color w:val="222222"/>
          <w:kern w:val="3"/>
          <w:shd w:val="clear" w:color="auto" w:fill="FFFFFF"/>
        </w:rPr>
        <w:t>6). It suggests that culture can be changed if the dynamics of learning process are known. The underlying values may include ethical behavior, commitment to employees, efficiency or customer service. Hills and Jones (20</w:t>
      </w:r>
      <w:r>
        <w:rPr>
          <w:rFonts w:hint="eastAsia" w:eastAsia="宋体" w:cs="Times New Roman"/>
          <w:color w:val="222222"/>
          <w:kern w:val="3"/>
          <w:shd w:val="clear" w:color="auto" w:fill="FFFFFF"/>
        </w:rPr>
        <w:t>1</w:t>
      </w:r>
      <w:r>
        <w:rPr>
          <w:rFonts w:eastAsia="Guardian" w:cs="Times New Roman"/>
          <w:color w:val="222222"/>
          <w:kern w:val="3"/>
          <w:shd w:val="clear" w:color="auto" w:fill="FFFFFF"/>
        </w:rPr>
        <w:t>3) defined corporate culture as the “specific collection of values and norms that are shared by people and groups in an organization and that control the way they interact with each other and with stakeholders outside the organization”.</w:t>
      </w:r>
    </w:p>
    <w:p>
      <w:pPr>
        <w:spacing w:before="120" w:after="120"/>
        <w:rPr>
          <w:rFonts w:eastAsia="Guardian" w:cs="Times New Roman"/>
          <w:color w:val="222222"/>
          <w:kern w:val="3"/>
          <w:shd w:val="clear" w:color="auto" w:fill="FFFFFF"/>
        </w:rPr>
      </w:pPr>
      <w:r>
        <w:rPr>
          <w:rFonts w:eastAsia="Guardian" w:cs="Times New Roman"/>
          <w:color w:val="222222"/>
          <w:kern w:val="3"/>
          <w:shd w:val="clear" w:color="auto" w:fill="FFFFFF"/>
        </w:rPr>
        <w:t>Culture seems to determine things like loyalty and commitment, how employees work and how far they are prepared to take risks. It is also the organizationally induced collective ‘mental programming which all members of the organization share</w:t>
      </w:r>
      <w:r>
        <w:rPr>
          <w:rFonts w:hint="eastAsia" w:eastAsia="宋体" w:cs="Times New Roman"/>
          <w:color w:val="222222"/>
          <w:kern w:val="3"/>
          <w:shd w:val="clear" w:color="auto" w:fill="FFFFFF"/>
        </w:rPr>
        <w:t xml:space="preserve"> </w:t>
      </w:r>
      <w:r>
        <w:rPr>
          <w:rFonts w:eastAsia="Guardian" w:cs="Times New Roman"/>
          <w:color w:val="222222"/>
          <w:kern w:val="3"/>
          <w:shd w:val="clear" w:color="auto" w:fill="FFFFFF"/>
        </w:rPr>
        <w:t xml:space="preserve">(Ahiauzu, </w:t>
      </w:r>
      <w:r>
        <w:rPr>
          <w:rFonts w:hint="eastAsia" w:eastAsia="宋体" w:cs="Times New Roman"/>
          <w:color w:val="222222"/>
          <w:kern w:val="3"/>
          <w:shd w:val="clear" w:color="auto" w:fill="FFFFFF"/>
        </w:rPr>
        <w:t>2018</w:t>
      </w:r>
      <w:r>
        <w:rPr>
          <w:rFonts w:eastAsia="Guardian" w:cs="Times New Roman"/>
          <w:color w:val="222222"/>
          <w:kern w:val="3"/>
          <w:shd w:val="clear" w:color="auto" w:fill="FFFFFF"/>
        </w:rPr>
        <w:t>).</w:t>
      </w:r>
      <w:r>
        <w:rPr>
          <w:rFonts w:hint="eastAsia" w:eastAsia="宋体" w:cs="Times New Roman"/>
          <w:color w:val="222222"/>
          <w:kern w:val="3"/>
          <w:shd w:val="clear" w:color="auto" w:fill="FFFFFF"/>
          <w:lang w:val="en-US" w:eastAsia="zh-CN"/>
        </w:rPr>
        <w:t xml:space="preserve"> </w:t>
      </w:r>
      <w:r>
        <w:rPr>
          <w:rFonts w:eastAsia="Guardian" w:cs="Times New Roman"/>
          <w:color w:val="222222"/>
          <w:kern w:val="3"/>
          <w:shd w:val="clear" w:color="auto" w:fill="FFFFFF"/>
        </w:rPr>
        <w:t>McShane and Von Glinow (20</w:t>
      </w:r>
      <w:r>
        <w:rPr>
          <w:rFonts w:hint="eastAsia" w:eastAsia="宋体" w:cs="Times New Roman"/>
          <w:color w:val="222222"/>
          <w:kern w:val="3"/>
          <w:shd w:val="clear" w:color="auto" w:fill="FFFFFF"/>
        </w:rPr>
        <w:t>1</w:t>
      </w:r>
      <w:r>
        <w:rPr>
          <w:rFonts w:eastAsia="Guardian" w:cs="Times New Roman"/>
          <w:color w:val="222222"/>
          <w:kern w:val="3"/>
          <w:shd w:val="clear" w:color="auto" w:fill="FFFFFF"/>
        </w:rPr>
        <w:t>6) described corporate culture as an automatic pilot that directs employees in ways that are consistent with organizational expectations. Corporate culture therefore tends to enhance management in coordinating and integrating people with diverse personal and cultural value systems in the workplace</w:t>
      </w:r>
      <w:r>
        <w:rPr>
          <w:rFonts w:hint="eastAsia" w:eastAsia="宋体" w:cs="Times New Roman"/>
          <w:color w:val="222222"/>
          <w:kern w:val="3"/>
          <w:shd w:val="clear" w:color="auto" w:fill="FFFFFF"/>
        </w:rPr>
        <w:t xml:space="preserve"> </w:t>
      </w:r>
      <w:r>
        <w:rPr>
          <w:rFonts w:eastAsia="Guardian" w:cs="Times New Roman"/>
          <w:color w:val="222222"/>
          <w:kern w:val="3"/>
          <w:shd w:val="clear" w:color="auto" w:fill="FFFFFF"/>
        </w:rPr>
        <w:t xml:space="preserve">(Duncan, </w:t>
      </w:r>
      <w:r>
        <w:rPr>
          <w:rFonts w:hint="eastAsia" w:eastAsia="宋体" w:cs="Times New Roman"/>
          <w:color w:val="222222"/>
          <w:kern w:val="3"/>
          <w:shd w:val="clear" w:color="auto" w:fill="FFFFFF"/>
        </w:rPr>
        <w:t>2013</w:t>
      </w:r>
      <w:r>
        <w:rPr>
          <w:rFonts w:eastAsia="Guardian" w:cs="Times New Roman"/>
          <w:color w:val="222222"/>
          <w:kern w:val="3"/>
          <w:shd w:val="clear" w:color="auto" w:fill="FFFFFF"/>
        </w:rPr>
        <w:t>).</w:t>
      </w:r>
    </w:p>
    <w:p>
      <w:pPr>
        <w:spacing w:before="120" w:after="120"/>
        <w:rPr>
          <w:rFonts w:eastAsia="Guardian" w:cs="Times New Roman"/>
          <w:color w:val="222222"/>
          <w:kern w:val="3"/>
          <w:shd w:val="clear" w:color="auto" w:fill="FFFFFF"/>
        </w:rPr>
      </w:pPr>
    </w:p>
    <w:p>
      <w:pPr>
        <w:pStyle w:val="4"/>
        <w:spacing w:before="120" w:after="120"/>
      </w:pPr>
      <w:bookmarkStart w:id="138" w:name="_Toc6246_WPSOffice_Level1"/>
      <w:bookmarkStart w:id="139" w:name="_Toc18347_WPSOffice_Level3"/>
      <w:bookmarkStart w:id="140" w:name="_Toc342_WPSOffice_Level1"/>
      <w:bookmarkStart w:id="141" w:name="_Toc5281_WPSOffice_Level3"/>
      <w:bookmarkStart w:id="142" w:name="_Toc28100_WPSOffice_Level3"/>
      <w:r>
        <w:rPr>
          <w:rFonts w:hint="eastAsia"/>
        </w:rPr>
        <w:t>2.2.2 Trompenaars cultural dimensions</w:t>
      </w:r>
      <w:bookmarkEnd w:id="138"/>
      <w:bookmarkEnd w:id="139"/>
      <w:bookmarkEnd w:id="140"/>
      <w:bookmarkEnd w:id="141"/>
      <w:bookmarkEnd w:id="142"/>
    </w:p>
    <w:p>
      <w:pPr>
        <w:spacing w:before="120" w:after="120"/>
      </w:pPr>
      <w:bookmarkStart w:id="143" w:name="_Toc24926_WPSOffice_Level2"/>
      <w:r>
        <w:rPr>
          <w:rFonts w:hint="eastAsia"/>
        </w:rPr>
        <w:t>2.2.2.1 A global perspective</w:t>
      </w:r>
      <w:bookmarkEnd w:id="143"/>
    </w:p>
    <w:p>
      <w:pPr>
        <w:spacing w:before="120" w:after="120"/>
        <w:rPr>
          <w:kern w:val="3"/>
        </w:rPr>
      </w:pPr>
      <w:r>
        <w:rPr>
          <w:rFonts w:hint="eastAsia"/>
          <w:kern w:val="3"/>
        </w:rPr>
        <w:t>Trompenaars (1993) presents a seven-dimensional model of national culture differences which he argues is particularly relevant to the conduct of internal national business. Data read, from his book were treated using correlation and factor analysis at the country level. Results indicate that only two dimensions can be clearly confirmed statistically. Both are correlated with Hofstede</w:t>
      </w:r>
      <w:r>
        <w:rPr>
          <w:kern w:val="3"/>
        </w:rPr>
        <w:t>’</w:t>
      </w:r>
      <w:r>
        <w:rPr>
          <w:rFonts w:hint="eastAsia"/>
          <w:kern w:val="3"/>
        </w:rPr>
        <w:t>s Individualism dimension. The re-analysis raised concerns about Trompenaars</w:t>
      </w:r>
      <w:r>
        <w:rPr>
          <w:kern w:val="3"/>
        </w:rPr>
        <w:t>’</w:t>
      </w:r>
      <w:r>
        <w:rPr>
          <w:rFonts w:hint="eastAsia"/>
          <w:kern w:val="3"/>
        </w:rPr>
        <w:t xml:space="preserve"> conclusions and about his methodology. It is argued that the theory in the book is not supported by the database. Suggestions are made on how the database could be validly studied. However, the evident lack of content validity of the instrument used will remain a major concern (</w:t>
      </w:r>
      <w:r>
        <w:rPr>
          <w:rFonts w:cs="Times New Roman"/>
          <w:color w:val="000000" w:themeColor="text1"/>
          <w:kern w:val="3"/>
          <w14:textFill>
            <w14:solidFill>
              <w14:schemeClr w14:val="tx1"/>
            </w14:solidFill>
          </w14:textFill>
        </w:rPr>
        <w:t>Trompenaa</w:t>
      </w:r>
      <w:r>
        <w:rPr>
          <w:rFonts w:hint="eastAsia" w:cs="Times New Roman"/>
          <w:color w:val="000000" w:themeColor="text1"/>
          <w:kern w:val="3"/>
          <w14:textFill>
            <w14:solidFill>
              <w14:schemeClr w14:val="tx1"/>
            </w14:solidFill>
          </w14:textFill>
        </w:rPr>
        <w:t xml:space="preserve">rs, </w:t>
      </w:r>
      <w:r>
        <w:rPr>
          <w:rFonts w:cs="Times New Roman"/>
          <w:color w:val="000000" w:themeColor="text1"/>
          <w:kern w:val="3"/>
          <w14:textFill>
            <w14:solidFill>
              <w14:schemeClr w14:val="tx1"/>
            </w14:solidFill>
          </w14:textFill>
        </w:rPr>
        <w:t>2015)</w:t>
      </w:r>
      <w:r>
        <w:rPr>
          <w:rFonts w:hint="eastAsia" w:cs="Times New Roman"/>
          <w:color w:val="000000" w:themeColor="text1"/>
          <w:kern w:val="3"/>
          <w14:textFill>
            <w14:solidFill>
              <w14:schemeClr w14:val="tx1"/>
            </w14:solidFill>
          </w14:textFill>
        </w:rPr>
        <w:t>.</w:t>
      </w:r>
    </w:p>
    <w:p>
      <w:pPr>
        <w:spacing w:before="120" w:after="120"/>
        <w:rPr>
          <w:kern w:val="3"/>
        </w:rPr>
      </w:pPr>
      <w:r>
        <w:rPr>
          <w:rFonts w:hint="eastAsia"/>
          <w:kern w:val="3"/>
        </w:rPr>
        <w:t>In Riding the Waves of Culture (London: The Economist Books, 1993), Dutch management consultant Fons Trompenaars proposes a model of seven fundamental dimensions of (national) culture for understanding cultural diversity in business. The first five factors describe relationships with other people. They are: universalism versus particularism, individualism versus collectivism, neutral versus emotional, specific versus diffuse, and achievement versus ascription. The remaining two dimensions are orientation in time and attitudes towards the environment.</w:t>
      </w:r>
    </w:p>
    <w:p>
      <w:pPr>
        <w:spacing w:before="120" w:after="120"/>
        <w:rPr>
          <w:kern w:val="3"/>
        </w:rPr>
      </w:pPr>
      <w:r>
        <w:rPr>
          <w:rFonts w:hint="eastAsia"/>
          <w:kern w:val="3"/>
        </w:rPr>
        <w:t>In three opening chapters, Riding the Waves of Culture introduces the culture concept, and relates differences in national culture to differences in ways of organizing (</w:t>
      </w:r>
      <w:r>
        <w:rPr>
          <w:rFonts w:cs="Times New Roman"/>
          <w:color w:val="000000" w:themeColor="text1"/>
          <w:kern w:val="3"/>
          <w14:textFill>
            <w14:solidFill>
              <w14:schemeClr w14:val="tx1"/>
            </w14:solidFill>
          </w14:textFill>
        </w:rPr>
        <w:t>Trompenaa</w:t>
      </w:r>
      <w:r>
        <w:rPr>
          <w:rFonts w:hint="eastAsia" w:cs="Times New Roman"/>
          <w:color w:val="000000" w:themeColor="text1"/>
          <w:kern w:val="3"/>
          <w14:textFill>
            <w14:solidFill>
              <w14:schemeClr w14:val="tx1"/>
            </w14:solidFill>
          </w14:textFill>
        </w:rPr>
        <w:t xml:space="preserve">rs, </w:t>
      </w:r>
      <w:r>
        <w:rPr>
          <w:rFonts w:cs="Times New Roman"/>
          <w:color w:val="000000" w:themeColor="text1"/>
          <w:kern w:val="3"/>
          <w14:textFill>
            <w14:solidFill>
              <w14:schemeClr w14:val="tx1"/>
            </w14:solidFill>
          </w14:textFill>
        </w:rPr>
        <w:t>2015)</w:t>
      </w:r>
      <w:r>
        <w:rPr>
          <w:rFonts w:hint="eastAsia" w:cs="Times New Roman"/>
          <w:color w:val="000000" w:themeColor="text1"/>
          <w:kern w:val="3"/>
          <w14:textFill>
            <w14:solidFill>
              <w14:schemeClr w14:val="tx1"/>
            </w14:solidFill>
          </w14:textFill>
        </w:rPr>
        <w:t>.</w:t>
      </w:r>
    </w:p>
    <w:p>
      <w:pPr>
        <w:spacing w:before="120" w:after="120"/>
        <w:rPr>
          <w:kern w:val="3"/>
        </w:rPr>
      </w:pPr>
      <w:r>
        <w:rPr>
          <w:rFonts w:hint="eastAsia"/>
          <w:kern w:val="3"/>
        </w:rPr>
        <w:t>In the book, Trompenaars illustrates his arguments with his own questionnaire data. His database covers about 15,000 respondents. Some were participants in the author</w:t>
      </w:r>
      <w:r>
        <w:rPr>
          <w:kern w:val="3"/>
        </w:rPr>
        <w:t>’</w:t>
      </w:r>
      <w:r>
        <w:rPr>
          <w:rFonts w:hint="eastAsia"/>
          <w:kern w:val="3"/>
        </w:rPr>
        <w:t>s cross-cultural training programs; others were employees in 30 companies in 50 different countries. Of the respondents, 75% belong to management, while the remainder are general administrative staff, mainly female. The book does not mention whether the questionnaire was translated or administered in English.</w:t>
      </w:r>
    </w:p>
    <w:p>
      <w:pPr>
        <w:spacing w:before="120" w:after="120"/>
        <w:rPr>
          <w:kern w:val="3"/>
        </w:rPr>
      </w:pPr>
      <w:r>
        <w:rPr>
          <w:rFonts w:hint="eastAsia"/>
          <w:kern w:val="3"/>
        </w:rPr>
        <w:t>The questionnaire was originally designed for the author</w:t>
      </w:r>
      <w:r>
        <w:rPr>
          <w:kern w:val="3"/>
        </w:rPr>
        <w:t>’</w:t>
      </w:r>
      <w:r>
        <w:rPr>
          <w:rFonts w:hint="eastAsia"/>
          <w:kern w:val="3"/>
        </w:rPr>
        <w:t>s doctoral dissertation (Trompenaars, 1985). The dissertation used data obtained from a 79-item survey across 653 respondents, divided over nine countries, two industries (oil and hosiery), and seven job categories (from unskilled labor to managers of managers).</w:t>
      </w:r>
    </w:p>
    <w:p>
      <w:pPr>
        <w:spacing w:before="120" w:after="120"/>
        <w:rPr>
          <w:rFonts w:eastAsia="Arial" w:cs="Times New Roman"/>
          <w:color w:val="000000" w:themeColor="text1"/>
          <w:kern w:val="3"/>
          <w14:textFill>
            <w14:solidFill>
              <w14:schemeClr w14:val="tx1"/>
            </w14:solidFill>
          </w14:textFill>
        </w:rPr>
      </w:pPr>
      <w:r>
        <w:rPr>
          <w:rFonts w:hint="eastAsia"/>
          <w:kern w:val="3"/>
        </w:rPr>
        <w:t>The survey questionnaire used in the dissertation research already consisted of seven subscales, corresponding to the seven. dimensions of Trompenaars</w:t>
      </w:r>
      <w:r>
        <w:rPr>
          <w:kern w:val="3"/>
        </w:rPr>
        <w:t>’</w:t>
      </w:r>
      <w:r>
        <w:rPr>
          <w:rFonts w:hint="eastAsia"/>
          <w:kern w:val="3"/>
        </w:rPr>
        <w:t xml:space="preserve"> later work, plus demographics. In Trompenaars</w:t>
      </w:r>
      <w:r>
        <w:rPr>
          <w:kern w:val="3"/>
        </w:rPr>
        <w:t>’</w:t>
      </w:r>
      <w:r>
        <w:rPr>
          <w:rFonts w:hint="eastAsia"/>
          <w:kern w:val="3"/>
        </w:rPr>
        <w:t xml:space="preserve"> dissertation the seven categories were all correlated with his Left Right Brain typology, also suggesting substantial intercorrelations. With the extended database, this still appears to be the case </w:t>
      </w:r>
      <w:r>
        <w:rPr>
          <w:rFonts w:eastAsia="Arial" w:cs="Times New Roman"/>
          <w:color w:val="000000" w:themeColor="text1"/>
          <w:kern w:val="3"/>
          <w14:textFill>
            <w14:solidFill>
              <w14:schemeClr w14:val="tx1"/>
            </w14:solidFill>
          </w14:textFill>
        </w:rPr>
        <w:t>(Trompenaars and Wooliams, 2003)</w:t>
      </w:r>
    </w:p>
    <w:p>
      <w:pPr>
        <w:spacing w:before="120" w:after="120"/>
        <w:rPr>
          <w:rFonts w:eastAsia="Arial" w:cs="Times New Roman"/>
          <w:color w:val="000000" w:themeColor="text1"/>
          <w:kern w:val="3"/>
          <w14:textFill>
            <w14:solidFill>
              <w14:schemeClr w14:val="tx1"/>
            </w14:solidFill>
          </w14:textFill>
        </w:rPr>
      </w:pPr>
    </w:p>
    <w:p>
      <w:pPr>
        <w:spacing w:before="120" w:after="120"/>
      </w:pPr>
      <w:bookmarkStart w:id="144" w:name="_Toc342_WPSOffice_Level2"/>
      <w:r>
        <w:rPr>
          <w:rFonts w:hint="eastAsia"/>
        </w:rPr>
        <w:t>2.2.2.2 A local perspective</w:t>
      </w:r>
      <w:bookmarkEnd w:id="144"/>
    </w:p>
    <w:p>
      <w:pPr>
        <w:spacing w:before="120" w:after="120"/>
        <w:rPr>
          <w:kern w:val="3"/>
        </w:rPr>
      </w:pPr>
      <w:r>
        <w:rPr>
          <w:rFonts w:hint="eastAsia" w:cs="Times New Roman"/>
          <w:kern w:val="3"/>
        </w:rPr>
        <w:t xml:space="preserve">Organized in 7 Cultural Dimensions, Trompenaars and Hampden-Turner structured their findings into a guideline that can be used as a management support system </w:t>
      </w:r>
      <w:r>
        <w:rPr>
          <w:rFonts w:hint="eastAsia"/>
          <w:kern w:val="3"/>
        </w:rPr>
        <w:t>(Trompenaars, 1985)</w:t>
      </w:r>
      <w:r>
        <w:rPr>
          <w:rFonts w:hint="eastAsia" w:cs="Times New Roman"/>
          <w:kern w:val="3"/>
        </w:rPr>
        <w:t>. Trompenaars</w:t>
      </w:r>
      <w:r>
        <w:rPr>
          <w:rFonts w:cs="Times New Roman"/>
          <w:kern w:val="3"/>
        </w:rPr>
        <w:t>’</w:t>
      </w:r>
      <w:r>
        <w:rPr>
          <w:rFonts w:hint="eastAsia" w:cs="Times New Roman"/>
          <w:kern w:val="3"/>
        </w:rPr>
        <w:t>s research has been based on a vast pool of participants with different nationalities and cultures. In over 25 years of studying the behaviour of managers in academic and field research, input from over 1,500 cross-cultural training programs in more than 25 countries, and contributions from many well-established global players which span their branches through over 60 countries have been analyzed and studied in depth. The research was designed so results would be applicable to Trompenaars</w:t>
      </w:r>
      <w:r>
        <w:rPr>
          <w:rFonts w:cs="Times New Roman"/>
          <w:kern w:val="3"/>
        </w:rPr>
        <w:t>’</w:t>
      </w:r>
      <w:r>
        <w:rPr>
          <w:rFonts w:hint="eastAsia" w:cs="Times New Roman"/>
          <w:kern w:val="3"/>
        </w:rPr>
        <w:t xml:space="preserve"> target audience that mainly consists of managers. As such, 75 % of the included participants originated from management positions in sales, marketing, operations, etcetera, while the remaining 25% belonged to the supporting positions. Nowadays their database extends over 80,000 participants and continues to grow thanks to the internet and the new opportunities in research design. This allows a constant updating and extension of the database</w:t>
      </w:r>
      <w:r>
        <w:rPr>
          <w:rFonts w:cs="Times New Roman"/>
          <w:color w:val="000000" w:themeColor="text1"/>
          <w:kern w:val="3"/>
          <w14:textFill>
            <w14:solidFill>
              <w14:schemeClr w14:val="tx1"/>
            </w14:solidFill>
          </w14:textFill>
        </w:rPr>
        <w:t xml:space="preserve"> </w:t>
      </w:r>
      <w:r>
        <w:rPr>
          <w:rFonts w:eastAsia="Arial" w:cs="Times New Roman"/>
          <w:color w:val="000000" w:themeColor="text1"/>
          <w:kern w:val="3"/>
          <w14:textFill>
            <w14:solidFill>
              <w14:schemeClr w14:val="tx1"/>
            </w14:solidFill>
          </w14:textFill>
        </w:rPr>
        <w:t>(Trompenaars and Hampden-Turner, 2010)</w:t>
      </w:r>
      <w:r>
        <w:rPr>
          <w:rFonts w:eastAsia="宋体" w:cs="Times New Roman"/>
          <w:color w:val="000000" w:themeColor="text1"/>
          <w:kern w:val="3"/>
          <w14:textFill>
            <w14:solidFill>
              <w14:schemeClr w14:val="tx1"/>
            </w14:solidFill>
          </w14:textFill>
        </w:rPr>
        <w:t>.</w:t>
      </w:r>
      <w:r>
        <w:rPr>
          <w:kern w:val="3"/>
        </w:rPr>
        <w:br w:type="textWrapping"/>
      </w:r>
      <w:r>
        <w:rPr>
          <w:kern w:val="3"/>
        </w:rPr>
        <w:t>Trompenaars theories have been recognized multiple times. Thinkers 50</w:t>
      </w:r>
      <w:r>
        <w:rPr>
          <w:rFonts w:hint="eastAsia"/>
          <w:kern w:val="3"/>
        </w:rPr>
        <w:t xml:space="preserve"> which </w:t>
      </w:r>
      <w:r>
        <w:rPr>
          <w:kern w:val="3"/>
        </w:rPr>
        <w:t>an independent yet world-renowned organization that selects 50 great business minds every two years, has picked Trompenaars on its lists multiple times, 2011 being the latest he made the list. The renowned HR Magazine has also selected Trompenaars on its "Most Influential International Thinkers" list</w:t>
      </w:r>
      <w:r>
        <w:rPr>
          <w:rFonts w:hint="eastAsia"/>
          <w:kern w:val="3"/>
        </w:rPr>
        <w:t xml:space="preserve"> </w:t>
      </w:r>
      <w:r>
        <w:rPr>
          <w:rFonts w:eastAsia="Arial" w:cs="Times New Roman"/>
          <w:color w:val="000000" w:themeColor="text1"/>
          <w:kern w:val="3"/>
          <w14:textFill>
            <w14:solidFill>
              <w14:schemeClr w14:val="tx1"/>
            </w14:solidFill>
          </w14:textFill>
        </w:rPr>
        <w:t>(Trompenaars and Hampden-Turner, 2015)</w:t>
      </w:r>
      <w:r>
        <w:rPr>
          <w:rFonts w:eastAsia="宋体" w:cs="Times New Roman"/>
          <w:color w:val="000000" w:themeColor="text1"/>
          <w:kern w:val="3"/>
          <w14:textFill>
            <w14:solidFill>
              <w14:schemeClr w14:val="tx1"/>
            </w14:solidFill>
          </w14:textFill>
        </w:rPr>
        <w:t>.</w:t>
      </w:r>
      <w:r>
        <w:rPr>
          <w:kern w:val="3"/>
        </w:rPr>
        <w:br w:type="textWrapping"/>
      </w:r>
      <w:r>
        <w:rPr>
          <w:kern w:val="3"/>
        </w:rPr>
        <w:t>Trompenaars is best known for his cultural dimension theories, presented in his best-selling book Riding the Waves of Culture, Understanding Cultural Diversity in Business. The book has been translated to nine languages, and has sold over 120 000 copies worldwide.</w:t>
      </w:r>
      <w:r>
        <w:rPr>
          <w:rFonts w:hint="eastAsia"/>
          <w:kern w:val="3"/>
        </w:rPr>
        <w:t xml:space="preserve"> </w:t>
      </w:r>
      <w:r>
        <w:rPr>
          <w:kern w:val="3"/>
        </w:rPr>
        <w:t>The Seven Dimensions of Culture is the most recognized cultural theory model co-created by Trompenaars and Hampden-Turner. The theory was first published in the aforementioned book in 1997. The theory was created to help understanding and managing cultural differences. The Seven Dimensions model was created after 10 years of active worldwide research. As part of the research, Trompenaars and Hampden-Turner for example sent questionnaires to over 46 000 managers in 40 different countries. The research shed light on cultural behavior patterns. Trompenaars and Hampden-Turner found out that people from different cultures are not just randomly different, but that they differ in very specific, sometimes even in very predictable ways. According to Trompenaars &amp; Hampden-Turner, this is due to the fact that each culture has its own values, beliefs and ways of thinking as well as its different preferences placed on a variety of different factors.</w:t>
      </w:r>
      <w:r>
        <w:rPr>
          <w:rFonts w:hint="eastAsia"/>
          <w:kern w:val="3"/>
        </w:rPr>
        <w:t xml:space="preserve"> (Trompenaars, 2003)</w:t>
      </w:r>
    </w:p>
    <w:p>
      <w:pPr>
        <w:spacing w:before="120" w:after="120"/>
        <w:rPr>
          <w:rFonts w:eastAsia="宋体" w:cs="Times New Roman"/>
          <w:color w:val="000000" w:themeColor="text1"/>
          <w:kern w:val="3"/>
          <w14:textFill>
            <w14:solidFill>
              <w14:schemeClr w14:val="tx1"/>
            </w14:solidFill>
          </w14:textFill>
        </w:rPr>
      </w:pPr>
      <w:r>
        <w:rPr>
          <w:kern w:val="3"/>
        </w:rPr>
        <w:t>Trompenaar’s model may be used to understand people from different cultural backgrounds better by helping prevent misunderstandings. This is especially useful for doing business with a diverse group of people or global interactions. However, the model is limited in that it cannot measure individuals’ preferences on each dimension; for best usage, the model should be used as a general guide. </w:t>
      </w:r>
      <w:r>
        <w:rPr>
          <w:rFonts w:eastAsia="Arial" w:cs="Times New Roman"/>
          <w:color w:val="000000" w:themeColor="text1"/>
          <w:kern w:val="3"/>
          <w14:textFill>
            <w14:solidFill>
              <w14:schemeClr w14:val="tx1"/>
            </w14:solidFill>
          </w14:textFill>
        </w:rPr>
        <w:t>(Trompenaars and Hampden-Turner, 2015)</w:t>
      </w:r>
      <w:r>
        <w:rPr>
          <w:rFonts w:eastAsia="宋体" w:cs="Times New Roman"/>
          <w:color w:val="000000" w:themeColor="text1"/>
          <w:kern w:val="3"/>
          <w14:textFill>
            <w14:solidFill>
              <w14:schemeClr w14:val="tx1"/>
            </w14:solidFill>
          </w14:textFill>
        </w:rPr>
        <w:t>.</w:t>
      </w:r>
    </w:p>
    <w:p>
      <w:pPr>
        <w:spacing w:before="120" w:after="120"/>
        <w:rPr>
          <w:rFonts w:eastAsia="宋体" w:cs="Times New Roman"/>
          <w:color w:val="000000" w:themeColor="text1"/>
          <w:kern w:val="3"/>
          <w14:textFill>
            <w14:solidFill>
              <w14:schemeClr w14:val="tx1"/>
            </w14:solidFill>
          </w14:textFill>
        </w:rPr>
      </w:pPr>
    </w:p>
    <w:p>
      <w:pPr>
        <w:pStyle w:val="2"/>
        <w:spacing w:before="360" w:after="120"/>
      </w:pPr>
      <w:r>
        <w:rPr>
          <w:rFonts w:hint="eastAsia"/>
        </w:rPr>
        <w:t>2.3 Linkage between western corporate culture and the performance of education industry in China</w:t>
      </w:r>
    </w:p>
    <w:p>
      <w:pPr>
        <w:pStyle w:val="4"/>
        <w:spacing w:before="120" w:after="120"/>
      </w:pPr>
      <w:bookmarkStart w:id="145" w:name="_Toc4622_WPSOffice_Level3"/>
      <w:bookmarkStart w:id="146" w:name="_Toc21689_WPSOffice_Level1"/>
      <w:bookmarkStart w:id="147" w:name="_Toc19372_WPSOffice_Level3"/>
      <w:bookmarkStart w:id="148" w:name="_Toc27880_WPSOffice_Level1"/>
      <w:bookmarkStart w:id="149" w:name="_Toc21809_WPSOffice_Level3"/>
      <w:r>
        <w:rPr>
          <w:rFonts w:hint="eastAsia"/>
        </w:rPr>
        <w:t>2.3.1 Linkage: A global view</w:t>
      </w:r>
      <w:bookmarkEnd w:id="145"/>
      <w:bookmarkEnd w:id="146"/>
      <w:bookmarkEnd w:id="147"/>
      <w:bookmarkEnd w:id="148"/>
      <w:bookmarkEnd w:id="149"/>
    </w:p>
    <w:p>
      <w:pPr>
        <w:spacing w:before="120" w:after="120"/>
        <w:rPr>
          <w:kern w:val="3"/>
        </w:rPr>
      </w:pPr>
      <w:r>
        <w:rPr>
          <w:kern w:val="3"/>
        </w:rPr>
        <w:t>Two reasons are usually given for this emphasis on Chinese culture</w:t>
      </w:r>
      <w:r>
        <w:rPr>
          <w:rFonts w:hint="eastAsia"/>
          <w:kern w:val="3"/>
        </w:rPr>
        <w:t xml:space="preserve"> </w:t>
      </w:r>
      <w:r>
        <w:rPr>
          <w:rFonts w:eastAsia="Arial" w:cs="Times New Roman"/>
          <w:color w:val="000000" w:themeColor="text1"/>
          <w:kern w:val="3"/>
          <w14:textFill>
            <w14:solidFill>
              <w14:schemeClr w14:val="tx1"/>
            </w14:solidFill>
          </w14:textFill>
        </w:rPr>
        <w:t>(Zhang, 201</w:t>
      </w:r>
      <w:r>
        <w:rPr>
          <w:rFonts w:hint="eastAsia" w:eastAsia="宋体" w:cs="Times New Roman"/>
          <w:color w:val="000000" w:themeColor="text1"/>
          <w:kern w:val="3"/>
          <w14:textFill>
            <w14:solidFill>
              <w14:schemeClr w14:val="tx1"/>
            </w14:solidFill>
          </w14:textFill>
        </w:rPr>
        <w:t>2</w:t>
      </w:r>
      <w:r>
        <w:rPr>
          <w:rFonts w:eastAsia="Arial" w:cs="Times New Roman"/>
          <w:color w:val="000000" w:themeColor="text1"/>
          <w:kern w:val="3"/>
          <w14:textFill>
            <w14:solidFill>
              <w14:schemeClr w14:val="tx1"/>
            </w14:solidFill>
          </w14:textFill>
        </w:rPr>
        <w:t>)</w:t>
      </w:r>
      <w:r>
        <w:rPr>
          <w:rFonts w:eastAsia="宋体" w:cs="Times New Roman"/>
          <w:color w:val="000000" w:themeColor="text1"/>
          <w:kern w:val="3"/>
          <w14:textFill>
            <w14:solidFill>
              <w14:schemeClr w14:val="tx1"/>
            </w14:solidFill>
          </w14:textFill>
        </w:rPr>
        <w:t>.</w:t>
      </w:r>
      <w:r>
        <w:rPr>
          <w:kern w:val="3"/>
        </w:rPr>
        <w:t xml:space="preserve"> The first is practical necessity</w:t>
      </w:r>
      <w:r>
        <w:rPr>
          <w:rFonts w:hint="eastAsia"/>
          <w:kern w:val="3"/>
        </w:rPr>
        <w:t>,</w:t>
      </w:r>
      <w:r>
        <w:rPr>
          <w:kern w:val="3"/>
        </w:rPr>
        <w:t xml:space="preserve"> Chinese values are different from “foreign” values, therefore employees will not be properly motivated and the corporation will not operate successfully unless the corporate values are expressed in a way that Chinese employees can naturally relate and respond 41 The second is the superiority of Chinese values</w:t>
      </w:r>
      <w:r>
        <w:rPr>
          <w:rFonts w:hint="eastAsia"/>
          <w:kern w:val="3"/>
        </w:rPr>
        <w:t xml:space="preserve"> </w:t>
      </w:r>
      <w:r>
        <w:rPr>
          <w:rFonts w:eastAsia="Arial" w:cs="Times New Roman"/>
          <w:color w:val="000000" w:themeColor="text1"/>
          <w:kern w:val="3"/>
          <w14:textFill>
            <w14:solidFill>
              <w14:schemeClr w14:val="tx1"/>
            </w14:solidFill>
          </w14:textFill>
        </w:rPr>
        <w:t>(Ma, 2012)</w:t>
      </w:r>
      <w:r>
        <w:rPr>
          <w:rFonts w:hint="eastAsia" w:eastAsia="宋体" w:cs="Times New Roman"/>
          <w:color w:val="000000" w:themeColor="text1"/>
          <w:kern w:val="3"/>
          <w14:textFill>
            <w14:solidFill>
              <w14:schemeClr w14:val="tx1"/>
            </w14:solidFill>
          </w14:textFill>
        </w:rPr>
        <w:t>.</w:t>
      </w:r>
      <w:r>
        <w:rPr>
          <w:kern w:val="3"/>
        </w:rPr>
        <w:t xml:space="preserve"> The historical development of Western, especially American, multinational corporations has shown that individualistic and selfish short-term strategies will not produce lasting success</w:t>
      </w:r>
      <w:r>
        <w:rPr>
          <w:rFonts w:hint="eastAsia"/>
          <w:kern w:val="3"/>
        </w:rPr>
        <w:t xml:space="preserve"> </w:t>
      </w:r>
      <w:r>
        <w:rPr>
          <w:rFonts w:eastAsia="Arial" w:cs="Times New Roman"/>
          <w:color w:val="000000" w:themeColor="text1"/>
          <w:kern w:val="3"/>
          <w14:textFill>
            <w14:solidFill>
              <w14:schemeClr w14:val="tx1"/>
            </w14:solidFill>
          </w14:textFill>
        </w:rPr>
        <w:t>(Stealey, 2016)</w:t>
      </w:r>
      <w:r>
        <w:rPr>
          <w:kern w:val="3"/>
        </w:rPr>
        <w:t>. The most successful multinationals have started to embrace a socially responsible corporate citizenship model, where employees are encouraged to develop their talents to the full for the good of the whole corporate group and its surrounding community</w:t>
      </w:r>
      <w:r>
        <w:rPr>
          <w:rFonts w:hint="eastAsia"/>
          <w:kern w:val="3"/>
        </w:rPr>
        <w:t xml:space="preserve"> </w:t>
      </w:r>
      <w:r>
        <w:rPr>
          <w:rFonts w:eastAsia="Arial" w:cs="Times New Roman"/>
          <w:color w:val="000000" w:themeColor="text1"/>
          <w:kern w:val="3"/>
          <w14:textFill>
            <w14:solidFill>
              <w14:schemeClr w14:val="tx1"/>
            </w14:solidFill>
          </w14:textFill>
        </w:rPr>
        <w:t>(Mizruchi, 2013)</w:t>
      </w:r>
      <w:r>
        <w:rPr>
          <w:kern w:val="3"/>
        </w:rPr>
        <w:t>. These new corporate values are very similar to traditional Chinese cultural ideals, and therefore Chinese corporations should not make the mistake of abandoning their own Chinese values in favor of a short-term Western approach that has already proven to be defective</w:t>
      </w:r>
      <w:r>
        <w:rPr>
          <w:rFonts w:hint="eastAsia"/>
          <w:kern w:val="3"/>
        </w:rPr>
        <w:t xml:space="preserve"> </w:t>
      </w:r>
      <w:r>
        <w:rPr>
          <w:rFonts w:eastAsia="Arial" w:cs="Times New Roman"/>
          <w:color w:val="000000" w:themeColor="text1"/>
          <w:kern w:val="3"/>
          <w14:textFill>
            <w14:solidFill>
              <w14:schemeClr w14:val="tx1"/>
            </w14:solidFill>
          </w14:textFill>
        </w:rPr>
        <w:t>(Ma, 2012)</w:t>
      </w:r>
      <w:r>
        <w:rPr>
          <w:rFonts w:cs="Times New Roman"/>
          <w:color w:val="000000" w:themeColor="text1"/>
          <w:kern w:val="3"/>
          <w14:textFill>
            <w14:solidFill>
              <w14:schemeClr w14:val="tx1"/>
            </w14:solidFill>
          </w14:textFill>
        </w:rPr>
        <w:t>.</w:t>
      </w:r>
    </w:p>
    <w:p>
      <w:pPr>
        <w:spacing w:before="120" w:after="120"/>
        <w:rPr>
          <w:kern w:val="3"/>
        </w:rPr>
      </w:pPr>
      <w:r>
        <w:rPr>
          <w:kern w:val="3"/>
        </w:rPr>
        <w:t>Two interesting features recur in these academic accounts of corporate culture and Chinese values</w:t>
      </w:r>
      <w:r>
        <w:rPr>
          <w:rFonts w:hint="eastAsia"/>
          <w:kern w:val="3"/>
        </w:rPr>
        <w:t xml:space="preserve"> </w:t>
      </w:r>
      <w:r>
        <w:rPr>
          <w:rFonts w:eastAsia="Arial" w:cs="Times New Roman"/>
          <w:color w:val="000000" w:themeColor="text1"/>
          <w:kern w:val="3"/>
          <w14:textFill>
            <w14:solidFill>
              <w14:schemeClr w14:val="tx1"/>
            </w14:solidFill>
          </w14:textFill>
        </w:rPr>
        <w:t>(Sun, 201</w:t>
      </w:r>
      <w:r>
        <w:rPr>
          <w:rFonts w:hint="eastAsia" w:eastAsia="宋体" w:cs="Times New Roman"/>
          <w:color w:val="000000" w:themeColor="text1"/>
          <w:kern w:val="3"/>
          <w14:textFill>
            <w14:solidFill>
              <w14:schemeClr w14:val="tx1"/>
            </w14:solidFill>
          </w14:textFill>
        </w:rPr>
        <w:t>1</w:t>
      </w:r>
      <w:r>
        <w:rPr>
          <w:rFonts w:eastAsia="Arial" w:cs="Times New Roman"/>
          <w:color w:val="000000" w:themeColor="text1"/>
          <w:kern w:val="3"/>
          <w14:textFill>
            <w14:solidFill>
              <w14:schemeClr w14:val="tx1"/>
            </w14:solidFill>
          </w14:textFill>
        </w:rPr>
        <w:t>)</w:t>
      </w:r>
      <w:r>
        <w:rPr>
          <w:rFonts w:cs="Times New Roman"/>
          <w:color w:val="000000" w:themeColor="text1"/>
          <w:kern w:val="3"/>
          <w14:textFill>
            <w14:solidFill>
              <w14:schemeClr w14:val="tx1"/>
            </w14:solidFill>
          </w14:textFill>
        </w:rPr>
        <w:t>.</w:t>
      </w:r>
      <w:r>
        <w:rPr>
          <w:kern w:val="3"/>
        </w:rPr>
        <w:t xml:space="preserve"> First, they tend to present socialism not as a repudiation of traditional Chinese belief systems such as Confucianism, but as a natural development of them, so that ancient Confucian sayings are cited alongside Marxist and Maoist revolutionary texts as if they are merely differently-worded expressions of the same basic values</w:t>
      </w:r>
      <w:r>
        <w:rPr>
          <w:rFonts w:hint="eastAsia"/>
          <w:kern w:val="3"/>
        </w:rPr>
        <w:t xml:space="preserve"> </w:t>
      </w:r>
      <w:r>
        <w:rPr>
          <w:rFonts w:eastAsia="Arial" w:cs="Times New Roman"/>
          <w:color w:val="000000" w:themeColor="text1"/>
          <w:kern w:val="3"/>
          <w14:textFill>
            <w14:solidFill>
              <w14:schemeClr w14:val="tx1"/>
            </w14:solidFill>
          </w14:textFill>
        </w:rPr>
        <w:t>(Iribarne, 2012)</w:t>
      </w:r>
      <w:r>
        <w:rPr>
          <w:rFonts w:cs="Times New Roman"/>
          <w:color w:val="000000" w:themeColor="text1"/>
          <w:kern w:val="3"/>
          <w14:textFill>
            <w14:solidFill>
              <w14:schemeClr w14:val="tx1"/>
            </w14:solidFill>
          </w14:textFill>
        </w:rPr>
        <w:t>.</w:t>
      </w:r>
      <w:r>
        <w:rPr>
          <w:kern w:val="3"/>
        </w:rPr>
        <w:t xml:space="preserve"> Secondly, they reinterpret American corporate culture texts as if they are simply a way of applying Chinese values</w:t>
      </w:r>
      <w:r>
        <w:rPr>
          <w:rFonts w:hint="eastAsia"/>
          <w:kern w:val="3"/>
        </w:rPr>
        <w:t xml:space="preserve"> </w:t>
      </w:r>
      <w:r>
        <w:rPr>
          <w:kern w:val="3"/>
        </w:rPr>
        <w:t>whether Confucian or Maoist to contemporary problems of corporate management</w:t>
      </w:r>
      <w:r>
        <w:rPr>
          <w:rFonts w:cs="Times New Roman"/>
          <w:color w:val="000000" w:themeColor="text1"/>
          <w:kern w:val="3"/>
          <w14:textFill>
            <w14:solidFill>
              <w14:schemeClr w14:val="tx1"/>
            </w14:solidFill>
          </w14:textFill>
        </w:rPr>
        <w:t xml:space="preserve"> </w:t>
      </w:r>
      <w:r>
        <w:rPr>
          <w:rFonts w:eastAsia="Arial" w:cs="Times New Roman"/>
          <w:color w:val="000000" w:themeColor="text1"/>
          <w:kern w:val="3"/>
          <w14:textFill>
            <w14:solidFill>
              <w14:schemeClr w14:val="tx1"/>
            </w14:solidFill>
          </w14:textFill>
        </w:rPr>
        <w:t>(Herrmann-Pillath, 2016)</w:t>
      </w:r>
      <w:r>
        <w:rPr>
          <w:rFonts w:cs="Times New Roman"/>
          <w:color w:val="000000" w:themeColor="text1"/>
          <w:kern w:val="3"/>
          <w14:textFill>
            <w14:solidFill>
              <w14:schemeClr w14:val="tx1"/>
            </w14:solidFill>
          </w14:textFill>
        </w:rPr>
        <w:t>.</w:t>
      </w:r>
      <w:r>
        <w:rPr>
          <w:kern w:val="3"/>
        </w:rPr>
        <w:t xml:space="preserve"> The result of these various juxtapositions of ancient and modern, Eastern and Western, capitalist and socialist is a curiously contradictory vision of the ideal Chinese corporate philosophy</w:t>
      </w:r>
      <w:r>
        <w:rPr>
          <w:rFonts w:hint="eastAsia"/>
          <w:kern w:val="3"/>
        </w:rPr>
        <w:t xml:space="preserve"> </w:t>
      </w:r>
      <w:r>
        <w:rPr>
          <w:rFonts w:eastAsia="Arial" w:cs="Times New Roman"/>
          <w:color w:val="000000" w:themeColor="text1"/>
          <w:kern w:val="3"/>
          <w14:textFill>
            <w14:solidFill>
              <w14:schemeClr w14:val="tx1"/>
            </w14:solidFill>
          </w14:textFill>
        </w:rPr>
        <w:t>(Ko, 2016)</w:t>
      </w:r>
      <w:r>
        <w:rPr>
          <w:rFonts w:cs="Times New Roman"/>
          <w:color w:val="000000" w:themeColor="text1"/>
          <w:kern w:val="3"/>
          <w14:textFill>
            <w14:solidFill>
              <w14:schemeClr w14:val="tx1"/>
            </w14:solidFill>
          </w14:textFill>
        </w:rPr>
        <w:t>.</w:t>
      </w:r>
    </w:p>
    <w:p>
      <w:pPr>
        <w:spacing w:before="120" w:after="120"/>
        <w:rPr>
          <w:kern w:val="3"/>
        </w:rPr>
      </w:pPr>
      <w:r>
        <w:rPr>
          <w:kern w:val="3"/>
        </w:rPr>
        <w:t>China’s outstanding traditional culture is a treasure trove from which we should seek inspiration and nourishment in building corporate culture</w:t>
      </w:r>
      <w:r>
        <w:rPr>
          <w:rFonts w:cs="Times New Roman"/>
          <w:color w:val="000000" w:themeColor="text1"/>
          <w:kern w:val="3"/>
          <w14:textFill>
            <w14:solidFill>
              <w14:schemeClr w14:val="tx1"/>
            </w14:solidFill>
          </w14:textFill>
        </w:rPr>
        <w:t xml:space="preserve"> </w:t>
      </w:r>
      <w:r>
        <w:rPr>
          <w:rFonts w:eastAsia="Arial" w:cs="Times New Roman"/>
          <w:color w:val="000000" w:themeColor="text1"/>
          <w:kern w:val="3"/>
          <w14:textFill>
            <w14:solidFill>
              <w14:schemeClr w14:val="tx1"/>
            </w14:solidFill>
          </w14:textFill>
        </w:rPr>
        <w:t>(Yue, 2016)</w:t>
      </w:r>
      <w:r>
        <w:rPr>
          <w:rFonts w:cs="Times New Roman"/>
          <w:color w:val="000000" w:themeColor="text1"/>
          <w:kern w:val="3"/>
          <w14:textFill>
            <w14:solidFill>
              <w14:schemeClr w14:val="tx1"/>
            </w14:solidFill>
          </w14:textFill>
        </w:rPr>
        <w:t>.</w:t>
      </w:r>
      <w:r>
        <w:rPr>
          <w:kern w:val="3"/>
        </w:rPr>
        <w:t xml:space="preserve"> But we should also reject and discard the damaging aspects of traditional culture</w:t>
      </w:r>
      <w:r>
        <w:rPr>
          <w:rFonts w:cs="Times New Roman"/>
          <w:color w:val="000000" w:themeColor="text1"/>
          <w:kern w:val="3"/>
          <w14:textFill>
            <w14:solidFill>
              <w14:schemeClr w14:val="tx1"/>
            </w14:solidFill>
          </w14:textFill>
        </w:rPr>
        <w:t xml:space="preserve"> </w:t>
      </w:r>
      <w:r>
        <w:rPr>
          <w:rFonts w:eastAsia="Arial" w:cs="Times New Roman"/>
          <w:color w:val="000000" w:themeColor="text1"/>
          <w:kern w:val="3"/>
          <w14:textFill>
            <w14:solidFill>
              <w14:schemeClr w14:val="tx1"/>
            </w14:solidFill>
          </w14:textFill>
        </w:rPr>
        <w:t>(Pan and Wei, 2015)</w:t>
      </w:r>
      <w:r>
        <w:rPr>
          <w:rFonts w:cs="Times New Roman"/>
          <w:color w:val="000000" w:themeColor="text1"/>
          <w:kern w:val="3"/>
          <w14:textFill>
            <w14:solidFill>
              <w14:schemeClr w14:val="tx1"/>
            </w14:solidFill>
          </w14:textFill>
        </w:rPr>
        <w:t>.</w:t>
      </w:r>
      <w:r>
        <w:rPr>
          <w:kern w:val="3"/>
        </w:rPr>
        <w:t xml:space="preserve"> Besides emphasizing traditional Chinese values as the bedrock of Chinese corporate culture, many of these academic texts also echo the official view that corporations should encourage their employees to organize and participate in various artistic, cultural and sporting activities</w:t>
      </w:r>
      <w:r>
        <w:rPr>
          <w:rFonts w:cs="Times New Roman"/>
          <w:color w:val="000000" w:themeColor="text1"/>
          <w:kern w:val="3"/>
          <w14:textFill>
            <w14:solidFill>
              <w14:schemeClr w14:val="tx1"/>
            </w14:solidFill>
          </w14:textFill>
        </w:rPr>
        <w:t xml:space="preserve"> </w:t>
      </w:r>
      <w:r>
        <w:rPr>
          <w:rFonts w:eastAsia="Arial" w:cs="Times New Roman"/>
          <w:color w:val="000000" w:themeColor="text1"/>
          <w:kern w:val="3"/>
          <w14:textFill>
            <w14:solidFill>
              <w14:schemeClr w14:val="tx1"/>
            </w14:solidFill>
          </w14:textFill>
        </w:rPr>
        <w:t>(Hawes, 2015)</w:t>
      </w:r>
      <w:r>
        <w:rPr>
          <w:kern w:val="3"/>
        </w:rPr>
        <w:t>. This is because such activities bring employees together in a harmonious way, encourage them to become mor</w:t>
      </w:r>
      <w:r>
        <w:rPr>
          <w:rFonts w:hint="eastAsia"/>
          <w:kern w:val="3"/>
        </w:rPr>
        <w:t xml:space="preserve">e </w:t>
      </w:r>
      <w:r>
        <w:rPr>
          <w:kern w:val="3"/>
        </w:rPr>
        <w:t>creative which may inspire innovation in their work build team spirit, and generally raise their “quality”, “cultural level” and “aesthetic sense”</w:t>
      </w:r>
      <w:r>
        <w:rPr>
          <w:rFonts w:cs="Times New Roman"/>
          <w:color w:val="000000" w:themeColor="text1"/>
          <w:kern w:val="3"/>
          <w14:textFill>
            <w14:solidFill>
              <w14:schemeClr w14:val="tx1"/>
            </w14:solidFill>
          </w14:textFill>
        </w:rPr>
        <w:t xml:space="preserve"> </w:t>
      </w:r>
      <w:r>
        <w:rPr>
          <w:rFonts w:eastAsia="Arial" w:cs="Times New Roman"/>
          <w:color w:val="000000" w:themeColor="text1"/>
          <w:kern w:val="3"/>
          <w14:textFill>
            <w14:solidFill>
              <w14:schemeClr w14:val="tx1"/>
            </w14:solidFill>
          </w14:textFill>
        </w:rPr>
        <w:t>(Argenti, 2013)</w:t>
      </w:r>
      <w:r>
        <w:rPr>
          <w:kern w:val="3"/>
        </w:rPr>
        <w:t xml:space="preserve">. </w:t>
      </w:r>
    </w:p>
    <w:p>
      <w:pPr>
        <w:spacing w:before="120" w:after="120"/>
        <w:rPr>
          <w:kern w:val="3"/>
        </w:rPr>
      </w:pPr>
      <w:r>
        <w:rPr>
          <w:kern w:val="3"/>
        </w:rPr>
        <w:t>To sum up, Chinese academic representations of corporate culture on the whole provide further justification for the official views: that corporate culture is beneficial for firms’ performance; that it is closely tied up with political and ideological work within corporations though some academics object to this tendency; and that corporate culture must somehow base itself on or promote “Chinese” culture and values, while simultaneously embracing socialism and accepting the best aspects of foreign cultures and management methods</w:t>
      </w:r>
      <w:r>
        <w:rPr>
          <w:rFonts w:hint="eastAsia"/>
          <w:kern w:val="3"/>
        </w:rPr>
        <w:t xml:space="preserve"> </w:t>
      </w:r>
      <w:r>
        <w:rPr>
          <w:rFonts w:eastAsia="Arial" w:cs="Times New Roman"/>
          <w:color w:val="000000" w:themeColor="text1"/>
          <w:kern w:val="3"/>
          <w14:textFill>
            <w14:solidFill>
              <w14:schemeClr w14:val="tx1"/>
            </w14:solidFill>
          </w14:textFill>
        </w:rPr>
        <w:t>(Hawes, 2015)</w:t>
      </w:r>
      <w:r>
        <w:rPr>
          <w:kern w:val="3"/>
        </w:rPr>
        <w:t>.</w:t>
      </w:r>
    </w:p>
    <w:p>
      <w:pPr>
        <w:spacing w:before="120" w:after="120"/>
        <w:rPr>
          <w:kern w:val="3"/>
        </w:rPr>
      </w:pPr>
    </w:p>
    <w:p>
      <w:pPr>
        <w:pStyle w:val="4"/>
        <w:spacing w:before="120" w:after="120"/>
      </w:pPr>
      <w:bookmarkStart w:id="150" w:name="_Toc21897_WPSOffice_Level3"/>
      <w:bookmarkStart w:id="151" w:name="_Toc14378_WPSOffice_Level3"/>
      <w:bookmarkStart w:id="152" w:name="_Toc15207_WPSOffice_Level3"/>
      <w:bookmarkStart w:id="153" w:name="_Toc8986_WPSOffice_Level1"/>
      <w:bookmarkStart w:id="154" w:name="_Toc26934_WPSOffice_Level1"/>
      <w:r>
        <w:rPr>
          <w:rFonts w:hint="eastAsia"/>
        </w:rPr>
        <w:t>2.3.2 Linkage: A local view</w:t>
      </w:r>
      <w:bookmarkEnd w:id="150"/>
      <w:bookmarkEnd w:id="151"/>
      <w:bookmarkEnd w:id="152"/>
      <w:bookmarkEnd w:id="153"/>
      <w:bookmarkEnd w:id="154"/>
    </w:p>
    <w:p>
      <w:pPr>
        <w:spacing w:before="120" w:after="120"/>
        <w:rPr>
          <w:rFonts w:cs="Times New Roman"/>
          <w:color w:val="000000" w:themeColor="text1"/>
          <w:kern w:val="3"/>
          <w14:textFill>
            <w14:solidFill>
              <w14:schemeClr w14:val="tx1"/>
            </w14:solidFill>
          </w14:textFill>
        </w:rPr>
      </w:pPr>
      <w:r>
        <w:rPr>
          <w:kern w:val="3"/>
        </w:rPr>
        <w:t>As with English-language studies of corporate culture, there is now a vast amount of published Chinese material on this topic</w:t>
      </w:r>
      <w:r>
        <w:rPr>
          <w:rFonts w:hint="eastAsia"/>
          <w:kern w:val="3"/>
        </w:rPr>
        <w:t xml:space="preserve"> </w:t>
      </w:r>
      <w:r>
        <w:rPr>
          <w:rFonts w:eastAsia="Arial" w:cs="Times New Roman"/>
          <w:color w:val="000000" w:themeColor="text1"/>
          <w:kern w:val="3"/>
          <w14:textFill>
            <w14:solidFill>
              <w14:schemeClr w14:val="tx1"/>
            </w14:solidFill>
          </w14:textFill>
        </w:rPr>
        <w:t>(Andersen and Bech, 2013)</w:t>
      </w:r>
      <w:r>
        <w:rPr>
          <w:rFonts w:cs="Times New Roman"/>
          <w:color w:val="000000" w:themeColor="text1"/>
          <w:kern w:val="3"/>
          <w14:textFill>
            <w14:solidFill>
              <w14:schemeClr w14:val="tx1"/>
            </w14:solidFill>
          </w14:textFill>
        </w:rPr>
        <w:t>.</w:t>
      </w:r>
      <w:r>
        <w:rPr>
          <w:kern w:val="3"/>
        </w:rPr>
        <w:t xml:space="preserve"> Among the dozen or so Chinese works on corporate culture reviewed for this study, there is a high degree of overlap in both style and content</w:t>
      </w:r>
      <w:r>
        <w:rPr>
          <w:rFonts w:hint="eastAsia"/>
          <w:kern w:val="3"/>
        </w:rPr>
        <w:t xml:space="preserve"> </w:t>
      </w:r>
      <w:r>
        <w:rPr>
          <w:rFonts w:eastAsia="Arial" w:cs="Times New Roman"/>
          <w:color w:val="000000" w:themeColor="text1"/>
          <w:kern w:val="3"/>
          <w14:textFill>
            <w14:solidFill>
              <w14:schemeClr w14:val="tx1"/>
            </w14:solidFill>
          </w14:textFill>
        </w:rPr>
        <w:t>(Yang and Webber, 2014)</w:t>
      </w:r>
      <w:r>
        <w:rPr>
          <w:rFonts w:cs="Times New Roman"/>
          <w:color w:val="000000" w:themeColor="text1"/>
          <w:kern w:val="3"/>
          <w14:textFill>
            <w14:solidFill>
              <w14:schemeClr w14:val="tx1"/>
            </w14:solidFill>
          </w14:textFill>
        </w:rPr>
        <w:t>.</w:t>
      </w:r>
      <w:r>
        <w:rPr>
          <w:kern w:val="3"/>
        </w:rPr>
        <w:t xml:space="preserve"> This does not mean that the views of Chinese corporate culture experts are uniform, however, and some scholars in particular express diametrically opposing views on the appropriate relationship between corporate culture and political</w:t>
      </w:r>
      <w:r>
        <w:rPr>
          <w:rFonts w:hint="eastAsia"/>
          <w:kern w:val="3"/>
        </w:rPr>
        <w:t xml:space="preserve"> and </w:t>
      </w:r>
      <w:r>
        <w:rPr>
          <w:kern w:val="3"/>
        </w:rPr>
        <w:t>ideological work within corporations</w:t>
      </w:r>
      <w:r>
        <w:rPr>
          <w:rFonts w:hint="eastAsia"/>
          <w:color w:val="000000" w:themeColor="text1"/>
          <w:kern w:val="3"/>
          <w14:textFill>
            <w14:solidFill>
              <w14:schemeClr w14:val="tx1"/>
            </w14:solidFill>
          </w14:textFill>
        </w:rPr>
        <w:t xml:space="preserve"> </w:t>
      </w:r>
      <w:r>
        <w:rPr>
          <w:rFonts w:eastAsia="Arial" w:cs="Times New Roman"/>
          <w:color w:val="000000" w:themeColor="text1"/>
          <w:kern w:val="3"/>
          <w14:textFill>
            <w14:solidFill>
              <w14:schemeClr w14:val="tx1"/>
            </w14:solidFill>
          </w14:textFill>
        </w:rPr>
        <w:t>(Rosenmann, 2015)</w:t>
      </w:r>
      <w:r>
        <w:rPr>
          <w:rFonts w:cs="Times New Roman"/>
          <w:color w:val="000000" w:themeColor="text1"/>
          <w:kern w:val="3"/>
          <w14:textFill>
            <w14:solidFill>
              <w14:schemeClr w14:val="tx1"/>
            </w14:solidFill>
          </w14:textFill>
        </w:rPr>
        <w:t>.</w:t>
      </w:r>
    </w:p>
    <w:p>
      <w:pPr>
        <w:spacing w:before="120" w:after="120"/>
        <w:rPr>
          <w:rFonts w:cs="Times New Roman"/>
          <w:color w:val="000000" w:themeColor="text1"/>
          <w:kern w:val="3"/>
          <w14:textFill>
            <w14:solidFill>
              <w14:schemeClr w14:val="tx1"/>
            </w14:solidFill>
          </w14:textFill>
        </w:rPr>
      </w:pPr>
      <w:r>
        <w:rPr>
          <w:kern w:val="3"/>
        </w:rPr>
        <w:t>Obviously, one major difference between the academic and official representations of corporate culture is in the level of detail provided. Whereas the SASAC Guiding Opinion gives only vague suggestions on implementing corporate culture change strategies, academic texts provide step-by-step accounts of the various kinds of core values, corporate philosophies, rituals, employee incentives, and other techniques that they claim will result in a stronger and more</w:t>
      </w:r>
      <w:r>
        <w:rPr>
          <w:rFonts w:hint="eastAsia"/>
          <w:kern w:val="3"/>
        </w:rPr>
        <w:t xml:space="preserve"> positive corporate culture</w:t>
      </w:r>
      <w:r>
        <w:rPr>
          <w:rFonts w:cs="Times New Roman"/>
          <w:color w:val="000000" w:themeColor="text1"/>
          <w:kern w:val="3"/>
          <w14:textFill>
            <w14:solidFill>
              <w14:schemeClr w14:val="tx1"/>
            </w14:solidFill>
          </w14:textFill>
        </w:rPr>
        <w:t xml:space="preserve"> </w:t>
      </w:r>
      <w:r>
        <w:rPr>
          <w:rFonts w:eastAsia="Arial" w:cs="Times New Roman"/>
          <w:color w:val="000000" w:themeColor="text1"/>
          <w:kern w:val="3"/>
          <w14:textFill>
            <w14:solidFill>
              <w14:schemeClr w14:val="tx1"/>
            </w14:solidFill>
          </w14:textFill>
        </w:rPr>
        <w:t>(Wang, Guthrie and Xiao, 2012)</w:t>
      </w:r>
      <w:r>
        <w:rPr>
          <w:rFonts w:cs="Times New Roman"/>
          <w:color w:val="000000" w:themeColor="text1"/>
          <w:kern w:val="3"/>
          <w14:textFill>
            <w14:solidFill>
              <w14:schemeClr w14:val="tx1"/>
            </w14:solidFill>
          </w14:textFill>
        </w:rPr>
        <w:t>.</w:t>
      </w:r>
      <w:r>
        <w:rPr>
          <w:rFonts w:hint="eastAsia"/>
          <w:kern w:val="3"/>
        </w:rPr>
        <w:t xml:space="preserve"> The vast majority of these techniques are clearly drawn from the American literature on corporate culture, although Chinese firms that have successfully applied similar methods are also often used as case studies</w:t>
      </w:r>
      <w:r>
        <w:rPr>
          <w:rFonts w:hint="eastAsia"/>
          <w:color w:val="000000" w:themeColor="text1"/>
          <w:kern w:val="3"/>
          <w14:textFill>
            <w14:solidFill>
              <w14:schemeClr w14:val="tx1"/>
            </w14:solidFill>
          </w14:textFill>
        </w:rPr>
        <w:t xml:space="preserve"> </w:t>
      </w:r>
      <w:r>
        <w:rPr>
          <w:rFonts w:eastAsia="Arial" w:cs="Times New Roman"/>
          <w:color w:val="000000" w:themeColor="text1"/>
          <w:kern w:val="3"/>
          <w14:textFill>
            <w14:solidFill>
              <w14:schemeClr w14:val="tx1"/>
            </w14:solidFill>
          </w14:textFill>
        </w:rPr>
        <w:t>(Guiso, Sapienza and Zingales, 2015)</w:t>
      </w:r>
      <w:r>
        <w:rPr>
          <w:rFonts w:cs="Times New Roman"/>
          <w:color w:val="000000" w:themeColor="text1"/>
          <w:kern w:val="3"/>
          <w14:textFill>
            <w14:solidFill>
              <w14:schemeClr w14:val="tx1"/>
            </w14:solidFill>
          </w14:textFill>
        </w:rPr>
        <w:t>.</w:t>
      </w:r>
      <w:r>
        <w:rPr>
          <w:rFonts w:cs="Times New Roman"/>
          <w:kern w:val="3"/>
        </w:rPr>
        <w:t xml:space="preserve"> </w:t>
      </w:r>
      <w:r>
        <w:rPr>
          <w:rFonts w:hint="eastAsia"/>
          <w:kern w:val="3"/>
        </w:rPr>
        <w:t>Possibly because they have a vested interest in promoting their own field of study and its associated consultancy opportunities, all these academic authors agree that there are clear benefits for firms when they improve their corporate culture, and like their American models, they tend to ignore the counterarguments raised by subsequent English-language studies that cast doubt on the positive nexus between corporate culture transformation and corporate performance</w:t>
      </w:r>
      <w:r>
        <w:rPr>
          <w:rFonts w:cs="Times New Roman"/>
          <w:kern w:val="3"/>
        </w:rPr>
        <w:t xml:space="preserve"> </w:t>
      </w:r>
      <w:r>
        <w:rPr>
          <w:rFonts w:eastAsia="Arial" w:cs="Times New Roman"/>
          <w:color w:val="000000" w:themeColor="text1"/>
          <w:kern w:val="3"/>
          <w14:textFill>
            <w14:solidFill>
              <w14:schemeClr w14:val="tx1"/>
            </w14:solidFill>
          </w14:textFill>
        </w:rPr>
        <w:t>(</w:t>
      </w:r>
      <w:r>
        <w:rPr>
          <w:rFonts w:hint="eastAsia" w:eastAsia="宋体" w:cs="Times New Roman"/>
          <w:color w:val="000000" w:themeColor="text1"/>
          <w:kern w:val="3"/>
          <w14:textFill>
            <w14:solidFill>
              <w14:schemeClr w14:val="tx1"/>
            </w14:solidFill>
          </w14:textFill>
        </w:rPr>
        <w:t>Jonnas</w:t>
      </w:r>
      <w:r>
        <w:rPr>
          <w:rFonts w:eastAsia="Arial" w:cs="Times New Roman"/>
          <w:color w:val="000000" w:themeColor="text1"/>
          <w:kern w:val="3"/>
          <w14:textFill>
            <w14:solidFill>
              <w14:schemeClr w14:val="tx1"/>
            </w14:solidFill>
          </w14:textFill>
        </w:rPr>
        <w:t>, 2016)</w:t>
      </w:r>
      <w:r>
        <w:rPr>
          <w:rFonts w:cs="Times New Roman"/>
          <w:kern w:val="3"/>
        </w:rPr>
        <w:t>.</w:t>
      </w:r>
      <w:r>
        <w:rPr>
          <w:rFonts w:hint="eastAsia"/>
          <w:kern w:val="3"/>
        </w:rPr>
        <w:t xml:space="preserve"> Yet despite their reliance on imported ideas, all these academic authors take pains to emphasize that Chinese corporations must develop their own distinctive culture that suits the broader Chinese social, political and cultural context </w:t>
      </w:r>
      <w:r>
        <w:rPr>
          <w:rFonts w:eastAsia="Arial" w:cs="Times New Roman"/>
          <w:color w:val="000000" w:themeColor="text1"/>
          <w:kern w:val="3"/>
          <w14:textFill>
            <w14:solidFill>
              <w14:schemeClr w14:val="tx1"/>
            </w14:solidFill>
          </w14:textFill>
        </w:rPr>
        <w:t>(Yang and Webber, 2014)</w:t>
      </w:r>
      <w:r>
        <w:rPr>
          <w:rFonts w:cs="Times New Roman"/>
          <w:color w:val="000000" w:themeColor="text1"/>
          <w:kern w:val="3"/>
          <w14:textFill>
            <w14:solidFill>
              <w14:schemeClr w14:val="tx1"/>
            </w14:solidFill>
          </w14:textFill>
        </w:rPr>
        <w:t>.</w:t>
      </w:r>
      <w:r>
        <w:rPr>
          <w:rFonts w:hint="eastAsia"/>
          <w:kern w:val="3"/>
        </w:rPr>
        <w:t xml:space="preserve"> Here emerges further discussion of the two uniquely Chinese aspects of corporate culture that we identified in the official </w:t>
      </w:r>
      <w:r>
        <w:rPr>
          <w:rFonts w:cs="Times New Roman"/>
          <w:kern w:val="3"/>
        </w:rPr>
        <w:t xml:space="preserve">representation above: the relationship between corporate culture and political/ideological work, and the promotion of “Chinese culture” within corporations </w:t>
      </w:r>
      <w:r>
        <w:rPr>
          <w:rFonts w:eastAsia="Arial" w:cs="Times New Roman"/>
          <w:color w:val="000000" w:themeColor="text1"/>
          <w:kern w:val="3"/>
          <w14:textFill>
            <w14:solidFill>
              <w14:schemeClr w14:val="tx1"/>
            </w14:solidFill>
          </w14:textFill>
        </w:rPr>
        <w:t>(Li, 2017)</w:t>
      </w:r>
      <w:r>
        <w:rPr>
          <w:rFonts w:cs="Times New Roman"/>
          <w:color w:val="000000" w:themeColor="text1"/>
          <w:kern w:val="3"/>
          <w14:textFill>
            <w14:solidFill>
              <w14:schemeClr w14:val="tx1"/>
            </w14:solidFill>
          </w14:textFill>
        </w:rPr>
        <w:t>.</w:t>
      </w:r>
    </w:p>
    <w:p>
      <w:pPr>
        <w:spacing w:before="120" w:after="120"/>
        <w:rPr>
          <w:kern w:val="3"/>
        </w:rPr>
      </w:pPr>
      <w:r>
        <w:rPr>
          <w:rFonts w:hint="eastAsia"/>
          <w:kern w:val="3"/>
        </w:rPr>
        <w:t>In China, especially in state-controlled corporations, besides economic activities there are also political and cultural activities</w:t>
      </w:r>
      <w:r>
        <w:rPr>
          <w:rFonts w:cs="Times New Roman"/>
          <w:color w:val="000000" w:themeColor="text1"/>
          <w:kern w:val="3"/>
          <w14:textFill>
            <w14:solidFill>
              <w14:schemeClr w14:val="tx1"/>
            </w14:solidFill>
          </w14:textFill>
        </w:rPr>
        <w:t xml:space="preserve"> </w:t>
      </w:r>
      <w:r>
        <w:rPr>
          <w:rFonts w:eastAsia="Arial" w:cs="Times New Roman"/>
          <w:color w:val="000000" w:themeColor="text1"/>
          <w:kern w:val="3"/>
          <w14:textFill>
            <w14:solidFill>
              <w14:schemeClr w14:val="tx1"/>
            </w14:solidFill>
          </w14:textFill>
        </w:rPr>
        <w:t>(Sauvant and Strauss, 2012)</w:t>
      </w:r>
      <w:r>
        <w:rPr>
          <w:rFonts w:cs="Times New Roman"/>
          <w:color w:val="000000" w:themeColor="text1"/>
          <w:kern w:val="3"/>
          <w14:textFill>
            <w14:solidFill>
              <w14:schemeClr w14:val="tx1"/>
            </w14:solidFill>
          </w14:textFill>
        </w:rPr>
        <w:t>.</w:t>
      </w:r>
      <w:r>
        <w:rPr>
          <w:rFonts w:hint="eastAsia"/>
          <w:kern w:val="3"/>
        </w:rPr>
        <w:t xml:space="preserve"> Party organizations, Youth League organizations, Women</w:t>
      </w:r>
      <w:r>
        <w:rPr>
          <w:kern w:val="3"/>
        </w:rPr>
        <w:t>’</w:t>
      </w:r>
      <w:r>
        <w:rPr>
          <w:rFonts w:hint="eastAsia"/>
          <w:kern w:val="3"/>
        </w:rPr>
        <w:t>s Federations and Workers</w:t>
      </w:r>
      <w:r>
        <w:rPr>
          <w:kern w:val="3"/>
        </w:rPr>
        <w:t>’</w:t>
      </w:r>
      <w:r>
        <w:rPr>
          <w:rFonts w:hint="eastAsia"/>
          <w:kern w:val="3"/>
        </w:rPr>
        <w:t xml:space="preserve"> Unions play a significant role within corporations, and they have enormous impact and influence</w:t>
      </w:r>
      <w:r>
        <w:rPr>
          <w:rFonts w:cs="Times New Roman"/>
          <w:color w:val="000000" w:themeColor="text1"/>
          <w:kern w:val="3"/>
          <w14:textFill>
            <w14:solidFill>
              <w14:schemeClr w14:val="tx1"/>
            </w14:solidFill>
          </w14:textFill>
        </w:rPr>
        <w:t xml:space="preserve"> </w:t>
      </w:r>
      <w:r>
        <w:rPr>
          <w:rFonts w:eastAsia="Arial" w:cs="Times New Roman"/>
          <w:color w:val="000000" w:themeColor="text1"/>
          <w:kern w:val="3"/>
          <w14:textFill>
            <w14:solidFill>
              <w14:schemeClr w14:val="tx1"/>
            </w14:solidFill>
          </w14:textFill>
        </w:rPr>
        <w:t>(Prysby, 2018)</w:t>
      </w:r>
      <w:r>
        <w:rPr>
          <w:rFonts w:cs="Times New Roman"/>
          <w:color w:val="000000" w:themeColor="text1"/>
          <w:kern w:val="3"/>
          <w14:textFill>
            <w14:solidFill>
              <w14:schemeClr w14:val="tx1"/>
            </w14:solidFill>
          </w14:textFill>
        </w:rPr>
        <w:t>.</w:t>
      </w:r>
      <w:r>
        <w:rPr>
          <w:rFonts w:hint="eastAsia"/>
          <w:kern w:val="3"/>
        </w:rPr>
        <w:t xml:space="preserve"> They are a powerful resource that should not be overlooked when building corporate culture. If the capabilities of each of these organizations can be fully utilized, then the building of corporate culture will receive widespread support among employees, and this will provide a firm foundation to ensure the success of the corporate-culture-building effort </w:t>
      </w:r>
      <w:r>
        <w:rPr>
          <w:rFonts w:eastAsia="Arial" w:cs="Times New Roman"/>
          <w:color w:val="000000" w:themeColor="text1"/>
          <w:kern w:val="3"/>
          <w14:textFill>
            <w14:solidFill>
              <w14:schemeClr w14:val="tx1"/>
            </w14:solidFill>
          </w14:textFill>
        </w:rPr>
        <w:t>(Manzoni, 2012)</w:t>
      </w:r>
      <w:r>
        <w:rPr>
          <w:rFonts w:cs="Times New Roman"/>
          <w:color w:val="000000" w:themeColor="text1"/>
          <w:kern w:val="3"/>
          <w14:textFill>
            <w14:solidFill>
              <w14:schemeClr w14:val="tx1"/>
            </w14:solidFill>
          </w14:textFill>
        </w:rPr>
        <w:t>.</w:t>
      </w:r>
    </w:p>
    <w:p>
      <w:pPr>
        <w:spacing w:before="120" w:after="120"/>
        <w:rPr>
          <w:kern w:val="3"/>
        </w:rPr>
      </w:pPr>
      <w:r>
        <w:rPr>
          <w:rFonts w:hint="eastAsia"/>
          <w:kern w:val="3"/>
        </w:rPr>
        <w:t xml:space="preserve">Strengthening corporate-culture-building can help to synthesize political and ideological work with corporate management work like a body inhabiting a single skin rather than two separate skins </w:t>
      </w:r>
      <w:r>
        <w:rPr>
          <w:rFonts w:eastAsia="Arial" w:cs="Times New Roman"/>
          <w:color w:val="000000" w:themeColor="text1"/>
          <w:kern w:val="3"/>
          <w14:textFill>
            <w14:solidFill>
              <w14:schemeClr w14:val="tx1"/>
            </w14:solidFill>
          </w14:textFill>
        </w:rPr>
        <w:t>(Witzany, Zigler and Kroftová, 2016)</w:t>
      </w:r>
      <w:r>
        <w:rPr>
          <w:rFonts w:cs="Times New Roman"/>
          <w:color w:val="000000" w:themeColor="text1"/>
          <w:kern w:val="3"/>
          <w14:textFill>
            <w14:solidFill>
              <w14:schemeClr w14:val="tx1"/>
            </w14:solidFill>
          </w14:textFill>
        </w:rPr>
        <w:t>.</w:t>
      </w:r>
    </w:p>
    <w:p>
      <w:pPr>
        <w:spacing w:before="120" w:after="120"/>
        <w:rPr>
          <w:rFonts w:cs="Times New Roman"/>
          <w:color w:val="000000" w:themeColor="text1"/>
          <w:kern w:val="3"/>
          <w14:textFill>
            <w14:solidFill>
              <w14:schemeClr w14:val="tx1"/>
            </w14:solidFill>
          </w14:textFill>
        </w:rPr>
      </w:pPr>
      <w:r>
        <w:rPr>
          <w:kern w:val="3"/>
        </w:rPr>
        <w:t>One of the major tendencies of Chinese corporate culture is to confuse corporate culture work with political and ideological work</w:t>
      </w:r>
      <w:r>
        <w:rPr>
          <w:rFonts w:hint="eastAsia"/>
          <w:kern w:val="3"/>
        </w:rPr>
        <w:t xml:space="preserve"> </w:t>
      </w:r>
      <w:r>
        <w:rPr>
          <w:rFonts w:eastAsia="Arial" w:cs="Times New Roman"/>
          <w:color w:val="000000" w:themeColor="text1"/>
          <w:kern w:val="3"/>
          <w14:textFill>
            <w14:solidFill>
              <w14:schemeClr w14:val="tx1"/>
            </w14:solidFill>
          </w14:textFill>
        </w:rPr>
        <w:t>(Argenti, 2013)</w:t>
      </w:r>
      <w:r>
        <w:rPr>
          <w:rFonts w:hint="eastAsia"/>
          <w:kern w:val="3"/>
        </w:rPr>
        <w:t xml:space="preserve">. </w:t>
      </w:r>
      <w:r>
        <w:rPr>
          <w:kern w:val="3"/>
        </w:rPr>
        <w:t>Even though we now have a policy of separating government from enterprise management, and in most state-controlled corporations today, the person in charge is not the Party Secretary but the corporate CEO, still due to historical reason</w:t>
      </w:r>
      <w:r>
        <w:rPr>
          <w:rFonts w:hint="eastAsia"/>
          <w:kern w:val="3"/>
        </w:rPr>
        <w:t xml:space="preserve">s </w:t>
      </w:r>
      <w:r>
        <w:rPr>
          <w:kern w:val="3"/>
        </w:rPr>
        <w:t>corporate culture work has naturally been made the responsibility of Party organizations</w:t>
      </w:r>
      <w:r>
        <w:rPr>
          <w:rFonts w:hint="eastAsia"/>
          <w:kern w:val="3"/>
        </w:rPr>
        <w:t xml:space="preserve"> </w:t>
      </w:r>
      <w:r>
        <w:rPr>
          <w:rFonts w:eastAsia="Arial" w:cs="Times New Roman"/>
          <w:color w:val="000000" w:themeColor="text1"/>
          <w:kern w:val="3"/>
          <w14:textFill>
            <w14:solidFill>
              <w14:schemeClr w14:val="tx1"/>
            </w14:solidFill>
          </w14:textFill>
        </w:rPr>
        <w:t>(Ellinas and Lamprianou, 2016)</w:t>
      </w:r>
      <w:r>
        <w:rPr>
          <w:rFonts w:cs="Times New Roman"/>
          <w:color w:val="000000" w:themeColor="text1"/>
          <w:kern w:val="3"/>
          <w14:textFill>
            <w14:solidFill>
              <w14:schemeClr w14:val="tx1"/>
            </w14:solidFill>
          </w14:textFill>
        </w:rPr>
        <w:t xml:space="preserve">. </w:t>
      </w:r>
    </w:p>
    <w:p>
      <w:pPr>
        <w:spacing w:before="120" w:after="120"/>
        <w:rPr>
          <w:kern w:val="3"/>
        </w:rPr>
      </w:pPr>
      <w:r>
        <w:rPr>
          <w:kern w:val="3"/>
        </w:rPr>
        <w:t>Although argument strongly criticizes the “confusion” of corporate culture with political indoctrination, or even the suggestion that they are linked in any way whatsoever, the very fact that he has to make such an argument indicates that this “synthesis” is common among Chinese corporate managers</w:t>
      </w:r>
      <w:r>
        <w:rPr>
          <w:rFonts w:hint="eastAsia"/>
          <w:kern w:val="3"/>
        </w:rPr>
        <w:t xml:space="preserve"> </w:t>
      </w:r>
      <w:r>
        <w:rPr>
          <w:rFonts w:eastAsia="Arial" w:cs="Times New Roman"/>
          <w:color w:val="000000" w:themeColor="text1"/>
          <w:kern w:val="3"/>
          <w14:textFill>
            <w14:solidFill>
              <w14:schemeClr w14:val="tx1"/>
            </w14:solidFill>
          </w14:textFill>
        </w:rPr>
        <w:t>(Manning, 2012)</w:t>
      </w:r>
      <w:r>
        <w:rPr>
          <w:rFonts w:cs="Times New Roman"/>
          <w:color w:val="000000" w:themeColor="text1"/>
          <w:kern w:val="3"/>
          <w14:textFill>
            <w14:solidFill>
              <w14:schemeClr w14:val="tx1"/>
            </w14:solidFill>
          </w14:textFill>
        </w:rPr>
        <w:t xml:space="preserve">. </w:t>
      </w:r>
    </w:p>
    <w:p>
      <w:pPr>
        <w:spacing w:before="120" w:after="120"/>
        <w:rPr>
          <w:rFonts w:cs="Times New Roman"/>
          <w:color w:val="000000" w:themeColor="text1"/>
          <w:kern w:val="3"/>
          <w14:textFill>
            <w14:solidFill>
              <w14:schemeClr w14:val="tx1"/>
            </w14:solidFill>
          </w14:textFill>
        </w:rPr>
      </w:pPr>
      <w:r>
        <w:rPr>
          <w:kern w:val="3"/>
        </w:rPr>
        <w:t>Another distinctive feature of Chinese corporate culture as it appears in the academic literature is the central place awarded to Chinese cultural values and various refined cultural activities designed to cultivate employees</w:t>
      </w:r>
      <w:r>
        <w:rPr>
          <w:rFonts w:cs="Times New Roman"/>
          <w:color w:val="000000" w:themeColor="text1"/>
          <w:kern w:val="3"/>
          <w14:textFill>
            <w14:solidFill>
              <w14:schemeClr w14:val="tx1"/>
            </w14:solidFill>
          </w14:textFill>
        </w:rPr>
        <w:t xml:space="preserve"> </w:t>
      </w:r>
      <w:r>
        <w:rPr>
          <w:rFonts w:eastAsia="Arial" w:cs="Times New Roman"/>
          <w:color w:val="000000" w:themeColor="text1"/>
          <w:kern w:val="3"/>
          <w14:textFill>
            <w14:solidFill>
              <w14:schemeClr w14:val="tx1"/>
            </w14:solidFill>
          </w14:textFill>
        </w:rPr>
        <w:t>(Choi, 2015)</w:t>
      </w:r>
      <w:r>
        <w:rPr>
          <w:rFonts w:cs="Times New Roman"/>
          <w:color w:val="000000" w:themeColor="text1"/>
          <w:kern w:val="3"/>
          <w14:textFill>
            <w14:solidFill>
              <w14:schemeClr w14:val="tx1"/>
            </w14:solidFill>
          </w14:textFill>
        </w:rPr>
        <w:t>.</w:t>
      </w:r>
      <w:r>
        <w:rPr>
          <w:rFonts w:hint="eastAsia"/>
          <w:kern w:val="3"/>
        </w:rPr>
        <w:t xml:space="preserve"> </w:t>
      </w:r>
      <w:r>
        <w:rPr>
          <w:kern w:val="3"/>
        </w:rPr>
        <w:t>40 These texts broaden the term “corporate culture” to include other aspects of culture, such as national culture and elite culture</w:t>
      </w:r>
      <w:r>
        <w:rPr>
          <w:rFonts w:hint="eastAsia"/>
          <w:kern w:val="3"/>
        </w:rPr>
        <w:t xml:space="preserve"> </w:t>
      </w:r>
      <w:r>
        <w:rPr>
          <w:rFonts w:eastAsia="Arial" w:cs="Times New Roman"/>
          <w:color w:val="000000" w:themeColor="text1"/>
          <w:kern w:val="3"/>
          <w14:textFill>
            <w14:solidFill>
              <w14:schemeClr w14:val="tx1"/>
            </w14:solidFill>
          </w14:textFill>
        </w:rPr>
        <w:t>(Stanley,</w:t>
      </w:r>
      <w:r>
        <w:rPr>
          <w:rFonts w:hint="eastAsia" w:eastAsia="宋体" w:cs="Times New Roman"/>
          <w:color w:val="000000" w:themeColor="text1"/>
          <w:kern w:val="3"/>
          <w14:textFill>
            <w14:solidFill>
              <w14:schemeClr w14:val="tx1"/>
            </w14:solidFill>
          </w14:textFill>
        </w:rPr>
        <w:t xml:space="preserve"> </w:t>
      </w:r>
      <w:r>
        <w:rPr>
          <w:rFonts w:eastAsia="Arial" w:cs="Times New Roman"/>
          <w:color w:val="000000" w:themeColor="text1"/>
          <w:kern w:val="3"/>
          <w14:textFill>
            <w14:solidFill>
              <w14:schemeClr w14:val="tx1"/>
            </w14:solidFill>
          </w14:textFill>
        </w:rPr>
        <w:t>2012)</w:t>
      </w:r>
      <w:r>
        <w:rPr>
          <w:rFonts w:cs="Times New Roman"/>
          <w:color w:val="000000" w:themeColor="text1"/>
          <w:kern w:val="3"/>
          <w14:textFill>
            <w14:solidFill>
              <w14:schemeClr w14:val="tx1"/>
            </w14:solidFill>
          </w14:textFill>
        </w:rPr>
        <w:t>.</w:t>
      </w:r>
    </w:p>
    <w:p>
      <w:pPr>
        <w:spacing w:before="120" w:after="120"/>
        <w:rPr>
          <w:rFonts w:cs="Times New Roman"/>
          <w:color w:val="000000" w:themeColor="text1"/>
          <w:kern w:val="3"/>
          <w14:textFill>
            <w14:solidFill>
              <w14:schemeClr w14:val="tx1"/>
            </w14:solidFill>
          </w14:textFill>
        </w:rPr>
      </w:pPr>
    </w:p>
    <w:p>
      <w:pPr>
        <w:spacing w:before="120" w:after="120"/>
        <w:rPr>
          <w:rFonts w:cs="Times New Roman"/>
          <w:color w:val="000000" w:themeColor="text1"/>
          <w:kern w:val="3"/>
          <w14:textFill>
            <w14:solidFill>
              <w14:schemeClr w14:val="tx1"/>
            </w14:solidFill>
          </w14:textFill>
        </w:rPr>
      </w:pPr>
    </w:p>
    <w:p>
      <w:pPr>
        <w:pStyle w:val="2"/>
        <w:spacing w:before="360" w:after="120"/>
      </w:pPr>
      <w:r>
        <w:rPr>
          <w:rFonts w:hint="eastAsia"/>
        </w:rPr>
        <w:t>2.4 Grounded theory</w:t>
      </w:r>
    </w:p>
    <w:p>
      <w:pPr>
        <w:spacing w:before="120" w:after="120"/>
      </w:pPr>
      <w:r>
        <w:t>Deal and Kennedy (1982), in their seminal book on corporate culture, introduce five basic</w:t>
      </w:r>
      <w:r>
        <w:rPr>
          <w:rFonts w:hint="eastAsia"/>
        </w:rPr>
        <w:t xml:space="preserve"> </w:t>
      </w:r>
      <w:r>
        <w:t>elements that are essential to an organization’s culture:</w:t>
      </w:r>
      <w:r>
        <w:rPr>
          <w:rFonts w:hint="eastAsia"/>
        </w:rPr>
        <w:t xml:space="preserve"> </w:t>
      </w:r>
      <w:r>
        <w:t>business environment;</w:t>
      </w:r>
      <w:r>
        <w:rPr>
          <w:rFonts w:hint="eastAsia"/>
        </w:rPr>
        <w:t xml:space="preserve"> </w:t>
      </w:r>
      <w:r>
        <w:t>values;</w:t>
      </w:r>
      <w:r>
        <w:rPr>
          <w:rFonts w:hint="eastAsia"/>
        </w:rPr>
        <w:t xml:space="preserve"> </w:t>
      </w:r>
      <w:r>
        <w:t>heroes;</w:t>
      </w:r>
      <w:r>
        <w:rPr>
          <w:rFonts w:hint="eastAsia"/>
        </w:rPr>
        <w:t xml:space="preserve"> </w:t>
      </w:r>
      <w:r>
        <w:t>rites and rituals;</w:t>
      </w:r>
      <w:r>
        <w:rPr>
          <w:rFonts w:hint="eastAsia"/>
        </w:rPr>
        <w:t xml:space="preserve"> </w:t>
      </w:r>
      <w:r>
        <w:t>cultural network. Deal and Kennedy (1982) incited the interest of researchers and consultants to the concept of corporate culture, and how these values and philosophy guide the employees’ behavior in the organization towards greater success.</w:t>
      </w:r>
    </w:p>
    <w:p>
      <w:pPr>
        <w:spacing w:before="120" w:after="120"/>
      </w:pPr>
      <w:r>
        <w:rPr>
          <w:rFonts w:hint="eastAsia"/>
        </w:rPr>
        <w:t xml:space="preserve">Organizations all over the world work are dealing with a wide variety of cultures. According to Fons Trompenaars (1998), cultural differences will create a better understanding of reality. For an insight into the biggest differences and how organizations are affected by these differences, Fons Trompenaars and Charles Hampden-Turner (2003) developed a cultural model, that distinguishes seven cultural dimensions. The name of this management and communication model is the Trompenaars Cultural Dimensions. These are the seven cultural dimensions in Trompenaars research: Universalism versus Particularism; Individualism versus Communitarianism; Neutral versus Emotional; Specific versus Diffuse; Achievement versus Ascription; Sequential versus Synchronous time; Internal direction versus External direction. </w:t>
      </w:r>
    </w:p>
    <w:p>
      <w:pPr>
        <w:spacing w:before="120" w:after="120"/>
      </w:pPr>
      <w:r>
        <w:t>Corporate culture is very important to the success of a business. The social side of work requires as much attention as the financial side: The long-term economic performance will suffer</w:t>
      </w:r>
      <w:r>
        <w:rPr>
          <w:rFonts w:hint="eastAsia"/>
        </w:rPr>
        <w:t xml:space="preserve"> i</w:t>
      </w:r>
      <w:r>
        <w:t>f the cultural influences is neglected. By using Deal</w:t>
      </w:r>
      <w:r>
        <w:rPr>
          <w:rFonts w:hint="eastAsia"/>
        </w:rPr>
        <w:t xml:space="preserve"> </w:t>
      </w:r>
      <w:r>
        <w:t>&amp;</w:t>
      </w:r>
      <w:r>
        <w:rPr>
          <w:rFonts w:hint="eastAsia"/>
        </w:rPr>
        <w:t xml:space="preserve"> </w:t>
      </w:r>
      <w:r>
        <w:t>Kennedy’s theory can help this research to understand the internal factors from western corporate culture bring to China’s education industry, through the study of Deal</w:t>
      </w:r>
      <w:r>
        <w:rPr>
          <w:rFonts w:hint="eastAsia"/>
        </w:rPr>
        <w:t xml:space="preserve"> </w:t>
      </w:r>
      <w:r>
        <w:t>&amp;</w:t>
      </w:r>
      <w:r>
        <w:rPr>
          <w:rFonts w:hint="eastAsia"/>
        </w:rPr>
        <w:t xml:space="preserve"> </w:t>
      </w:r>
      <w:r>
        <w:t xml:space="preserve">Kennedy’s theory, the result will show that how is relationship between western corporate culture and the education industry in China. Secondly, the </w:t>
      </w:r>
      <w:r>
        <w:rPr>
          <w:rFonts w:hint="eastAsia"/>
        </w:rPr>
        <w:t>Trompenaars Cultural Dimensions</w:t>
      </w:r>
      <w:r>
        <w:t xml:space="preserve"> will help the </w:t>
      </w:r>
      <w:r>
        <w:rPr>
          <w:rFonts w:hint="eastAsia"/>
        </w:rPr>
        <w:t>study</w:t>
      </w:r>
      <w:r>
        <w:t xml:space="preserve"> to analyze the</w:t>
      </w:r>
      <w:r>
        <w:rPr>
          <w:rFonts w:hint="eastAsia"/>
        </w:rPr>
        <w:t xml:space="preserve"> cultural</w:t>
      </w:r>
      <w:r>
        <w:t xml:space="preserve"> factors that may affect the industry, the theories will support the study to analyze how is the relationship can be influenced by these factors.</w:t>
      </w:r>
    </w:p>
    <w:p>
      <w:pPr>
        <w:spacing w:before="120" w:after="120"/>
      </w:pPr>
    </w:p>
    <w:p>
      <w:pPr>
        <w:spacing w:before="120" w:after="120"/>
      </w:pPr>
    </w:p>
    <w:p>
      <w:pPr>
        <w:pStyle w:val="2"/>
        <w:spacing w:before="360" w:after="120"/>
      </w:pPr>
      <w:r>
        <w:rPr>
          <w:rFonts w:hint="eastAsia"/>
        </w:rPr>
        <w:t>2.5 Gaps in the literature</w:t>
      </w:r>
    </w:p>
    <w:p>
      <w:pPr>
        <w:spacing w:before="120" w:after="120"/>
        <w:rPr>
          <w:rFonts w:cs="Times New Roman"/>
        </w:rPr>
      </w:pPr>
      <w:r>
        <w:rPr>
          <w:rFonts w:cs="Times New Roman"/>
        </w:rPr>
        <w:t xml:space="preserve">Although there is strong significance need for this research, nevertheless, there are several </w:t>
      </w:r>
      <w:r>
        <w:rPr>
          <w:rFonts w:hint="eastAsia" w:cs="Times New Roman"/>
        </w:rPr>
        <w:t>gaps</w:t>
      </w:r>
      <w:r>
        <w:rPr>
          <w:rFonts w:cs="Times New Roman"/>
        </w:rPr>
        <w:t xml:space="preserve"> for this study. Firstly, </w:t>
      </w:r>
      <w:r>
        <w:rPr>
          <w:rFonts w:hint="eastAsia" w:cs="Times New Roman"/>
        </w:rPr>
        <w:t xml:space="preserve">there were abundant literature on western corporate culture influences on specific industries, however rarely linked with education industry in China. Thus </w:t>
      </w:r>
      <w:r>
        <w:rPr>
          <w:rFonts w:cs="Times New Roman"/>
        </w:rPr>
        <w:t xml:space="preserve">the source of the data </w:t>
      </w:r>
      <w:r>
        <w:rPr>
          <w:rFonts w:hint="eastAsia" w:cs="Times New Roman"/>
        </w:rPr>
        <w:t xml:space="preserve">need to be analyzed and verified. </w:t>
      </w:r>
      <w:r>
        <w:rPr>
          <w:rFonts w:cs="Times New Roman"/>
        </w:rPr>
        <w:t xml:space="preserve">Secondly, the academic level of the researcher is limited and he can only be studied in a limited academic context. Lastly, the study will take only </w:t>
      </w:r>
      <w:r>
        <w:rPr>
          <w:rFonts w:hint="eastAsia" w:cs="Times New Roman"/>
        </w:rPr>
        <w:t>several weeks</w:t>
      </w:r>
      <w:r>
        <w:rPr>
          <w:rFonts w:cs="Times New Roman"/>
        </w:rPr>
        <w:t>, which was not enough for the</w:t>
      </w:r>
      <w:r>
        <w:rPr>
          <w:rFonts w:hint="eastAsia" w:cs="Times New Roman"/>
        </w:rPr>
        <w:t xml:space="preserve"> veracity of</w:t>
      </w:r>
      <w:r>
        <w:rPr>
          <w:rFonts w:cs="Times New Roman"/>
        </w:rPr>
        <w:t xml:space="preserve"> study</w:t>
      </w:r>
      <w:r>
        <w:rPr>
          <w:rFonts w:hint="eastAsia" w:cs="Times New Roman"/>
        </w:rPr>
        <w:t>.</w:t>
      </w:r>
    </w:p>
    <w:p>
      <w:pPr>
        <w:pStyle w:val="2"/>
        <w:spacing w:before="360" w:after="120"/>
      </w:pPr>
      <w:r>
        <w:rPr>
          <w:rFonts w:hint="eastAsia"/>
        </w:rPr>
        <w:t>2.6 Theoretical Framework</w:t>
      </w:r>
    </w:p>
    <w:p>
      <w:pPr>
        <w:spacing w:before="120" w:after="120"/>
        <w:jc w:val="center"/>
        <w:rPr>
          <w:rFonts w:cs="Times New Roman"/>
          <w:b/>
          <w:bCs/>
        </w:rPr>
      </w:pPr>
      <w:r>
        <w:rPr>
          <w:rFonts w:hint="eastAsia" w:cs="Times New Roman"/>
          <w:b/>
          <w:bCs/>
        </w:rPr>
        <w:drawing>
          <wp:inline distT="0" distB="0" distL="114300" distR="114300">
            <wp:extent cx="5272405" cy="2974340"/>
            <wp:effectExtent l="0" t="0" r="10795" b="10160"/>
            <wp:docPr id="5" name="图片 5" descr="QQ截图2018092315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80923152832"/>
                    <pic:cNvPicPr>
                      <a:picLocks noChangeAspect="1"/>
                    </pic:cNvPicPr>
                  </pic:nvPicPr>
                  <pic:blipFill>
                    <a:blip r:embed="rId10"/>
                    <a:stretch>
                      <a:fillRect/>
                    </a:stretch>
                  </pic:blipFill>
                  <pic:spPr>
                    <a:xfrm>
                      <a:off x="0" y="0"/>
                      <a:ext cx="5272405" cy="2974340"/>
                    </a:xfrm>
                    <a:prstGeom prst="rect">
                      <a:avLst/>
                    </a:prstGeom>
                  </pic:spPr>
                </pic:pic>
              </a:graphicData>
            </a:graphic>
          </wp:inline>
        </w:drawing>
      </w:r>
    </w:p>
    <w:p>
      <w:pPr>
        <w:spacing w:before="120" w:after="120"/>
        <w:jc w:val="center"/>
        <w:rPr>
          <w:rFonts w:cs="Times New Roman"/>
          <w:sz w:val="22"/>
          <w:szCs w:val="22"/>
        </w:rPr>
      </w:pPr>
      <w:r>
        <w:rPr>
          <w:rFonts w:hint="eastAsia" w:cs="Times New Roman"/>
          <w:i/>
          <w:iCs/>
          <w:sz w:val="22"/>
          <w:szCs w:val="22"/>
        </w:rPr>
        <w:t>Figure1</w:t>
      </w:r>
      <w:r>
        <w:rPr>
          <w:rFonts w:hint="eastAsia" w:cs="Times New Roman"/>
          <w:sz w:val="22"/>
          <w:szCs w:val="22"/>
        </w:rPr>
        <w:t>: Research Framework of the study</w:t>
      </w:r>
    </w:p>
    <w:p>
      <w:pPr>
        <w:spacing w:before="120" w:after="120"/>
        <w:jc w:val="center"/>
        <w:rPr>
          <w:rFonts w:cs="Times New Roman"/>
          <w:b/>
          <w:bCs/>
        </w:rPr>
      </w:pPr>
      <w:r>
        <w:rPr>
          <w:rFonts w:hint="eastAsia" w:cs="Times New Roman"/>
          <w:i/>
          <w:iCs/>
          <w:sz w:val="22"/>
          <w:szCs w:val="22"/>
        </w:rPr>
        <w:t>Source</w:t>
      </w:r>
      <w:r>
        <w:rPr>
          <w:rFonts w:hint="eastAsia" w:cs="Times New Roman"/>
          <w:sz w:val="22"/>
          <w:szCs w:val="22"/>
        </w:rPr>
        <w:t>: Self Built(2018)</w:t>
      </w:r>
    </w:p>
    <w:p>
      <w:pPr>
        <w:spacing w:before="120" w:after="120"/>
        <w:rPr>
          <w:rFonts w:cs="Times New Roman"/>
        </w:rPr>
      </w:pPr>
      <w:r>
        <w:rPr>
          <w:rFonts w:hint="eastAsia" w:cs="Times New Roman"/>
        </w:rPr>
        <w:t>One of the objectives of this study would be to determine the types of corporate culture which would affect the performance of education industry in China. There could be many factors which could play a role in these influences, however for this research, by using Deal &amp; Kennedy</w:t>
      </w:r>
      <w:r>
        <w:rPr>
          <w:rFonts w:cs="Times New Roman"/>
        </w:rPr>
        <w:t>’</w:t>
      </w:r>
      <w:r>
        <w:rPr>
          <w:rFonts w:hint="eastAsia" w:cs="Times New Roman"/>
        </w:rPr>
        <w:t>s corporate culture dimensions and Trompenaars cultural dimensions to measure western corporate culture.</w:t>
      </w:r>
    </w:p>
    <w:p>
      <w:pPr>
        <w:spacing w:before="120" w:after="120"/>
        <w:rPr>
          <w:rFonts w:cs="Times New Roman"/>
        </w:rPr>
      </w:pPr>
      <w:r>
        <w:rPr>
          <w:rFonts w:hint="eastAsia" w:cs="Times New Roman"/>
        </w:rPr>
        <w:t>Hence for the Independent variables (IV) which will be Deal &amp; Kennedy</w:t>
      </w:r>
      <w:r>
        <w:rPr>
          <w:rFonts w:cs="Times New Roman"/>
        </w:rPr>
        <w:t>’</w:t>
      </w:r>
      <w:r>
        <w:rPr>
          <w:rFonts w:hint="eastAsia" w:cs="Times New Roman"/>
        </w:rPr>
        <w:t>s corporate culture dimensions and Trompenaars cultural dimensions, and the relationship it has with the dependent variable (DV), which would be the performance of education industry in China and to understand the relationship, hypotheses was developed to be tested.</w:t>
      </w:r>
    </w:p>
    <w:p>
      <w:pPr>
        <w:pStyle w:val="2"/>
        <w:spacing w:before="360" w:after="120"/>
      </w:pPr>
      <w:r>
        <w:rPr>
          <w:rFonts w:hint="eastAsia"/>
        </w:rPr>
        <w:t>2.7 Hypotheses</w:t>
      </w:r>
    </w:p>
    <w:p>
      <w:pPr>
        <w:spacing w:before="120" w:after="120"/>
        <w:rPr>
          <w:rFonts w:cs="Times New Roman"/>
        </w:rPr>
      </w:pPr>
      <w:r>
        <w:rPr>
          <w:rFonts w:cs="Times New Roman"/>
          <w:b/>
          <w:bCs/>
        </w:rPr>
        <w:t>H1</w:t>
      </w:r>
      <w:r>
        <w:rPr>
          <w:rFonts w:hint="eastAsia" w:cs="Times New Roman"/>
          <w:b/>
          <w:bCs/>
        </w:rPr>
        <w:t xml:space="preserve">: </w:t>
      </w:r>
      <w:r>
        <w:rPr>
          <w:rFonts w:hint="eastAsia" w:cs="Times New Roman"/>
        </w:rPr>
        <w:t>Deal &amp; Kennedy</w:t>
      </w:r>
      <w:r>
        <w:rPr>
          <w:rFonts w:cs="Times New Roman"/>
        </w:rPr>
        <w:t>’</w:t>
      </w:r>
      <w:r>
        <w:rPr>
          <w:rFonts w:hint="eastAsia" w:cs="Times New Roman"/>
        </w:rPr>
        <w:t>s corporate culture dimensions has a significant influence on the performance of education industry in China.</w:t>
      </w:r>
    </w:p>
    <w:p>
      <w:pPr>
        <w:spacing w:before="120" w:after="120"/>
        <w:rPr>
          <w:rFonts w:cs="Times New Roman"/>
          <w:b/>
          <w:bCs/>
        </w:rPr>
      </w:pPr>
      <w:r>
        <w:rPr>
          <w:rFonts w:cs="Times New Roman"/>
          <w:b/>
          <w:bCs/>
        </w:rPr>
        <w:t>H2:</w:t>
      </w:r>
      <w:r>
        <w:rPr>
          <w:rFonts w:hint="eastAsia" w:cs="Times New Roman"/>
          <w:b/>
          <w:bCs/>
        </w:rPr>
        <w:t xml:space="preserve"> </w:t>
      </w:r>
      <w:r>
        <w:rPr>
          <w:rFonts w:hint="eastAsia" w:cs="Times New Roman"/>
        </w:rPr>
        <w:t>Trompenaars cultural dimensions has a significant influence on the performance of education industry in China.</w:t>
      </w:r>
    </w:p>
    <w:p>
      <w:pPr>
        <w:pStyle w:val="2"/>
        <w:spacing w:before="360" w:after="120"/>
      </w:pPr>
      <w:r>
        <w:rPr>
          <w:rFonts w:hint="eastAsia"/>
        </w:rPr>
        <w:t>2.8 Conclusion</w:t>
      </w:r>
    </w:p>
    <w:p>
      <w:pPr>
        <w:spacing w:before="120" w:after="120"/>
      </w:pPr>
      <w:r>
        <w:rPr>
          <w:rFonts w:cs="Times New Roman"/>
        </w:rPr>
        <w:t>The chapter included several main contents as the western corporate culture influences on the performance of education industry in China. To understand the factor in more depth, this research look into Deal</w:t>
      </w:r>
      <w:r>
        <w:rPr>
          <w:rFonts w:hint="eastAsia" w:cs="Times New Roman"/>
        </w:rPr>
        <w:t xml:space="preserve"> </w:t>
      </w:r>
      <w:r>
        <w:rPr>
          <w:rFonts w:cs="Times New Roman"/>
        </w:rPr>
        <w:t>&amp;</w:t>
      </w:r>
      <w:r>
        <w:rPr>
          <w:rFonts w:hint="eastAsia" w:cs="Times New Roman"/>
        </w:rPr>
        <w:t xml:space="preserve"> </w:t>
      </w:r>
      <w:r>
        <w:rPr>
          <w:rFonts w:cs="Times New Roman"/>
        </w:rPr>
        <w:t>Kennedy’s and Trompenaar’s theor</w:t>
      </w:r>
      <w:r>
        <w:rPr>
          <w:rFonts w:hint="eastAsia" w:cs="Times New Roman"/>
        </w:rPr>
        <w:t>ies</w:t>
      </w:r>
      <w:r>
        <w:rPr>
          <w:rFonts w:cs="Times New Roman"/>
        </w:rPr>
        <w:t xml:space="preserve"> in detail,</w:t>
      </w:r>
      <w:r>
        <w:rPr>
          <w:rFonts w:hint="eastAsia" w:cs="Times New Roman"/>
        </w:rPr>
        <w:t xml:space="preserve"> </w:t>
      </w:r>
      <w:r>
        <w:t>in order to find the answer on</w:t>
      </w:r>
      <w:r>
        <w:rPr>
          <w:rFonts w:hint="eastAsia"/>
        </w:rPr>
        <w:t xml:space="preserve"> how strong are those cultural factors influencing on the education industry in China.</w:t>
      </w:r>
      <w:bookmarkStart w:id="155" w:name="_Toc11573_WPSOffice_Level1"/>
      <w:bookmarkStart w:id="156" w:name="_Toc30159_WPSOffice_Level1"/>
      <w:bookmarkStart w:id="157" w:name="_Toc28100_WPSOffice_Level1"/>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pStyle w:val="2"/>
        <w:spacing w:before="360" w:after="120"/>
      </w:pPr>
      <w:r>
        <w:t>CHAPTER 3</w:t>
      </w:r>
      <w:r>
        <w:rPr>
          <w:rFonts w:hint="eastAsia"/>
        </w:rPr>
        <w:t xml:space="preserve">. </w:t>
      </w:r>
      <w:r>
        <w:t>RESEARCH METHODOLOGY</w:t>
      </w:r>
      <w:bookmarkEnd w:id="155"/>
      <w:bookmarkEnd w:id="156"/>
      <w:bookmarkEnd w:id="157"/>
    </w:p>
    <w:p>
      <w:pPr>
        <w:pStyle w:val="2"/>
        <w:spacing w:before="360" w:after="120"/>
      </w:pPr>
      <w:bookmarkStart w:id="158" w:name="_Toc25623_WPSOffice_Level1"/>
      <w:bookmarkStart w:id="159" w:name="_Toc19372_WPSOffice_Level1"/>
      <w:bookmarkStart w:id="160" w:name="_Toc29480_WPSOffice_Level1"/>
      <w:r>
        <w:rPr>
          <w:rFonts w:hint="eastAsia"/>
        </w:rPr>
        <w:t>3.0 Overview</w:t>
      </w:r>
      <w:bookmarkEnd w:id="158"/>
      <w:bookmarkEnd w:id="159"/>
      <w:bookmarkEnd w:id="160"/>
    </w:p>
    <w:p>
      <w:pPr>
        <w:spacing w:before="120" w:after="120"/>
      </w:pPr>
      <w:r>
        <w:t>This chapter will provide an overview of the research design and research methodology that are going to be executed in this study. First of all, research design will cover the purpose of the study, types of investigation, extent of research interference and the study setting. Next, this section will look into unit of analysis, sampling plan, as well as time horizon. Data collection method will be the next where questionnaire design and items will be further explained. Measurements will be the last part of this section, to discuss about pilot test, preliminary analyses, factor analysis, reliability test, and hypothesis testing.</w:t>
      </w:r>
    </w:p>
    <w:p>
      <w:pPr>
        <w:pStyle w:val="2"/>
        <w:spacing w:before="360" w:after="120"/>
      </w:pPr>
      <w:bookmarkStart w:id="161" w:name="_Toc29596_WPSOffice_Level2"/>
      <w:bookmarkStart w:id="162" w:name="_Toc30159_WPSOffice_Level2"/>
      <w:bookmarkStart w:id="163" w:name="_Toc6430_WPSOffice_Level2"/>
      <w:r>
        <w:rPr>
          <w:rFonts w:hint="eastAsia"/>
        </w:rPr>
        <w:t>3.1 Research design</w:t>
      </w:r>
      <w:bookmarkEnd w:id="161"/>
      <w:bookmarkEnd w:id="162"/>
      <w:bookmarkEnd w:id="163"/>
    </w:p>
    <w:p>
      <w:pPr>
        <w:spacing w:before="120" w:after="120"/>
        <w:jc w:val="center"/>
        <w:rPr>
          <w:lang w:eastAsia="en-US"/>
        </w:rPr>
      </w:pPr>
      <w:r>
        <w:rPr>
          <w:lang w:eastAsia="en-US"/>
        </w:rPr>
        <w:drawing>
          <wp:inline distT="0" distB="0" distL="0" distR="0">
            <wp:extent cx="5379085" cy="3216275"/>
            <wp:effectExtent l="0" t="0" r="571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11"/>
                    <a:stretch>
                      <a:fillRect/>
                    </a:stretch>
                  </pic:blipFill>
                  <pic:spPr>
                    <a:xfrm>
                      <a:off x="0" y="0"/>
                      <a:ext cx="5379085" cy="3216275"/>
                    </a:xfrm>
                    <a:prstGeom prst="rect">
                      <a:avLst/>
                    </a:prstGeom>
                  </pic:spPr>
                </pic:pic>
              </a:graphicData>
            </a:graphic>
          </wp:inline>
        </w:drawing>
      </w:r>
    </w:p>
    <w:p>
      <w:pPr>
        <w:spacing w:before="120" w:after="120"/>
        <w:jc w:val="center"/>
        <w:rPr>
          <w:rFonts w:cs="Arial"/>
        </w:rPr>
      </w:pPr>
      <w:r>
        <w:rPr>
          <w:rFonts w:cs="Arial"/>
          <w:i/>
        </w:rPr>
        <w:t xml:space="preserve">Figure </w:t>
      </w:r>
      <w:r>
        <w:rPr>
          <w:rFonts w:hint="eastAsia" w:cs="Arial"/>
          <w:i/>
        </w:rPr>
        <w:t>2</w:t>
      </w:r>
      <w:r>
        <w:rPr>
          <w:rFonts w:cs="Arial"/>
        </w:rPr>
        <w:t xml:space="preserve">: </w:t>
      </w:r>
      <w:r>
        <w:rPr>
          <w:rFonts w:cs="Arial"/>
          <w:sz w:val="22"/>
          <w:szCs w:val="22"/>
        </w:rPr>
        <w:t>Research Design</w:t>
      </w:r>
    </w:p>
    <w:p>
      <w:pPr>
        <w:spacing w:before="120" w:after="120"/>
        <w:jc w:val="center"/>
      </w:pPr>
      <w:r>
        <w:rPr>
          <w:rFonts w:cs="Arial"/>
          <w:i/>
        </w:rPr>
        <w:t>Source</w:t>
      </w:r>
      <w:r>
        <w:rPr>
          <w:rFonts w:cs="Arial"/>
        </w:rPr>
        <w:t xml:space="preserve">: </w:t>
      </w:r>
      <w:r>
        <w:rPr>
          <w:rFonts w:cs="Arial"/>
          <w:sz w:val="22"/>
          <w:szCs w:val="22"/>
        </w:rPr>
        <w:t>adapted from Bougie and Sekaran</w:t>
      </w:r>
      <w:r>
        <w:rPr>
          <w:rFonts w:cs="Arial"/>
        </w:rPr>
        <w:t xml:space="preserve"> (2016)</w:t>
      </w:r>
    </w:p>
    <w:p>
      <w:pPr>
        <w:spacing w:before="120" w:after="120"/>
      </w:pPr>
      <w:r>
        <w:t xml:space="preserve">Kothari (2013) defines research design as a method used to determine the causes and types of information which relate to the research issues, and it also specify which approaches to be used for data gathering and analyzing. </w:t>
      </w:r>
      <w:r>
        <w:rPr>
          <w:rFonts w:hint="eastAsia"/>
        </w:rPr>
        <w:t>The f</w:t>
      </w:r>
      <w:r>
        <w:t xml:space="preserve">igure shows the overview of the research methodology structure. Each part of the structure in research design carries multiple critical points of choices which researchers need to take into consideration throughout the research process (Bougie and Sekaran, 2016). </w:t>
      </w:r>
    </w:p>
    <w:p>
      <w:pPr>
        <w:spacing w:before="120" w:after="120"/>
      </w:pPr>
      <w:r>
        <w:t>Organization studies generally employ quantitative research methods as these are considered as objective in comparison to qualitative research methods, which are subjective and therefore, less reliable (Boodhoo and Purmessur, 2009). According to the research design, this research should use qualitative case study, case study simply refer to the documented history of a particular person,</w:t>
      </w:r>
      <w:r>
        <w:rPr>
          <w:rFonts w:hint="eastAsia"/>
        </w:rPr>
        <w:t xml:space="preserve"> </w:t>
      </w:r>
      <w:r>
        <w:t>group organization,</w:t>
      </w:r>
      <w:r>
        <w:rPr>
          <w:rFonts w:hint="eastAsia"/>
        </w:rPr>
        <w:t xml:space="preserve"> </w:t>
      </w:r>
      <w:r>
        <w:t>or event, typically, a case study may describe the events of a specific company as it faces an important decision or situation,such as introducing a new product or dealing with some management crisis (Harwell, 2011). The cross-sectional studies involves observations of a sample,or cross section,o</w:t>
      </w:r>
      <w:r>
        <w:rPr>
          <w:rFonts w:hint="eastAsia"/>
        </w:rPr>
        <w:t>r</w:t>
      </w:r>
      <w:r>
        <w:t xml:space="preserve"> a population phenomenon that are made at one point in time, exploratory and descriptive studies are often cross sectional, Many explanatory studies are also cross-sectional</w:t>
      </w:r>
      <w:r>
        <w:rPr>
          <w:rFonts w:hint="eastAsia"/>
        </w:rPr>
        <w:t xml:space="preserve"> </w:t>
      </w:r>
      <w:r>
        <w:rPr>
          <w:rFonts w:eastAsia="Arial" w:cs="Times New Roman"/>
          <w:color w:val="000000" w:themeColor="text1"/>
          <w14:textFill>
            <w14:solidFill>
              <w14:schemeClr w14:val="tx1"/>
            </w14:solidFill>
          </w14:textFill>
        </w:rPr>
        <w:t>(Mansson, 2001)</w:t>
      </w:r>
      <w:r>
        <w:rPr>
          <w:rFonts w:hint="eastAsia"/>
        </w:rPr>
        <w:t xml:space="preserve">. </w:t>
      </w:r>
      <w:r>
        <w:t>The explanatory cross-sectional studies have an inherent problem (Earl, 2009). According to Baxter and Jack (2008), the case study approach is to explore a phenomenon within its context using various data sources.</w:t>
      </w:r>
    </w:p>
    <w:p>
      <w:pPr>
        <w:spacing w:before="120" w:after="120"/>
      </w:pPr>
      <w:r>
        <w:t xml:space="preserve">When a research is establishing relationship of same variables in two populations, or between two or more variables in a single population, this type of investigation is known as correlational research (Leedy and Ormrod, 2010). This research contains </w:t>
      </w:r>
      <w:r>
        <w:rPr>
          <w:rFonts w:hint="eastAsia"/>
        </w:rPr>
        <w:t>two</w:t>
      </w:r>
      <w:r>
        <w:t xml:space="preserve"> variables which are </w:t>
      </w:r>
      <w:r>
        <w:rPr>
          <w:rFonts w:hint="eastAsia"/>
        </w:rPr>
        <w:t>the two construct of dimensions of corporate culture</w:t>
      </w:r>
      <w:r>
        <w:t xml:space="preserve">. The study is to determine the relationship established between these </w:t>
      </w:r>
      <w:r>
        <w:rPr>
          <w:rFonts w:hint="eastAsia"/>
        </w:rPr>
        <w:t>two</w:t>
      </w:r>
      <w:r>
        <w:t xml:space="preserve"> variables with </w:t>
      </w:r>
      <w:r>
        <w:rPr>
          <w:rFonts w:hint="eastAsia"/>
        </w:rPr>
        <w:t>the performance of education industry in China</w:t>
      </w:r>
      <w:r>
        <w:t>. Based on all these, this study is said to be focusing on correlational type of research.</w:t>
      </w:r>
    </w:p>
    <w:p>
      <w:pPr>
        <w:spacing w:before="120" w:after="120"/>
      </w:pPr>
      <w:r>
        <w:t>The extend of researcher interference of this study is minimal, in fact near zero, because it is studying events as they normally occur and it is just obtaining perceptions of respondents. According to Rahi (2017), when a researcher influence becomes minimum, it is categorized under non-contrived type of research setting. Furthermore, this research is done in an organization where work proceeds normally and since it is not manipulating any variables or factors, hence, this research is said to be a non-contrive field of study. Bougie and Sekaran (2016) found that the external validity of a research tends to be higher, given that if the research is using non-contrived</w:t>
      </w:r>
      <w:r>
        <w:rPr>
          <w:rFonts w:hint="eastAsia"/>
        </w:rPr>
        <w:t xml:space="preserve"> environment because the research must be under no manipulation circumstance. Also, the extent of interference from researcher is minimum because it will be no interfered with the normal activities of the study.</w:t>
      </w:r>
    </w:p>
    <w:p>
      <w:pPr>
        <w:pStyle w:val="2"/>
        <w:spacing w:before="360" w:after="120"/>
      </w:pPr>
      <w:bookmarkStart w:id="164" w:name="_Toc11847_WPSOffice_Level2"/>
      <w:bookmarkStart w:id="165" w:name="_Toc20249_WPSOffice_Level2"/>
      <w:bookmarkStart w:id="166" w:name="_Toc29480_WPSOffice_Level2"/>
      <w:r>
        <w:rPr>
          <w:rFonts w:hint="eastAsia"/>
        </w:rPr>
        <w:t>3.2 Unit of analysis &amp; Time horizon</w:t>
      </w:r>
      <w:bookmarkEnd w:id="164"/>
      <w:bookmarkEnd w:id="165"/>
      <w:bookmarkEnd w:id="166"/>
    </w:p>
    <w:p>
      <w:pPr>
        <w:spacing w:before="120" w:after="120"/>
        <w:rPr>
          <w:rFonts w:eastAsia="宋体"/>
        </w:rPr>
      </w:pPr>
      <w:r>
        <w:rPr>
          <w:rFonts w:hint="eastAsia"/>
        </w:rPr>
        <w:t>According to Morse and Niehaus (2009), a good sampling methods can help to maximize the efficiency and the validity of the study. Thus, essentially, choosing a suitable sampling method is critical to the aim of the study</w:t>
      </w:r>
      <w:r>
        <w:rPr>
          <w:rFonts w:hint="eastAsia" w:eastAsia="宋体"/>
        </w:rPr>
        <w:t>. T</w:t>
      </w:r>
      <w:r>
        <w:t xml:space="preserve">his study will focus on </w:t>
      </w:r>
      <w:r>
        <w:rPr>
          <w:rFonts w:hint="eastAsia" w:eastAsia="宋体"/>
        </w:rPr>
        <w:t>many types of educational</w:t>
      </w:r>
      <w:r>
        <w:t xml:space="preserve"> organizations</w:t>
      </w:r>
      <w:r>
        <w:rPr>
          <w:rFonts w:hint="eastAsia"/>
        </w:rPr>
        <w:t xml:space="preserve"> or institutions</w:t>
      </w:r>
      <w:r>
        <w:t xml:space="preserve">, such as the </w:t>
      </w:r>
      <w:r>
        <w:rPr>
          <w:rFonts w:hint="eastAsia" w:eastAsia="宋体"/>
        </w:rPr>
        <w:t>public</w:t>
      </w:r>
      <w:r>
        <w:t xml:space="preserve"> and private </w:t>
      </w:r>
      <w:r>
        <w:rPr>
          <w:rFonts w:hint="eastAsia" w:eastAsia="宋体"/>
        </w:rPr>
        <w:t>schools an universities</w:t>
      </w:r>
      <w:r>
        <w:t xml:space="preserve">, </w:t>
      </w:r>
      <w:r>
        <w:rPr>
          <w:rFonts w:hint="eastAsia" w:eastAsia="宋体"/>
        </w:rPr>
        <w:t xml:space="preserve">tutoring institutions, etc. Because the study is focused on the performance of education industry in China, therefore, the unit of analysis is deemed to be organization. </w:t>
      </w:r>
      <w:r>
        <w:t>The time scale for this study will be cross sectional as the questionnaires of the target population and data collection will be conducted at a single moment in time, that is at the moment the interview is recorded and the moment the questionnaires are collected (Levin, 2006)</w:t>
      </w:r>
      <w:r>
        <w:rPr>
          <w:rFonts w:hint="eastAsia" w:eastAsia="宋体"/>
        </w:rPr>
        <w:t>.</w:t>
      </w:r>
    </w:p>
    <w:p>
      <w:pPr>
        <w:spacing w:before="120" w:after="120"/>
      </w:pPr>
      <w:r>
        <w:rPr>
          <w:rFonts w:hint="eastAsia"/>
        </w:rPr>
        <w:t xml:space="preserve">This research is applying cross-sectional studies, which also known as one-shot </w:t>
      </w:r>
      <w:r>
        <w:rPr>
          <w:rFonts w:eastAsia="Arial" w:cs="Times New Roman"/>
          <w:color w:val="000000" w:themeColor="text1"/>
          <w14:textFill>
            <w14:solidFill>
              <w14:schemeClr w14:val="tx1"/>
            </w14:solidFill>
          </w14:textFill>
        </w:rPr>
        <w:t>(Sahai and Khurshid, 1996)</w:t>
      </w:r>
      <w:r>
        <w:rPr>
          <w:rFonts w:cs="Times New Roman"/>
          <w:color w:val="000000" w:themeColor="text1"/>
          <w14:textFill>
            <w14:solidFill>
              <w14:schemeClr w14:val="tx1"/>
            </w14:solidFill>
          </w14:textFill>
        </w:rPr>
        <w:t xml:space="preserve">. </w:t>
      </w:r>
      <w:r>
        <w:rPr>
          <w:rFonts w:hint="eastAsia"/>
        </w:rPr>
        <w:t>Cross-sectional studies refer to a situation where the data are gathered just once, maybe get over a period of days or weeks or months, for participants to answer the research questions (Bougie and Sekaran, 2016). According to Fox, Hunn and Mathers (2007), this design normally uses a descriptive or exploratory form which easily sets out to illustrate behavior or attitudes. As data for the questionnaires in this research will only be collected once, therefore, it is said to be cross-sectional studies.</w:t>
      </w:r>
    </w:p>
    <w:p>
      <w:pPr>
        <w:pStyle w:val="2"/>
        <w:spacing w:before="360" w:after="120"/>
      </w:pPr>
      <w:bookmarkStart w:id="167" w:name="_Toc4673_WPSOffice_Level2"/>
      <w:bookmarkStart w:id="168" w:name="_Toc21475_WPSOffice_Level2"/>
      <w:bookmarkStart w:id="169" w:name="_Toc19390_WPSOffice_Level2"/>
      <w:r>
        <w:rPr>
          <w:rFonts w:hint="eastAsia"/>
        </w:rPr>
        <w:t>3.3 Sampling design</w:t>
      </w:r>
      <w:bookmarkEnd w:id="167"/>
      <w:bookmarkEnd w:id="168"/>
      <w:bookmarkEnd w:id="169"/>
    </w:p>
    <w:p>
      <w:pPr>
        <w:pStyle w:val="4"/>
        <w:spacing w:before="120" w:after="120"/>
      </w:pPr>
      <w:bookmarkStart w:id="170" w:name="_Toc30159_WPSOffice_Level3"/>
      <w:bookmarkStart w:id="171" w:name="_Toc7676_WPSOffice_Level3"/>
      <w:r>
        <w:rPr>
          <w:rFonts w:hint="eastAsia"/>
        </w:rPr>
        <w:t>3.3.1 Sampling plan</w:t>
      </w:r>
      <w:bookmarkEnd w:id="170"/>
      <w:bookmarkEnd w:id="171"/>
    </w:p>
    <w:p>
      <w:pPr>
        <w:spacing w:before="120" w:after="120"/>
        <w:rPr>
          <w:rFonts w:cs="Times New Roman"/>
        </w:rPr>
      </w:pPr>
      <w:r>
        <w:rPr>
          <w:rFonts w:cs="Times New Roman"/>
        </w:rPr>
        <w:t>Sampling is the process of selecting a sufficient number of the right elements from the population (Sekaran and Bougie, 2013). There are two major types of sampling design which are probability and nonprobability (Cooper and Schindler, 2011). A non-probability sampling technique is used in selecting participants in this study.</w:t>
      </w:r>
      <w:r>
        <w:rPr>
          <w:rFonts w:hint="eastAsia" w:eastAsia="宋体" w:cs="Times New Roman"/>
        </w:rPr>
        <w:t xml:space="preserve"> </w:t>
      </w:r>
      <w:r>
        <w:rPr>
          <w:rFonts w:cs="Times New Roman"/>
        </w:rPr>
        <w:t xml:space="preserve">Non-probability sampling method is used because this research uses a non-randomized method to draw the sample, and the selected participants in this study are easy to access (Parveen and Showkat, 2017). According to Bougie and Sekaran (2016), non-probability technique is a tool used in a research when the member of the target population is unknown. </w:t>
      </w:r>
    </w:p>
    <w:p>
      <w:pPr>
        <w:spacing w:before="120" w:after="120"/>
        <w:rPr>
          <w:rFonts w:cs="Times New Roman"/>
        </w:rPr>
      </w:pPr>
      <w:r>
        <w:rPr>
          <w:rFonts w:cs="Times New Roman"/>
        </w:rPr>
        <w:t>Convenience sampling used in design of nonprobability sampling because the data collection from respondents of the population who are conveniently available to provide it (Cooper and Schindler, 2011). Ponte et al. (2015) used convenience sampling in research of online purchase through online survey. Convenience sampling was chosen because it is the best way for data collection due to it was the fastest and efficient way due to very limited time of the project</w:t>
      </w:r>
      <w:r>
        <w:rPr>
          <w:rFonts w:hint="eastAsia" w:cs="Times New Roman"/>
        </w:rPr>
        <w:t xml:space="preserve"> (</w:t>
      </w:r>
      <w:r>
        <w:rPr>
          <w:rFonts w:cs="Times New Roman"/>
        </w:rPr>
        <w:t xml:space="preserve">Sekaran and Bougie, 2013). </w:t>
      </w:r>
    </w:p>
    <w:p>
      <w:pPr>
        <w:spacing w:before="120" w:after="120"/>
        <w:rPr>
          <w:rFonts w:eastAsia="宋体" w:cs="Times New Roman"/>
        </w:rPr>
      </w:pPr>
      <w:r>
        <w:rPr>
          <w:rFonts w:hint="eastAsia" w:eastAsia="宋体" w:cs="Times New Roman"/>
        </w:rPr>
        <w:t>In this research, the target organization is a number of the Chinese education institutions which were purposely chose by researcher. Those are well-known educational organizations and have good public awareness. Most importantly, they  have strong association with western corporate culture. Thus the researcher chose those institutions as c</w:t>
      </w:r>
      <w:r>
        <w:rPr>
          <w:rFonts w:cs="Times New Roman"/>
        </w:rPr>
        <w:t>onvenience sampling</w:t>
      </w:r>
      <w:r>
        <w:rPr>
          <w:rFonts w:hint="eastAsia" w:eastAsia="宋体" w:cs="Times New Roman"/>
        </w:rPr>
        <w:t>.</w:t>
      </w:r>
    </w:p>
    <w:p>
      <w:pPr>
        <w:spacing w:before="120" w:after="120"/>
      </w:pPr>
    </w:p>
    <w:p>
      <w:pPr>
        <w:pStyle w:val="3"/>
        <w:spacing w:before="120" w:after="120"/>
        <w:rPr>
          <w:rStyle w:val="19"/>
          <w:b/>
        </w:rPr>
      </w:pPr>
      <w:bookmarkStart w:id="172" w:name="_Toc28883_WPSOffice_Level3"/>
      <w:bookmarkStart w:id="173" w:name="_Toc29480_WPSOffice_Level3"/>
      <w:r>
        <w:rPr>
          <w:rStyle w:val="19"/>
          <w:rFonts w:hint="eastAsia"/>
          <w:b/>
        </w:rPr>
        <w:t>3.3.2 Sample size</w:t>
      </w:r>
      <w:bookmarkEnd w:id="172"/>
      <w:bookmarkEnd w:id="173"/>
    </w:p>
    <w:p>
      <w:pPr>
        <w:spacing w:before="120" w:after="120"/>
        <w:jc w:val="center"/>
      </w:pPr>
      <w:r>
        <w:rPr>
          <w:rFonts w:ascii="Arial" w:hAnsi="Arial" w:cs="Arial"/>
        </w:rPr>
        <w:drawing>
          <wp:inline distT="0" distB="0" distL="0" distR="0">
            <wp:extent cx="5079365" cy="33909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079365" cy="3390900"/>
                    </a:xfrm>
                    <a:prstGeom prst="rect">
                      <a:avLst/>
                    </a:prstGeom>
                  </pic:spPr>
                </pic:pic>
              </a:graphicData>
            </a:graphic>
          </wp:inline>
        </w:drawing>
      </w:r>
    </w:p>
    <w:p>
      <w:pPr>
        <w:spacing w:before="120" w:after="120"/>
        <w:ind w:firstLine="3080" w:firstLineChars="1400"/>
        <w:rPr>
          <w:sz w:val="22"/>
          <w:szCs w:val="22"/>
        </w:rPr>
      </w:pPr>
      <w:r>
        <w:rPr>
          <w:rFonts w:hint="eastAsia"/>
          <w:i/>
          <w:iCs/>
          <w:sz w:val="22"/>
          <w:szCs w:val="22"/>
        </w:rPr>
        <w:t>Figure 3</w:t>
      </w:r>
      <w:r>
        <w:rPr>
          <w:sz w:val="22"/>
          <w:szCs w:val="22"/>
        </w:rPr>
        <w:t xml:space="preserve"> : The Krejcie and Morgan’s Table</w:t>
      </w:r>
    </w:p>
    <w:p>
      <w:pPr>
        <w:spacing w:before="120" w:after="120"/>
        <w:jc w:val="center"/>
        <w:rPr>
          <w:sz w:val="22"/>
          <w:szCs w:val="22"/>
        </w:rPr>
      </w:pPr>
      <w:r>
        <w:rPr>
          <w:rFonts w:hint="eastAsia"/>
          <w:i/>
          <w:iCs/>
          <w:sz w:val="22"/>
          <w:szCs w:val="22"/>
        </w:rPr>
        <w:t>Source</w:t>
      </w:r>
      <w:r>
        <w:rPr>
          <w:rFonts w:hint="eastAsia"/>
          <w:sz w:val="22"/>
          <w:szCs w:val="22"/>
        </w:rPr>
        <w:t>: Google images</w:t>
      </w:r>
    </w:p>
    <w:p>
      <w:pPr>
        <w:spacing w:before="120" w:after="120"/>
        <w:jc w:val="center"/>
        <w:rPr>
          <w:sz w:val="22"/>
          <w:szCs w:val="22"/>
        </w:rPr>
      </w:pPr>
    </w:p>
    <w:p>
      <w:pPr>
        <w:spacing w:before="120" w:after="120"/>
      </w:pPr>
      <w:r>
        <w:t xml:space="preserve">In this research study, the Krejcie and Morgan’s table will be used to determine the sample size. </w:t>
      </w:r>
      <w:r>
        <w:rPr>
          <w:rFonts w:hint="eastAsia"/>
        </w:rPr>
        <w:t>According to former research,</w:t>
      </w:r>
      <w:r>
        <w:t xml:space="preserve"> China already has more than 100,000 education institutions in 2013.</w:t>
      </w:r>
      <w:r>
        <w:rPr>
          <w:rFonts w:hint="eastAsia"/>
        </w:rPr>
        <w:t xml:space="preserve"> Therefore, in this research, t</w:t>
      </w:r>
      <w:r>
        <w:t xml:space="preserve">he sample size is 384 which represent </w:t>
      </w:r>
      <w:r>
        <w:rPr>
          <w:rFonts w:hint="eastAsia"/>
        </w:rPr>
        <w:t xml:space="preserve">over </w:t>
      </w:r>
      <w:r>
        <w:t xml:space="preserve">100 000 population size and </w:t>
      </w:r>
      <w:r>
        <w:rPr>
          <w:rFonts w:hint="eastAsia"/>
        </w:rPr>
        <w:t xml:space="preserve">around 400 </w:t>
      </w:r>
      <w:r>
        <w:t>questionnaires will be distributed in this research.</w:t>
      </w:r>
    </w:p>
    <w:p>
      <w:pPr>
        <w:pStyle w:val="2"/>
        <w:spacing w:before="360" w:after="120"/>
      </w:pPr>
      <w:bookmarkStart w:id="174" w:name="_Toc30082_WPSOffice_Level2"/>
      <w:bookmarkStart w:id="175" w:name="_Toc10659_WPSOffice_Level2"/>
      <w:bookmarkStart w:id="176" w:name="_Toc28662_WPSOffice_Level2"/>
      <w:r>
        <w:t>3.4 Questionnaire Design</w:t>
      </w:r>
      <w:bookmarkEnd w:id="174"/>
      <w:bookmarkEnd w:id="175"/>
      <w:bookmarkEnd w:id="176"/>
    </w:p>
    <w:p>
      <w:pPr>
        <w:spacing w:before="120" w:after="120"/>
      </w:pPr>
      <w:r>
        <w:rPr>
          <w:rFonts w:hint="eastAsia"/>
        </w:rPr>
        <w:t>T</w:t>
      </w:r>
      <w:r>
        <w:t>he method of data collection is commonly used questionnaire to distribute target respondents</w:t>
      </w:r>
      <w:r>
        <w:rPr>
          <w:rFonts w:hint="eastAsia"/>
        </w:rPr>
        <w:t xml:space="preserve"> a</w:t>
      </w:r>
      <w:r>
        <w:t>ccording to Cooper and Schindler (2011). Questionnaire are practical and the results usually be quickly and easily quantified through software package. The responses are collected in a consistent way</w:t>
      </w:r>
      <w:r>
        <w:rPr>
          <w:rFonts w:hint="eastAsia"/>
        </w:rPr>
        <w:t>.</w:t>
      </w:r>
      <w:r>
        <w:t xml:space="preserve"> In </w:t>
      </w:r>
      <w:r>
        <w:rPr>
          <w:rFonts w:hint="eastAsia"/>
        </w:rPr>
        <w:t>short</w:t>
      </w:r>
      <w:r>
        <w:t xml:space="preserve">, it is relatively quick to collect information using a questionnaire. </w:t>
      </w:r>
    </w:p>
    <w:p>
      <w:pPr>
        <w:spacing w:before="120" w:after="120"/>
      </w:pPr>
      <w:r>
        <w:rPr>
          <w:rFonts w:cs="Times New Roman"/>
        </w:rPr>
        <w:t>The table below provides a better illustration on how the questions are designed in the questionnaires, and citations of where the questions are referred to.</w:t>
      </w:r>
    </w:p>
    <w:p>
      <w:pPr>
        <w:spacing w:before="120" w:after="120"/>
      </w:pPr>
      <w:r>
        <w:rPr>
          <w:rFonts w:hint="eastAsia" w:cs="Times New Roman"/>
          <w:i/>
          <w:iCs/>
        </w:rPr>
        <w:t>Table 3.1</w:t>
      </w:r>
      <w:r>
        <w:rPr>
          <w:rFonts w:hint="eastAsia" w:cs="Times New Roman"/>
        </w:rPr>
        <w:t xml:space="preserve">: </w:t>
      </w:r>
      <w:r>
        <w:t>Questionnaire Design</w:t>
      </w:r>
    </w:p>
    <w:p>
      <w:pPr>
        <w:spacing w:before="120" w:after="120"/>
      </w:pPr>
    </w:p>
    <w:tbl>
      <w:tblPr>
        <w:tblStyle w:val="15"/>
        <w:tblW w:w="91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3030"/>
        <w:gridCol w:w="1630"/>
        <w:gridCol w:w="3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116" w:type="dxa"/>
          </w:tcPr>
          <w:p>
            <w:pPr>
              <w:spacing w:before="120" w:after="120"/>
              <w:jc w:val="center"/>
              <w:rPr>
                <w:b/>
              </w:rPr>
            </w:pPr>
            <w:r>
              <w:rPr>
                <w:b/>
              </w:rPr>
              <w:t>Section</w:t>
            </w:r>
          </w:p>
        </w:tc>
        <w:tc>
          <w:tcPr>
            <w:tcW w:w="3030" w:type="dxa"/>
          </w:tcPr>
          <w:p>
            <w:pPr>
              <w:spacing w:before="120" w:after="120"/>
              <w:jc w:val="center"/>
              <w:rPr>
                <w:b/>
              </w:rPr>
            </w:pPr>
            <w:r>
              <w:rPr>
                <w:rFonts w:hint="eastAsia"/>
                <w:b/>
              </w:rPr>
              <w:t>Items</w:t>
            </w:r>
          </w:p>
        </w:tc>
        <w:tc>
          <w:tcPr>
            <w:tcW w:w="1630" w:type="dxa"/>
          </w:tcPr>
          <w:p>
            <w:pPr>
              <w:spacing w:before="120" w:after="120"/>
              <w:jc w:val="center"/>
              <w:rPr>
                <w:b/>
              </w:rPr>
            </w:pPr>
            <w:r>
              <w:rPr>
                <w:b/>
              </w:rPr>
              <w:t>No. of Item</w:t>
            </w:r>
          </w:p>
        </w:tc>
        <w:tc>
          <w:tcPr>
            <w:tcW w:w="3324" w:type="dxa"/>
          </w:tcPr>
          <w:p>
            <w:pPr>
              <w:spacing w:before="120" w:after="120"/>
              <w:jc w:val="center"/>
              <w:rPr>
                <w:b/>
              </w:rPr>
            </w:pPr>
            <w:r>
              <w:rPr>
                <w:b/>
              </w:rPr>
              <w:t>Source</w:t>
            </w:r>
            <w:r>
              <w:rPr>
                <w:rFonts w:hint="eastAsia"/>
                <w:b/>
              </w:rPr>
              <w:t xml:space="preserve"> &amp; References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2" w:hRule="atLeast"/>
          <w:jc w:val="center"/>
        </w:trPr>
        <w:tc>
          <w:tcPr>
            <w:tcW w:w="1116" w:type="dxa"/>
            <w:vAlign w:val="center"/>
          </w:tcPr>
          <w:p>
            <w:pPr>
              <w:spacing w:before="120" w:after="120"/>
              <w:jc w:val="center"/>
            </w:pPr>
            <w:r>
              <w:rPr>
                <w:rFonts w:hint="eastAsia"/>
              </w:rPr>
              <w:t>1</w:t>
            </w:r>
          </w:p>
        </w:tc>
        <w:tc>
          <w:tcPr>
            <w:tcW w:w="3030" w:type="dxa"/>
            <w:vAlign w:val="center"/>
          </w:tcPr>
          <w:p>
            <w:pPr>
              <w:spacing w:before="120" w:after="120"/>
              <w:jc w:val="left"/>
            </w:pPr>
            <w:r>
              <w:t>Demographic</w:t>
            </w:r>
          </w:p>
        </w:tc>
        <w:tc>
          <w:tcPr>
            <w:tcW w:w="1630" w:type="dxa"/>
            <w:vAlign w:val="center"/>
          </w:tcPr>
          <w:p>
            <w:pPr>
              <w:spacing w:before="120" w:after="120"/>
              <w:jc w:val="center"/>
            </w:pPr>
            <w:r>
              <w:rPr>
                <w:rFonts w:hint="eastAsia"/>
              </w:rPr>
              <w:t>3</w:t>
            </w:r>
          </w:p>
        </w:tc>
        <w:tc>
          <w:tcPr>
            <w:tcW w:w="3324" w:type="dxa"/>
          </w:tcPr>
          <w:p>
            <w:pPr>
              <w:spacing w:before="120" w:after="120"/>
              <w:jc w:val="left"/>
            </w:pPr>
            <w:r>
              <w:rPr>
                <w:rFonts w:hint="eastAsia"/>
              </w:rPr>
              <w:t xml:space="preserve">Adopt </w:t>
            </w:r>
          </w:p>
          <w:p>
            <w:pPr>
              <w:spacing w:before="120" w:after="120"/>
              <w:jc w:val="left"/>
            </w:pPr>
            <w:r>
              <w:rPr>
                <w:rFonts w:hint="eastAsia"/>
              </w:rPr>
              <w:t>Malebana (2013); Rengiah (2013)</w:t>
            </w:r>
          </w:p>
          <w:p>
            <w:pPr>
              <w:spacing w:before="120" w:after="12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4" w:hRule="atLeast"/>
          <w:jc w:val="center"/>
        </w:trPr>
        <w:tc>
          <w:tcPr>
            <w:tcW w:w="1116" w:type="dxa"/>
            <w:vAlign w:val="center"/>
          </w:tcPr>
          <w:p>
            <w:pPr>
              <w:spacing w:before="120" w:after="120"/>
              <w:jc w:val="center"/>
            </w:pPr>
            <w:r>
              <w:rPr>
                <w:rFonts w:hint="eastAsia"/>
              </w:rPr>
              <w:t>2</w:t>
            </w:r>
          </w:p>
        </w:tc>
        <w:tc>
          <w:tcPr>
            <w:tcW w:w="3030" w:type="dxa"/>
            <w:vAlign w:val="center"/>
          </w:tcPr>
          <w:p>
            <w:pPr>
              <w:spacing w:before="120" w:after="120"/>
              <w:jc w:val="left"/>
            </w:pPr>
            <w:r>
              <w:rPr>
                <w:rFonts w:hint="eastAsia"/>
              </w:rPr>
              <w:t>The performance of education institutions in China</w:t>
            </w:r>
          </w:p>
        </w:tc>
        <w:tc>
          <w:tcPr>
            <w:tcW w:w="1630" w:type="dxa"/>
            <w:vAlign w:val="center"/>
          </w:tcPr>
          <w:p>
            <w:pPr>
              <w:spacing w:before="120" w:after="120"/>
              <w:jc w:val="center"/>
            </w:pPr>
            <w:r>
              <w:t>5</w:t>
            </w:r>
          </w:p>
        </w:tc>
        <w:tc>
          <w:tcPr>
            <w:tcW w:w="3324" w:type="dxa"/>
          </w:tcPr>
          <w:p>
            <w:pPr>
              <w:spacing w:before="120" w:after="120"/>
              <w:jc w:val="left"/>
            </w:pPr>
            <w:r>
              <w:rPr>
                <w:rFonts w:hint="eastAsia"/>
              </w:rPr>
              <w:t>Adapt</w:t>
            </w:r>
          </w:p>
          <w:p>
            <w:pPr>
              <w:spacing w:before="120" w:after="120"/>
              <w:jc w:val="left"/>
              <w:rPr>
                <w:rFonts w:eastAsia="Arial"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(Murtuzaliev, 2002)</w:t>
            </w:r>
          </w:p>
          <w:p>
            <w:pPr>
              <w:spacing w:before="120" w:after="120"/>
              <w:jc w:val="left"/>
              <w:rPr>
                <w:rFonts w:ascii="Arial" w:hAnsi="Arial" w:eastAsia="Arial" w:cs="Arial"/>
                <w:color w:val="666666"/>
                <w:sz w:val="13"/>
                <w:szCs w:val="13"/>
                <w:shd w:val="clear" w:color="auto" w:fill="FFFFFF"/>
              </w:rPr>
            </w:pPr>
            <w:r>
              <w:rPr>
                <w:rFonts w:eastAsia="Arial" w:cs="Times New Roman"/>
                <w:color w:val="000000" w:themeColor="text1"/>
                <w14:textFill>
                  <w14:solidFill>
                    <w14:schemeClr w14:val="tx1"/>
                  </w14:solidFill>
                </w14:textFill>
              </w:rPr>
              <w:t>(Wang and Wang, 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6" w:hRule="atLeast"/>
          <w:jc w:val="center"/>
        </w:trPr>
        <w:tc>
          <w:tcPr>
            <w:tcW w:w="1116" w:type="dxa"/>
            <w:vMerge w:val="restart"/>
            <w:vAlign w:val="center"/>
          </w:tcPr>
          <w:p>
            <w:pPr>
              <w:spacing w:before="120" w:after="120"/>
              <w:jc w:val="center"/>
            </w:pPr>
            <w:r>
              <w:rPr>
                <w:rFonts w:hint="eastAsia"/>
              </w:rPr>
              <w:t>3</w:t>
            </w:r>
          </w:p>
        </w:tc>
        <w:tc>
          <w:tcPr>
            <w:tcW w:w="3030" w:type="dxa"/>
            <w:vAlign w:val="center"/>
          </w:tcPr>
          <w:p>
            <w:pPr>
              <w:spacing w:before="120" w:after="120"/>
              <w:jc w:val="left"/>
            </w:pPr>
            <w:r>
              <w:rPr>
                <w:rFonts w:hint="eastAsia"/>
              </w:rPr>
              <w:t xml:space="preserve">Western culture influence- </w:t>
            </w:r>
            <w:r>
              <w:rPr>
                <w:rFonts w:hint="eastAsia"/>
                <w:kern w:val="3"/>
              </w:rPr>
              <w:t xml:space="preserve">Deal &amp; Kennedy corporate culture dimensions </w:t>
            </w:r>
          </w:p>
        </w:tc>
        <w:tc>
          <w:tcPr>
            <w:tcW w:w="1630" w:type="dxa"/>
            <w:vAlign w:val="center"/>
          </w:tcPr>
          <w:p>
            <w:pPr>
              <w:spacing w:before="120" w:after="120"/>
              <w:jc w:val="left"/>
            </w:pPr>
            <w:r>
              <w:rPr>
                <w:rFonts w:hint="eastAsia"/>
              </w:rPr>
              <w:t xml:space="preserve">     5</w:t>
            </w:r>
          </w:p>
        </w:tc>
        <w:tc>
          <w:tcPr>
            <w:tcW w:w="3324" w:type="dxa"/>
            <w:vAlign w:val="center"/>
          </w:tcPr>
          <w:p>
            <w:pPr>
              <w:spacing w:before="120" w:after="120"/>
              <w:jc w:val="left"/>
            </w:pPr>
            <w:r>
              <w:rPr>
                <w:rFonts w:hint="eastAsia"/>
              </w:rPr>
              <w:t>Adapt</w:t>
            </w:r>
          </w:p>
          <w:p>
            <w:pPr>
              <w:spacing w:before="120" w:after="120"/>
              <w:jc w:val="left"/>
            </w:pPr>
            <w:r>
              <w:rPr>
                <w:rFonts w:eastAsia="Arial" w:cs="Times New Roman"/>
                <w:color w:val="000000" w:themeColor="text1"/>
                <w:shd w:val="clear" w:color="auto" w:fill="FFFFFF"/>
                <w14:textFill>
                  <w14:solidFill>
                    <w14:schemeClr w14:val="tx1"/>
                  </w14:solidFill>
                </w14:textFill>
              </w:rPr>
              <w:t>(Deal and Kennedy, 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7" w:hRule="atLeast"/>
          <w:jc w:val="center"/>
        </w:trPr>
        <w:tc>
          <w:tcPr>
            <w:tcW w:w="1116" w:type="dxa"/>
            <w:vMerge w:val="continue"/>
            <w:vAlign w:val="center"/>
          </w:tcPr>
          <w:p>
            <w:pPr>
              <w:spacing w:before="120" w:after="120"/>
              <w:jc w:val="left"/>
            </w:pPr>
          </w:p>
        </w:tc>
        <w:tc>
          <w:tcPr>
            <w:tcW w:w="3030" w:type="dxa"/>
            <w:vAlign w:val="center"/>
          </w:tcPr>
          <w:p>
            <w:pPr>
              <w:spacing w:before="120" w:after="120"/>
              <w:jc w:val="left"/>
            </w:pPr>
            <w:r>
              <w:rPr>
                <w:rFonts w:hint="eastAsia"/>
              </w:rPr>
              <w:t xml:space="preserve">Western culture influence- </w:t>
            </w:r>
            <w:r>
              <w:rPr>
                <w:rFonts w:hint="eastAsia" w:cs="Times New Roman"/>
              </w:rPr>
              <w:t xml:space="preserve">Trompenaars cultural dimensions </w:t>
            </w:r>
          </w:p>
        </w:tc>
        <w:tc>
          <w:tcPr>
            <w:tcW w:w="1630" w:type="dxa"/>
            <w:vAlign w:val="center"/>
          </w:tcPr>
          <w:p>
            <w:pPr>
              <w:spacing w:before="120" w:after="120"/>
              <w:jc w:val="left"/>
            </w:pPr>
            <w:r>
              <w:rPr>
                <w:rFonts w:hint="eastAsia"/>
              </w:rPr>
              <w:t xml:space="preserve">     5</w:t>
            </w:r>
          </w:p>
        </w:tc>
        <w:tc>
          <w:tcPr>
            <w:tcW w:w="3324" w:type="dxa"/>
            <w:vAlign w:val="center"/>
          </w:tcPr>
          <w:p>
            <w:pPr>
              <w:spacing w:before="120" w:after="120"/>
              <w:jc w:val="left"/>
            </w:pPr>
            <w:r>
              <w:rPr>
                <w:rFonts w:hint="eastAsia"/>
              </w:rPr>
              <w:t>Adapt</w:t>
            </w:r>
          </w:p>
          <w:p>
            <w:pPr>
              <w:spacing w:before="120" w:after="120"/>
              <w:jc w:val="left"/>
            </w:pPr>
            <w:r>
              <w:rPr>
                <w:rFonts w:eastAsia="Arial" w:cs="Times New Roman"/>
                <w:color w:val="000000" w:themeColor="text1"/>
                <w14:textFill>
                  <w14:solidFill>
                    <w14:schemeClr w14:val="tx1"/>
                  </w14:solidFill>
                </w14:textFill>
              </w:rPr>
              <w:t>(Trompenaars and Hampden-Turner, 2015)</w:t>
            </w:r>
          </w:p>
        </w:tc>
      </w:tr>
    </w:tbl>
    <w:p>
      <w:pPr>
        <w:pStyle w:val="2"/>
        <w:spacing w:before="360" w:after="120"/>
      </w:pPr>
      <w:bookmarkStart w:id="177" w:name="_Toc21531_WPSOffice_Level2"/>
      <w:bookmarkStart w:id="178" w:name="_Toc20745_WPSOffice_Level2"/>
      <w:bookmarkStart w:id="179" w:name="_Toc25736_WPSOffice_Level2"/>
      <w:r>
        <w:rPr>
          <w:rFonts w:hint="eastAsia"/>
        </w:rPr>
        <w:t>3.5 Pilot test</w:t>
      </w:r>
      <w:bookmarkEnd w:id="177"/>
      <w:bookmarkEnd w:id="178"/>
      <w:bookmarkEnd w:id="179"/>
    </w:p>
    <w:p>
      <w:pPr>
        <w:spacing w:before="120" w:after="120"/>
      </w:pPr>
      <w:r>
        <w:t>Pilot test is said to be a trial test executed before a full-scale study can be conducted (Hundley and Teijlingen, 2001). This study is a quantitative research and has chosen questionnaires as data collection method, therefore, according to Watson, Atkinson and Rose (2007), pilot test is a fundamental test to help research in determining possible flaws. Zikmund et.al (2014) argues that pilot study Is an important test used in maintaining the validity, reliability and consistency of the surveys. According to Baker (1994), 10-20% out of the sample size for the actual research is a reasonable number of participants in order to conduct the pilot test.</w:t>
      </w:r>
      <w:r>
        <w:rPr>
          <w:rFonts w:hint="eastAsia"/>
        </w:rPr>
        <w:t xml:space="preserve"> </w:t>
      </w:r>
      <w:r>
        <w:t>According to De Vaus (1993) pilot test could help to minimize the risk and to warn the researcher on specific area where the research might fail.</w:t>
      </w:r>
    </w:p>
    <w:p>
      <w:pPr>
        <w:spacing w:before="120" w:after="120"/>
      </w:pPr>
    </w:p>
    <w:p>
      <w:pPr>
        <w:pStyle w:val="3"/>
        <w:spacing w:before="120" w:after="120"/>
      </w:pPr>
      <w:bookmarkStart w:id="180" w:name="_Toc6362_WPSOffice_Level3"/>
      <w:bookmarkStart w:id="181" w:name="_Toc4673_WPSOffice_Level3"/>
      <w:r>
        <w:rPr>
          <w:rFonts w:hint="eastAsia"/>
        </w:rPr>
        <w:t>3.5.1 Pilot test: Factor analysis</w:t>
      </w:r>
      <w:bookmarkEnd w:id="180"/>
      <w:bookmarkEnd w:id="181"/>
    </w:p>
    <w:p>
      <w:pPr>
        <w:spacing w:before="120" w:after="120"/>
      </w:pPr>
      <w:r>
        <w:t xml:space="preserve">Factor test is one of the most widely used techniques for determination of the common method variance (Sekaran and Bougie, 2013). All items from all of the constructs in each relationship structure were included in a factor analysis (Wu, 2013). </w:t>
      </w:r>
    </w:p>
    <w:p>
      <w:pPr>
        <w:spacing w:before="120" w:after="120"/>
        <w:rPr>
          <w:lang w:val="en-MY"/>
        </w:rPr>
      </w:pPr>
      <w:r>
        <w:t xml:space="preserve">Kumar (2010) mentioned that factor analysis that involve the KMO Bartlett’s test of Sphericity will be used to analyze and determine all the data that have been collected and to check whether the items within the constructs are connected and suitable for further analyses. </w:t>
      </w:r>
      <w:r>
        <w:rPr>
          <w:rFonts w:hint="eastAsia"/>
          <w:lang w:val="en-MY"/>
        </w:rPr>
        <w:t>The value of factor loading is more than 0.</w:t>
      </w:r>
      <w:r>
        <w:rPr>
          <w:rFonts w:hint="eastAsia"/>
        </w:rPr>
        <w:t>6</w:t>
      </w:r>
      <w:r>
        <w:rPr>
          <w:rFonts w:hint="eastAsia"/>
          <w:lang w:val="en-MY"/>
        </w:rPr>
        <w:t xml:space="preserve"> </w:t>
      </w:r>
      <w:r>
        <w:rPr>
          <w:rFonts w:hint="eastAsia"/>
        </w:rPr>
        <w:t xml:space="preserve">in order to be significant, </w:t>
      </w:r>
      <w:r>
        <w:rPr>
          <w:rFonts w:hint="eastAsia"/>
          <w:lang w:val="en-MY"/>
        </w:rPr>
        <w:t>means the factor could have an influence on the variable (Hair et al.,</w:t>
      </w:r>
      <w:r>
        <w:rPr>
          <w:lang w:val="en-MY"/>
        </w:rPr>
        <w:t xml:space="preserve"> </w:t>
      </w:r>
      <w:r>
        <w:rPr>
          <w:rFonts w:hint="eastAsia"/>
          <w:lang w:val="en-MY"/>
        </w:rPr>
        <w:t>2009). Eigenvalues are the total of the variance of the factor, which mentions the exceptional set of scalars that are connected with a linear system of equations (Bryman &amp; Bell, 2015). According to Yong &amp; Pearce (2013), it sustained that the eigenvalues is often more significant that help researchers to determine how plenty of factors to retain in the research, when researchers likewise could carry the scree and revolved eigenvalues out plot to decide the figure of meaning factors.</w:t>
      </w:r>
    </w:p>
    <w:p>
      <w:pPr>
        <w:spacing w:before="120" w:after="120"/>
      </w:pPr>
    </w:p>
    <w:p>
      <w:pPr>
        <w:spacing w:before="120" w:after="120"/>
      </w:pPr>
    </w:p>
    <w:p>
      <w:pPr>
        <w:pStyle w:val="3"/>
        <w:spacing w:before="120" w:after="120"/>
      </w:pPr>
      <w:bookmarkStart w:id="182" w:name="_Toc28662_WPSOffice_Level3"/>
      <w:bookmarkStart w:id="183" w:name="_Toc30422_WPSOffice_Level3"/>
      <w:r>
        <w:rPr>
          <w:rFonts w:hint="eastAsia"/>
        </w:rPr>
        <w:t>3.5.2 Pilot test: Reliability test</w:t>
      </w:r>
      <w:bookmarkEnd w:id="182"/>
      <w:bookmarkEnd w:id="183"/>
    </w:p>
    <w:p>
      <w:pPr>
        <w:spacing w:before="120" w:after="120"/>
      </w:pPr>
      <w:r>
        <w:t xml:space="preserve">Reliability is the key measurement indicator to ensure consistency and repeatability of the data, which is a measurement to ensure the goodness of a data (Sekaran and Bougie, 2013). Reliability have to free from error to show the result is reliable and it is measured by weight Coefficient </w:t>
      </w:r>
      <w:bookmarkStart w:id="184" w:name="OLE_LINK12"/>
      <w:r>
        <w:t>alpha</w:t>
      </w:r>
      <w:bookmarkEnd w:id="184"/>
      <w:r>
        <w:t xml:space="preserve"> (a) is the most common measurement method applied of multiple-item reliability to ensure consistency (Cooper and Schindler, 2011).</w:t>
      </w:r>
      <w:r>
        <w:rPr>
          <w:rFonts w:hint="eastAsia"/>
        </w:rPr>
        <w:t xml:space="preserve"> </w:t>
      </w:r>
      <w:r>
        <w:t xml:space="preserve">Therefore, Cronbach’s alpha is a measurement value to identify the level of consistency of a data for all variables from this test (Zikmund, 2012). The minimum acceptance requirement of reliability test at alpha 0.6, data are consider acceptable (alpha=&gt;0.7) and good (alpha=&gt;0.8), therefore there is no need to take any remedial action (Sekaran and Bougie, 2013).  </w:t>
      </w:r>
    </w:p>
    <w:p>
      <w:pPr>
        <w:spacing w:before="120" w:after="120"/>
      </w:pPr>
      <w:r>
        <w:t>A data with high internal consistency when the Cronbach’s alpha value is higher than 0.</w:t>
      </w:r>
      <w:r>
        <w:rPr>
          <w:rFonts w:hint="eastAsia"/>
        </w:rPr>
        <w:t>7</w:t>
      </w:r>
      <w:r>
        <w:t>, which is the minimum acceptance requirement</w:t>
      </w:r>
      <w:r>
        <w:rPr>
          <w:rFonts w:hint="eastAsia"/>
        </w:rPr>
        <w:t xml:space="preserve"> and for the purpose of checking reliability</w:t>
      </w:r>
      <w:r>
        <w:t>; However, the typical scale has poor reliability when the coefficient alpha is less than 0.6 (Zikmund, 2012). As the requirement from this test, any items or questions that was insignificant (alpha&lt;0.7) will be deleted and items of privacy was reverse coded (because negative statement) in order to fulfill the highest reliability of the measurement (Yulihasri et al., 2011). The statistical software such as SPSS and PLS able to compute Cronbach’s alpha value (Zikmund, 2012).</w:t>
      </w:r>
      <w:r>
        <w:rPr>
          <w:rFonts w:hint="eastAsia"/>
        </w:rPr>
        <w:t xml:space="preserve">      </w:t>
      </w:r>
    </w:p>
    <w:p>
      <w:pPr>
        <w:spacing w:before="120" w:after="120"/>
        <w:jc w:val="center"/>
      </w:pPr>
      <w:r>
        <w:rPr>
          <w:lang w:eastAsia="en-US"/>
        </w:rPr>
        <w:drawing>
          <wp:inline distT="0" distB="0" distL="0" distR="0">
            <wp:extent cx="4940935" cy="2499995"/>
            <wp:effectExtent l="0" t="0" r="12065" b="190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940935" cy="2499995"/>
                    </a:xfrm>
                    <a:prstGeom prst="rect">
                      <a:avLst/>
                    </a:prstGeom>
                  </pic:spPr>
                </pic:pic>
              </a:graphicData>
            </a:graphic>
          </wp:inline>
        </w:drawing>
      </w:r>
    </w:p>
    <w:p>
      <w:pPr>
        <w:spacing w:before="120" w:after="120"/>
        <w:jc w:val="center"/>
        <w:rPr>
          <w:rFonts w:cs="Arial"/>
        </w:rPr>
      </w:pPr>
      <w:r>
        <w:rPr>
          <w:rFonts w:cs="Arial"/>
          <w:i/>
        </w:rPr>
        <w:t xml:space="preserve">Figure </w:t>
      </w:r>
      <w:r>
        <w:rPr>
          <w:rFonts w:hint="eastAsia" w:cs="Arial"/>
          <w:i/>
        </w:rPr>
        <w:t>4</w:t>
      </w:r>
      <w:r>
        <w:rPr>
          <w:rFonts w:cs="Arial"/>
        </w:rPr>
        <w:t>: Acceptance Range in Cronbach’s Alpha</w:t>
      </w:r>
    </w:p>
    <w:p>
      <w:pPr>
        <w:spacing w:before="120" w:after="120"/>
        <w:jc w:val="center"/>
        <w:rPr>
          <w:rFonts w:cs="Arial"/>
        </w:rPr>
      </w:pPr>
      <w:r>
        <w:rPr>
          <w:rFonts w:cs="Arial"/>
          <w:i/>
        </w:rPr>
        <w:t>Source</w:t>
      </w:r>
      <w:r>
        <w:rPr>
          <w:rFonts w:cs="Arial"/>
        </w:rPr>
        <w:t>: adapted from Sunmeet and Vijaya (2015)</w:t>
      </w:r>
    </w:p>
    <w:p>
      <w:pPr>
        <w:pStyle w:val="3"/>
        <w:spacing w:before="120" w:after="120"/>
      </w:pPr>
      <w:bookmarkStart w:id="185" w:name="_Toc25736_WPSOffice_Level3"/>
      <w:bookmarkStart w:id="186" w:name="_Toc29596_WPSOffice_Level3"/>
      <w:r>
        <w:rPr>
          <w:rFonts w:hint="eastAsia"/>
        </w:rPr>
        <w:t>3.5.3 Pilot test: Correlation matrix</w:t>
      </w:r>
      <w:bookmarkEnd w:id="185"/>
      <w:bookmarkEnd w:id="186"/>
    </w:p>
    <w:p>
      <w:pPr>
        <w:tabs>
          <w:tab w:val="left" w:pos="720"/>
        </w:tabs>
        <w:spacing w:before="120" w:after="120"/>
      </w:pPr>
      <w:r>
        <w:rPr>
          <w:rFonts w:hint="eastAsia" w:eastAsia="宋体"/>
        </w:rPr>
        <w:t>T</w:t>
      </w:r>
      <w:r>
        <w:t>he correlation matrix will be concluded</w:t>
      </w:r>
      <w:r>
        <w:rPr>
          <w:spacing w:val="-9"/>
        </w:rPr>
        <w:t xml:space="preserve"> </w:t>
      </w:r>
      <w:r>
        <w:t>for</w:t>
      </w:r>
      <w:r>
        <w:rPr>
          <w:spacing w:val="-10"/>
        </w:rPr>
        <w:t xml:space="preserve"> </w:t>
      </w:r>
      <w:r>
        <w:t>all</w:t>
      </w:r>
      <w:r>
        <w:rPr>
          <w:spacing w:val="-9"/>
        </w:rPr>
        <w:t xml:space="preserve"> </w:t>
      </w:r>
      <w:r>
        <w:t>possible</w:t>
      </w:r>
      <w:r>
        <w:rPr>
          <w:spacing w:val="-9"/>
        </w:rPr>
        <w:t xml:space="preserve"> </w:t>
      </w:r>
      <w:r>
        <w:t>predictor</w:t>
      </w:r>
      <w:r>
        <w:rPr>
          <w:spacing w:val="-10"/>
        </w:rPr>
        <w:t xml:space="preserve"> </w:t>
      </w:r>
      <w:r>
        <w:t>variables</w:t>
      </w:r>
      <w:r>
        <w:rPr>
          <w:spacing w:val="-8"/>
        </w:rPr>
        <w:t xml:space="preserve"> </w:t>
      </w:r>
      <w:r>
        <w:t>and</w:t>
      </w:r>
      <w:r>
        <w:rPr>
          <w:spacing w:val="-11"/>
        </w:rPr>
        <w:t xml:space="preserve"> </w:t>
      </w:r>
      <w:r>
        <w:t>the</w:t>
      </w:r>
      <w:r>
        <w:rPr>
          <w:spacing w:val="-12"/>
        </w:rPr>
        <w:t xml:space="preserve"> </w:t>
      </w:r>
      <w:r>
        <w:t>dependent</w:t>
      </w:r>
      <w:r>
        <w:rPr>
          <w:spacing w:val="-10"/>
        </w:rPr>
        <w:t xml:space="preserve"> </w:t>
      </w:r>
      <w:r>
        <w:t>variables</w:t>
      </w:r>
      <w:r>
        <w:rPr>
          <w:spacing w:val="-9"/>
        </w:rPr>
        <w:t xml:space="preserve"> </w:t>
      </w:r>
      <w:r>
        <w:t>(Cooper</w:t>
      </w:r>
      <w:r>
        <w:rPr>
          <w:spacing w:val="-7"/>
        </w:rPr>
        <w:t xml:space="preserve"> </w:t>
      </w:r>
      <w:r>
        <w:t>&amp;</w:t>
      </w:r>
      <w:r>
        <w:rPr>
          <w:spacing w:val="-12"/>
        </w:rPr>
        <w:t xml:space="preserve"> </w:t>
      </w:r>
      <w:r>
        <w:t>Schindler 20</w:t>
      </w:r>
      <w:r>
        <w:rPr>
          <w:rFonts w:hint="eastAsia"/>
        </w:rPr>
        <w:t>11</w:t>
      </w:r>
      <w:r>
        <w:t xml:space="preserve">). </w:t>
      </w:r>
      <w:r>
        <w:rPr>
          <w:color w:val="000000"/>
        </w:rPr>
        <w:t xml:space="preserve">Correlation test was conducted in order to see whether all items have relation with each other or not. </w:t>
      </w:r>
      <w:r>
        <w:t>With the calculation of the Pearson’s correlation result, which ranging from +1 to -1 to indicate the relationship between the variables while the prefix of “+” and “-” indicate the positive</w:t>
      </w:r>
      <w:r>
        <w:rPr>
          <w:spacing w:val="-5"/>
        </w:rPr>
        <w:t xml:space="preserve"> </w:t>
      </w:r>
      <w:r>
        <w:t>and</w:t>
      </w:r>
      <w:r>
        <w:rPr>
          <w:spacing w:val="-4"/>
        </w:rPr>
        <w:t xml:space="preserve"> </w:t>
      </w:r>
      <w:r>
        <w:t>negative</w:t>
      </w:r>
      <w:r>
        <w:rPr>
          <w:spacing w:val="-4"/>
        </w:rPr>
        <w:t xml:space="preserve"> </w:t>
      </w:r>
      <w:r>
        <w:t>relationship</w:t>
      </w:r>
      <w:r>
        <w:rPr>
          <w:spacing w:val="-4"/>
        </w:rPr>
        <w:t xml:space="preserve"> </w:t>
      </w:r>
      <w:r>
        <w:t>of</w:t>
      </w:r>
      <w:r>
        <w:rPr>
          <w:spacing w:val="-4"/>
        </w:rPr>
        <w:t xml:space="preserve"> </w:t>
      </w:r>
      <w:r>
        <w:t>two</w:t>
      </w:r>
      <w:r>
        <w:rPr>
          <w:spacing w:val="-4"/>
        </w:rPr>
        <w:t xml:space="preserve"> </w:t>
      </w:r>
      <w:r>
        <w:t>variables</w:t>
      </w:r>
      <w:r>
        <w:rPr>
          <w:spacing w:val="-3"/>
        </w:rPr>
        <w:t xml:space="preserve"> </w:t>
      </w:r>
      <w:r>
        <w:t>(</w:t>
      </w:r>
      <w:bookmarkStart w:id="187" w:name="OLE_LINK4"/>
      <w:r>
        <w:t>Saunders</w:t>
      </w:r>
      <w:r>
        <w:rPr>
          <w:spacing w:val="-4"/>
        </w:rPr>
        <w:t xml:space="preserve"> </w:t>
      </w:r>
      <w:r>
        <w:t>et</w:t>
      </w:r>
      <w:r>
        <w:rPr>
          <w:spacing w:val="-2"/>
        </w:rPr>
        <w:t xml:space="preserve"> </w:t>
      </w:r>
      <w:r>
        <w:t>al.</w:t>
      </w:r>
      <w:r>
        <w:rPr>
          <w:spacing w:val="-3"/>
        </w:rPr>
        <w:t xml:space="preserve"> </w:t>
      </w:r>
      <w:r>
        <w:t>2009</w:t>
      </w:r>
      <w:bookmarkEnd w:id="187"/>
      <w:r>
        <w:t>).</w:t>
      </w:r>
      <w:r>
        <w:rPr>
          <w:spacing w:val="-4"/>
        </w:rPr>
        <w:t xml:space="preserve"> </w:t>
      </w:r>
      <w:r>
        <w:t>Generally</w:t>
      </w:r>
      <w:r>
        <w:rPr>
          <w:spacing w:val="-9"/>
        </w:rPr>
        <w:t xml:space="preserve"> </w:t>
      </w:r>
      <w:r>
        <w:t>P</w:t>
      </w:r>
      <w:r>
        <w:rPr>
          <w:spacing w:val="-2"/>
        </w:rPr>
        <w:t xml:space="preserve"> </w:t>
      </w:r>
      <w:r>
        <w:t>value</w:t>
      </w:r>
      <w:r>
        <w:rPr>
          <w:spacing w:val="-4"/>
        </w:rPr>
        <w:t xml:space="preserve"> </w:t>
      </w:r>
      <w:r>
        <w:t>is required to be smaller than 0.05,</w:t>
      </w:r>
      <w:r>
        <w:rPr>
          <w:rFonts w:hint="eastAsia"/>
        </w:rPr>
        <w:t xml:space="preserve"> </w:t>
      </w:r>
      <w:r>
        <w:t>which is a&lt;0.05, means the research is at 5% significant level and can be accepted (Sekaran &amp; Bougie</w:t>
      </w:r>
      <w:r>
        <w:rPr>
          <w:spacing w:val="3"/>
        </w:rPr>
        <w:t xml:space="preserve"> </w:t>
      </w:r>
      <w:r>
        <w:t>2011).</w:t>
      </w:r>
    </w:p>
    <w:p>
      <w:pPr>
        <w:tabs>
          <w:tab w:val="left" w:pos="720"/>
        </w:tabs>
        <w:spacing w:before="120" w:after="120"/>
      </w:pPr>
      <w:r>
        <w:rPr>
          <w:rFonts w:hint="eastAsia"/>
        </w:rPr>
        <w:t xml:space="preserve">In this research, there are two constructs of independent variables, those two constructs cannot </w:t>
      </w:r>
      <w:r>
        <w:rPr>
          <w:rFonts w:hint="eastAsia" w:eastAsia="宋体"/>
        </w:rPr>
        <w:t xml:space="preserve">correlate with each other. Within the constructs, each dimensions must correlate with each other. </w:t>
      </w:r>
    </w:p>
    <w:p>
      <w:pPr>
        <w:pStyle w:val="2"/>
        <w:spacing w:before="360" w:after="120"/>
      </w:pPr>
      <w:bookmarkStart w:id="188" w:name="_Toc13217_WPSOffice_Level2"/>
      <w:bookmarkStart w:id="189" w:name="_Toc25010_WPSOffice_Level2"/>
      <w:bookmarkStart w:id="190" w:name="_Toc11202_WPSOffice_Level2"/>
      <w:r>
        <w:rPr>
          <w:rFonts w:hint="eastAsia"/>
        </w:rPr>
        <w:t>3.6 Measurements</w:t>
      </w:r>
      <w:bookmarkEnd w:id="188"/>
      <w:bookmarkEnd w:id="189"/>
      <w:bookmarkEnd w:id="190"/>
    </w:p>
    <w:p>
      <w:pPr>
        <w:spacing w:before="120" w:after="120"/>
        <w:rPr>
          <w:lang w:val="en"/>
        </w:rPr>
      </w:pPr>
      <w:r>
        <w:rPr>
          <w:lang w:val="en"/>
        </w:rPr>
        <w:t xml:space="preserve">Zikmund et al (2010) adhered that measurement instruments are tools that is used by practitioners and researchers to help them in order to evaluate patients, subjects, or clients. </w:t>
      </w:r>
    </w:p>
    <w:p>
      <w:pPr>
        <w:spacing w:before="120" w:after="120"/>
      </w:pPr>
      <w:r>
        <w:rPr>
          <w:rFonts w:hint="eastAsia"/>
        </w:rPr>
        <w:t>Quantitive study requirements for statistical significance, t</w:t>
      </w:r>
      <w:r>
        <w:t xml:space="preserve">he main purpose of this study is to identify </w:t>
      </w:r>
      <w:r>
        <w:rPr>
          <w:rFonts w:hint="eastAsia"/>
        </w:rPr>
        <w:t>western corporate culture factors</w:t>
      </w:r>
      <w:r>
        <w:t xml:space="preserve"> influencing </w:t>
      </w:r>
      <w:r>
        <w:rPr>
          <w:rFonts w:hint="eastAsia"/>
        </w:rPr>
        <w:t xml:space="preserve">education industry in China. </w:t>
      </w:r>
      <w:r>
        <w:rPr>
          <w:lang w:val="en"/>
        </w:rPr>
        <w:t>In this study, different way of test and measurements are done to analyze the data that has been obtained through questionnaire.</w:t>
      </w:r>
      <w:r>
        <w:rPr>
          <w:rFonts w:hint="eastAsia"/>
        </w:rPr>
        <w:t xml:space="preserve"> </w:t>
      </w:r>
      <w:r>
        <w:t>For the survey part, IBM SPSS 22.0 will be used to to analysis the data. Descriptive Analysis is a good choice in summarizing the data as expressed by Saunders, Lewis and Thornhill (2012), a descriptive analysis will be adopted by using SPSS where it supports to evaluate the data skills.</w:t>
      </w:r>
    </w:p>
    <w:p>
      <w:pPr>
        <w:pStyle w:val="3"/>
        <w:spacing w:before="120" w:after="120"/>
      </w:pPr>
      <w:bookmarkStart w:id="191" w:name="_Toc11847_WPSOffice_Level3"/>
      <w:bookmarkStart w:id="192" w:name="_Toc25010_WPSOffice_Level3"/>
      <w:r>
        <w:rPr>
          <w:rFonts w:hint="eastAsia"/>
        </w:rPr>
        <w:t>3.6.1 Descriptive Information</w:t>
      </w:r>
      <w:bookmarkEnd w:id="191"/>
      <w:bookmarkEnd w:id="192"/>
    </w:p>
    <w:p>
      <w:pPr>
        <w:spacing w:before="120" w:after="120"/>
      </w:pPr>
      <w:r>
        <w:t>Descriptive statistics can be explained as the creative outcome generated from the raw data, which come from the process of research(Yockey,2010). Descriptive statistics is often represented with descriptive contents combining those key factors together in a situation</w:t>
      </w:r>
      <w:r>
        <w:rPr>
          <w:rFonts w:hint="eastAsia"/>
        </w:rPr>
        <w:t xml:space="preserve"> and establishing demographic profile </w:t>
      </w:r>
      <w:r>
        <w:t>(Green,2010). Frequently, under such condition, the description contents will be turned from raw data and relevance to the research topic</w:t>
      </w:r>
      <w:r>
        <w:rPr>
          <w:rFonts w:hint="eastAsia"/>
        </w:rPr>
        <w:t xml:space="preserve"> </w:t>
      </w:r>
      <w:r>
        <w:t>(Noru, 2012). In this study, SPSS 20.0 Version latest version will be used.</w:t>
      </w:r>
    </w:p>
    <w:p>
      <w:pPr>
        <w:pStyle w:val="3"/>
        <w:spacing w:before="120" w:after="120"/>
      </w:pPr>
      <w:bookmarkStart w:id="193" w:name="_Toc19390_WPSOffice_Level3"/>
      <w:bookmarkStart w:id="194" w:name="_Toc3526_WPSOffice_Level3"/>
      <w:r>
        <w:rPr>
          <w:rFonts w:hint="eastAsia"/>
        </w:rPr>
        <w:t>3.6.2 Preliminary tests</w:t>
      </w:r>
      <w:bookmarkEnd w:id="193"/>
      <w:bookmarkEnd w:id="194"/>
    </w:p>
    <w:p>
      <w:pPr>
        <w:spacing w:before="120" w:after="120"/>
      </w:pPr>
      <w:r>
        <w:t>Factor analysis is required to be conducted to determine whether the items in the questionnaires are valid or should be removed (Zikmund et.al, 2013). This technique is appropriate in this research as it does not require any pre-existing functional relationship and it is well known for data reduction, in which a large number of variables are reduced into few of the core factors (</w:t>
      </w:r>
      <w:r>
        <w:rPr>
          <w:lang w:val="en-MY"/>
        </w:rPr>
        <w:t>Jalaliyoon, Sahibuddin</w:t>
      </w:r>
      <w:r>
        <w:t xml:space="preserve"> and </w:t>
      </w:r>
      <w:r>
        <w:rPr>
          <w:lang w:val="en-MY"/>
        </w:rPr>
        <w:t>Taherdoost</w:t>
      </w:r>
      <w:r>
        <w:t xml:space="preserve">, 2014). </w:t>
      </w:r>
    </w:p>
    <w:p>
      <w:pPr>
        <w:spacing w:before="120" w:after="120"/>
      </w:pPr>
      <w:r>
        <w:rPr>
          <w:rFonts w:hint="eastAsia"/>
        </w:rPr>
        <w:t>T</w:t>
      </w:r>
      <w:r>
        <w:t>he Kaiser-Meyer-Olkin (KMO) and Bartlett’s test of sphericity is applied in this study to measure the sampling adequacy which is known as MSA (</w:t>
      </w:r>
      <w:bookmarkStart w:id="195" w:name="OLE_LINK5"/>
      <w:r>
        <w:t>Yusoff, 2010</w:t>
      </w:r>
      <w:bookmarkEnd w:id="195"/>
      <w:r>
        <w:t>). The sampling is interpreted as adequate if the obtained value from the Statistical Product and Service Solutions (SPSS) tool in KMO test is greater than 0.5, otherwise the item is suggested to be removed (</w:t>
      </w:r>
      <w:bookmarkStart w:id="196" w:name="OLE_LINK6"/>
      <w:r>
        <w:t>Field, 2000</w:t>
      </w:r>
      <w:bookmarkEnd w:id="196"/>
      <w:r>
        <w:t xml:space="preserve">). SPSS software will be used in this research to perform the factor analysis. By using SPSS, the pattern of correlations within a set of variables can be shown through the underlying factors identified (Chen and Xiao, 2012). </w:t>
      </w:r>
    </w:p>
    <w:p>
      <w:pPr>
        <w:spacing w:before="120" w:after="120"/>
      </w:pPr>
      <w:r>
        <w:t xml:space="preserve">On the other hand, the value for Bartlett test of Sphericity should less than 0.05 to indicate that the data is acceptable for further testing (Abdullah, Hani and Ilham, 2016). Whereas, </w:t>
      </w:r>
      <w:bookmarkStart w:id="197" w:name="OLE_LINK11"/>
      <w:r>
        <w:t>eigenvalues</w:t>
      </w:r>
      <w:bookmarkEnd w:id="197"/>
      <w:r>
        <w:t xml:space="preserve"> is Kaiser criterion technique used to decide the number of constructs to be remained for rotation, and the value shall be greater than 1 (</w:t>
      </w:r>
      <w:bookmarkStart w:id="198" w:name="OLE_LINK7"/>
      <w:r>
        <w:rPr>
          <w:lang w:val="en-MY"/>
        </w:rPr>
        <w:t>Jalaliyoon el</w:t>
      </w:r>
      <w:r>
        <w:t>.at., 2014</w:t>
      </w:r>
      <w:bookmarkEnd w:id="198"/>
      <w:r>
        <w:t>). According to Pearce and Yong (2013), factor loading is used to measure how much the variables contribute to the factor and items with value greater than 0.4 should be retained.</w:t>
      </w:r>
    </w:p>
    <w:p>
      <w:pPr>
        <w:spacing w:before="120" w:after="120"/>
      </w:pPr>
      <w:r>
        <w:t xml:space="preserve">According to Brown (2002), Cronbach’s alpha is one of the most frequently used technique to calculate the internal consistency. Hence, this research will apply Cronbach’s alpha to determine the level of reliability of the data collected. The result is expressed in number that falls in the range between 0 and 1, and the acceptable values of alpha are in the range from 0.70 to 0.95 (Dennick and Tavakol, 2011). </w:t>
      </w:r>
    </w:p>
    <w:p>
      <w:pPr>
        <w:spacing w:before="120" w:after="120"/>
      </w:pPr>
    </w:p>
    <w:p>
      <w:pPr>
        <w:pStyle w:val="3"/>
        <w:spacing w:before="120" w:after="120"/>
      </w:pPr>
      <w:bookmarkStart w:id="199" w:name="_Toc10659_WPSOffice_Level3"/>
      <w:bookmarkStart w:id="200" w:name="_Toc16964_WPSOffice_Level3"/>
      <w:r>
        <w:rPr>
          <w:rFonts w:hint="eastAsia"/>
        </w:rPr>
        <w:t>3.6.3 Hypothesis testing</w:t>
      </w:r>
      <w:bookmarkEnd w:id="199"/>
      <w:bookmarkEnd w:id="200"/>
    </w:p>
    <w:p>
      <w:pPr>
        <w:spacing w:before="120" w:after="120"/>
      </w:pPr>
      <w:r>
        <w:t>Hypothesis testing is needed to determine the probability of whether a statement is true and at what possibility that the statement is accepted to be true (Massey and Miller, 2006). There are</w:t>
      </w:r>
      <w:r>
        <w:rPr>
          <w:rFonts w:hint="eastAsia"/>
        </w:rPr>
        <w:t xml:space="preserve"> three</w:t>
      </w:r>
      <w:r>
        <w:t xml:space="preserve"> types of hypothesis testing need to be conducted in this research, which are Simple Multiple Regression</w:t>
      </w:r>
      <w:r>
        <w:rPr>
          <w:rFonts w:hint="eastAsia"/>
        </w:rPr>
        <w:t xml:space="preserve">, </w:t>
      </w:r>
      <w:r>
        <w:t>One-Way ANOVA</w:t>
      </w:r>
      <w:r>
        <w:rPr>
          <w:rFonts w:hint="eastAsia"/>
        </w:rPr>
        <w:t>; and Beta coefficient.</w:t>
      </w:r>
    </w:p>
    <w:p>
      <w:pPr>
        <w:spacing w:before="120" w:after="120"/>
      </w:pPr>
      <w:r>
        <w:t xml:space="preserve">Multiple regression analysis is employed to develop a self-weighting estimating equation that predicts values for a dependent variable from the values of independent variables (Cooper and Schindler, 2008). Path coefficient, β, symbolizes the estimate of strength of linear association and its direction between interval and ratio variables (Zikmund et al., 2013). The coefficient is ranging from +1 to -1 and the prefix of “+” and “-” indicates the direction of the relationship whereas the number indicates the strength of the relationship in which higher number of coefficient indicates stronger relationship (Saunders et al., 2009). The significance of p&lt;0.05 is the generally accepted </w:t>
      </w:r>
      <w:bookmarkStart w:id="201" w:name="OLE_LINK10"/>
      <w:r>
        <w:t>conventional</w:t>
      </w:r>
      <w:bookmarkEnd w:id="201"/>
      <w:r>
        <w:t xml:space="preserve"> level in research (Sekaran and Bougie, 2010).</w:t>
      </w:r>
    </w:p>
    <w:p>
      <w:pPr>
        <w:spacing w:before="120" w:after="120"/>
      </w:pPr>
      <w:r>
        <w:t>One-way ANOVA is an extension test of T-Test which is used to find the differences between class means, of two or more groups (</w:t>
      </w:r>
      <w:r>
        <w:rPr>
          <w:rFonts w:cs="Arial"/>
        </w:rPr>
        <w:t>Ostertag</w:t>
      </w:r>
      <w:r>
        <w:t xml:space="preserve"> and </w:t>
      </w:r>
      <w:r>
        <w:rPr>
          <w:rFonts w:cs="Arial"/>
        </w:rPr>
        <w:t>Ostertagová, 2013</w:t>
      </w:r>
      <w:r>
        <w:t xml:space="preserve">). According to </w:t>
      </w:r>
      <w:bookmarkStart w:id="202" w:name="OLE_LINK8"/>
      <w:r>
        <w:t>Sow (2014</w:t>
      </w:r>
      <w:bookmarkEnd w:id="202"/>
      <w:r>
        <w:t>), if the means result of one-way ANOVA are equal, the null hypothesis will be accepted, otherwise null hypothesis will be rejected while alternative hypothesis will be accepted, in which it can be concluded that the null hypothesis will be rejected if at least one of the means is different. In statistical testing, for hypothesis testing more than two populations, ANOVA method will need to be applied (</w:t>
      </w:r>
      <w:r>
        <w:rPr>
          <w:rFonts w:cs="Arial"/>
        </w:rPr>
        <w:t>Ostertag</w:t>
      </w:r>
      <w:r>
        <w:t xml:space="preserve"> and </w:t>
      </w:r>
      <w:r>
        <w:rPr>
          <w:rFonts w:cs="Arial"/>
        </w:rPr>
        <w:t>Ostertagová, 2013</w:t>
      </w:r>
      <w:r>
        <w:t xml:space="preserve">). Hence, one-way ANOVA will be employed to determine whether there is significant differences between the </w:t>
      </w:r>
      <w:r>
        <w:rPr>
          <w:rFonts w:hint="eastAsia"/>
        </w:rPr>
        <w:t>two</w:t>
      </w:r>
      <w:r>
        <w:t xml:space="preserve"> independent variables in this research.</w:t>
      </w:r>
    </w:p>
    <w:p>
      <w:pPr>
        <w:spacing w:before="120" w:after="120"/>
      </w:pPr>
      <w:r>
        <w:t xml:space="preserve">Besides that, the coefficient of determinant, </w:t>
      </w:r>
      <w:r>
        <w:rPr>
          <w:rFonts w:hint="eastAsia"/>
        </w:rPr>
        <w:t>R2</w:t>
      </w:r>
      <w:r>
        <w:t xml:space="preserve">, provides information about the goodness of fit of the regression model and it shows the percentage of variance in the dependent variable is explained by the variation in the independent variable (Saunders et al., 2009). If </w:t>
      </w:r>
      <w:r>
        <w:rPr>
          <w:rFonts w:hint="eastAsia"/>
        </w:rPr>
        <w:t xml:space="preserve">R2 </w:t>
      </w:r>
      <w:r>
        <w:t>is near to 1, most of th</w:t>
      </w:r>
      <w:r>
        <w:rPr>
          <w:rFonts w:hint="eastAsia"/>
        </w:rPr>
        <w:t xml:space="preserve">e </w:t>
      </w:r>
      <w:r>
        <w:t xml:space="preserve">variation in the dependent variable can be explained by the regression model; however, if </w:t>
      </w:r>
      <w:r>
        <w:rPr>
          <w:rFonts w:hint="eastAsia"/>
        </w:rPr>
        <w:t xml:space="preserve">R2 </w:t>
      </w:r>
      <w:r>
        <w:t xml:space="preserve">is near to 0, most of the data variation cannot be explained by the regression model (Sekaran and Bougie, 2010). </w:t>
      </w:r>
    </w:p>
    <w:p>
      <w:pPr>
        <w:pStyle w:val="2"/>
        <w:spacing w:before="360" w:after="120"/>
      </w:pPr>
      <w:bookmarkStart w:id="203" w:name="_Toc4625_WPSOffice_Level2"/>
      <w:bookmarkStart w:id="204" w:name="_Toc11336_WPSOffice_Level2"/>
      <w:bookmarkStart w:id="205" w:name="_Toc3526_WPSOffice_Level2"/>
      <w:r>
        <w:rPr>
          <w:rFonts w:hint="eastAsia"/>
        </w:rPr>
        <w:t>3.7 Ethical consideration</w:t>
      </w:r>
      <w:bookmarkEnd w:id="203"/>
      <w:bookmarkEnd w:id="204"/>
      <w:bookmarkEnd w:id="205"/>
    </w:p>
    <w:p>
      <w:pPr>
        <w:spacing w:before="120" w:after="120"/>
        <w:rPr>
          <w:color w:val="000000" w:themeColor="text1"/>
          <w14:textFill>
            <w14:solidFill>
              <w14:schemeClr w14:val="tx1"/>
            </w14:solidFill>
          </w14:textFill>
        </w:rPr>
      </w:pPr>
      <w:r>
        <w:rPr>
          <w:color w:val="000000" w:themeColor="text1"/>
          <w14:textFill>
            <w14:solidFill>
              <w14:schemeClr w14:val="tx1"/>
            </w14:solidFill>
          </w14:textFill>
        </w:rPr>
        <w:t>Banyard and Flanagan (2005) suggested that researchers must collect the data in an ethical manner which eventually will help to maintain research quality and integrity. The researcher collected the data in an ethical way and participants were allowed to state their opinions without being forced and they were voluntarily filled the questionnaires. The participants were convinced by the researcher that their opinions will not be exploited and will be kept safely without any intention to share it publicly. According to DiCicco-Bloom and Crabtree (2006), the researcher should have assured that the personal information of the participants will be kept highly confidential and the data from the participant will not be discussed or explore in the future. In addition, the researcher also provided participants with a briefing sheet in order to assist and gives participants a chance to know and understand the research topic and reason why the research is conducted.</w:t>
      </w:r>
    </w:p>
    <w:p>
      <w:pPr>
        <w:spacing w:before="120" w:after="120"/>
        <w:rPr>
          <w:color w:val="000000" w:themeColor="text1"/>
          <w14:textFill>
            <w14:solidFill>
              <w14:schemeClr w14:val="tx1"/>
            </w14:solidFill>
          </w14:textFill>
        </w:rPr>
      </w:pPr>
      <w:r>
        <w:rPr>
          <w:color w:val="000000" w:themeColor="text1"/>
          <w14:textFill>
            <w14:solidFill>
              <w14:schemeClr w14:val="tx1"/>
            </w14:solidFill>
          </w14:textFill>
        </w:rPr>
        <w:t xml:space="preserve">The researcher gathered the data from the literature review which were obtained from </w:t>
      </w:r>
      <w:r>
        <w:rPr>
          <w:rFonts w:hint="eastAsia"/>
          <w:color w:val="000000" w:themeColor="text1"/>
          <w14:textFill>
            <w14:solidFill>
              <w14:schemeClr w14:val="tx1"/>
            </w14:solidFill>
          </w14:textFill>
        </w:rPr>
        <w:t xml:space="preserve">previous </w:t>
      </w:r>
      <w:r>
        <w:rPr>
          <w:color w:val="000000" w:themeColor="text1"/>
          <w14:textFill>
            <w14:solidFill>
              <w14:schemeClr w14:val="tx1"/>
            </w14:solidFill>
          </w14:textFill>
        </w:rPr>
        <w:t>authentic sources</w:t>
      </w:r>
      <w:r>
        <w:rPr>
          <w:rFonts w:hint="eastAsia"/>
          <w:color w:val="000000" w:themeColor="text1"/>
          <w14:textFill>
            <w14:solidFill>
              <w14:schemeClr w14:val="tx1"/>
            </w14:solidFill>
          </w14:textFill>
        </w:rPr>
        <w:t>. T</w:t>
      </w:r>
      <w:r>
        <w:rPr>
          <w:color w:val="000000" w:themeColor="text1"/>
          <w14:textFill>
            <w14:solidFill>
              <w14:schemeClr w14:val="tx1"/>
            </w14:solidFill>
          </w14:textFill>
        </w:rPr>
        <w:t>o make sure that participants understand the question, simple language was used to build the questionnaire and it was based on the research hypotheses. As the questionnaire was adopted from past researches, it helped to improve internal validity and as the data was collected from the natural work environment, the external validity is also catered for ethically.</w:t>
      </w:r>
    </w:p>
    <w:p>
      <w:pPr>
        <w:pStyle w:val="2"/>
        <w:spacing w:before="360" w:after="120"/>
      </w:pPr>
      <w:bookmarkStart w:id="206" w:name="_Toc29416_WPSOffice_Level2"/>
      <w:bookmarkStart w:id="207" w:name="_Toc16964_WPSOffice_Level2"/>
      <w:bookmarkStart w:id="208" w:name="_Toc11858_WPSOffice_Level2"/>
      <w:r>
        <w:rPr>
          <w:rFonts w:hint="eastAsia"/>
        </w:rPr>
        <w:t>3.8 Conclusion</w:t>
      </w:r>
      <w:bookmarkEnd w:id="206"/>
      <w:bookmarkEnd w:id="207"/>
      <w:bookmarkEnd w:id="208"/>
    </w:p>
    <w:p>
      <w:pPr>
        <w:spacing w:before="120" w:after="120"/>
      </w:pPr>
      <w:r>
        <w:t xml:space="preserve">As conclusion of the chapter, the research methodology adopted in the research which is included the research design, unit of analysis, sampling plan along with data collection methodology to ensure the correct and appreciate research methodology. Meanwhile, this chapter will expends the measurement tools to use </w:t>
      </w:r>
      <w:r>
        <w:rPr>
          <w:rFonts w:hint="eastAsia"/>
        </w:rPr>
        <w:t xml:space="preserve">and ethical consideration </w:t>
      </w:r>
      <w:r>
        <w:t>including related justification.</w:t>
      </w:r>
      <w:r>
        <w:rPr>
          <w:rFonts w:hint="eastAsia"/>
        </w:rPr>
        <w:t xml:space="preserve"> </w:t>
      </w:r>
      <w:r>
        <w:t>The findings and analysis of the data will be discussed in the next chapter.</w:t>
      </w: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pStyle w:val="2"/>
        <w:spacing w:before="360" w:after="120" w:line="480" w:lineRule="auto"/>
        <w:rPr>
          <w:rFonts w:cs="Times New Roman"/>
          <w:szCs w:val="28"/>
        </w:rPr>
      </w:pPr>
      <w:bookmarkStart w:id="209" w:name="_Toc530662030"/>
      <w:bookmarkStart w:id="210" w:name="_Toc14378_WPSOffice_Level1"/>
      <w:bookmarkStart w:id="211" w:name="_Toc4673_WPSOffice_Level1"/>
      <w:r>
        <w:rPr>
          <w:rFonts w:cs="Times New Roman"/>
          <w:szCs w:val="28"/>
        </w:rPr>
        <w:t>C</w:t>
      </w:r>
      <w:bookmarkEnd w:id="209"/>
      <w:r>
        <w:rPr>
          <w:rFonts w:hint="eastAsia" w:cs="Times New Roman"/>
          <w:szCs w:val="28"/>
        </w:rPr>
        <w:t>HAPTER 4. RESEARCH FINDINGS</w:t>
      </w:r>
      <w:bookmarkEnd w:id="210"/>
      <w:bookmarkEnd w:id="211"/>
    </w:p>
    <w:p>
      <w:pPr>
        <w:pStyle w:val="2"/>
        <w:spacing w:before="360" w:after="120"/>
      </w:pPr>
      <w:bookmarkStart w:id="212" w:name="_Toc28662_WPSOffice_Level1"/>
      <w:bookmarkStart w:id="213" w:name="_Toc530662031"/>
      <w:bookmarkStart w:id="214" w:name="_Toc7676_WPSOffice_Level1"/>
      <w:r>
        <w:t>4.0 Overview</w:t>
      </w:r>
      <w:bookmarkEnd w:id="212"/>
      <w:bookmarkEnd w:id="213"/>
      <w:bookmarkEnd w:id="214"/>
      <w:r>
        <w:t xml:space="preserve"> </w:t>
      </w:r>
    </w:p>
    <w:p>
      <w:pPr>
        <w:spacing w:before="120" w:after="120"/>
      </w:pPr>
      <w:r>
        <w:t>In this chapter, the statistical data analysis is carried out in accordance to the methodology explained in the previous chapter using the SPPS software and the findings are explained based on the results obtained. However, the pilot test is initially conducted before the full data collection to ensure that the proposed questionnaire for the survey is appropriate and accurate for the study. The description analysis, preliminary tests and hypotheses testing are sequentially performed to further support the relevance of this study.</w:t>
      </w:r>
    </w:p>
    <w:p>
      <w:pPr>
        <w:spacing w:before="120" w:after="120"/>
        <w:rPr>
          <w:rFonts w:cs="Times New Roman"/>
        </w:rPr>
      </w:pPr>
    </w:p>
    <w:p>
      <w:pPr>
        <w:pStyle w:val="2"/>
        <w:spacing w:before="360" w:after="120" w:line="480" w:lineRule="auto"/>
        <w:rPr>
          <w:rFonts w:cs="Times New Roman" w:eastAsiaTheme="majorEastAsia"/>
        </w:rPr>
      </w:pPr>
      <w:bookmarkStart w:id="215" w:name="_Toc530662032"/>
      <w:bookmarkStart w:id="216" w:name="_Toc15444_WPSOffice_Level2"/>
      <w:bookmarkStart w:id="217" w:name="_Toc20555_WPSOffice_Level2"/>
      <w:r>
        <w:rPr>
          <w:rFonts w:cs="Times New Roman"/>
        </w:rPr>
        <w:t>4.1 P</w:t>
      </w:r>
      <w:bookmarkEnd w:id="215"/>
      <w:r>
        <w:rPr>
          <w:rFonts w:cs="Times New Roman"/>
        </w:rPr>
        <w:t>ilot test</w:t>
      </w:r>
      <w:bookmarkEnd w:id="216"/>
      <w:bookmarkEnd w:id="217"/>
    </w:p>
    <w:p>
      <w:pPr>
        <w:spacing w:before="120" w:after="120"/>
        <w:rPr>
          <w:rFonts w:cs="Times New Roman"/>
        </w:rPr>
      </w:pPr>
      <w:r>
        <w:rPr>
          <w:rFonts w:cs="Times New Roman"/>
        </w:rPr>
        <w:t xml:space="preserve">A pilot test is performed on a small scale with selected number of respondents prior to the full scale data collection to investigate the feasibility of the approach used to conduct this study in a larger basis (Leon et al., 2011). During the survey, </w:t>
      </w:r>
      <w:r>
        <w:rPr>
          <w:rFonts w:eastAsia="宋体" w:cs="Times New Roman"/>
        </w:rPr>
        <w:t>40</w:t>
      </w:r>
      <w:r>
        <w:rPr>
          <w:rFonts w:cs="Times New Roman"/>
        </w:rPr>
        <w:t xml:space="preserve"> respondents were selected for the pilot test data collection and the factor analysis, reliability test, and</w:t>
      </w:r>
      <w:r>
        <w:rPr>
          <w:rFonts w:hint="eastAsia" w:eastAsia="宋体" w:cs="Times New Roman"/>
        </w:rPr>
        <w:t xml:space="preserve"> </w:t>
      </w:r>
      <w:r>
        <w:rPr>
          <w:rFonts w:eastAsia="宋体" w:cs="Times New Roman"/>
          <w:color w:val="222222"/>
          <w:shd w:val="clear" w:color="auto" w:fill="FFFFFF"/>
        </w:rPr>
        <w:t>Correlation Matrix</w:t>
      </w:r>
      <w:r>
        <w:rPr>
          <w:rFonts w:cs="Times New Roman"/>
        </w:rPr>
        <w:t xml:space="preserve"> were conducted to ascertain the face and content validity as well as the appropriateness of the data collected at the initial stage. The </w:t>
      </w:r>
      <w:r>
        <w:rPr>
          <w:rFonts w:eastAsia="宋体" w:cs="Times New Roman"/>
        </w:rPr>
        <w:t>40</w:t>
      </w:r>
      <w:r>
        <w:rPr>
          <w:rFonts w:cs="Times New Roman"/>
        </w:rPr>
        <w:t xml:space="preserve"> respondents for the pilot test are conveniently selected </w:t>
      </w:r>
      <w:r>
        <w:rPr>
          <w:rFonts w:eastAsia="宋体" w:cs="Times New Roman"/>
        </w:rPr>
        <w:t xml:space="preserve">for education institutions in China, </w:t>
      </w:r>
      <w:r>
        <w:rPr>
          <w:rFonts w:cs="Times New Roman"/>
        </w:rPr>
        <w:t>but</w:t>
      </w:r>
      <w:r>
        <w:rPr>
          <w:rFonts w:eastAsia="宋体" w:cs="Times New Roman"/>
        </w:rPr>
        <w:t xml:space="preserve"> they are</w:t>
      </w:r>
      <w:r>
        <w:rPr>
          <w:rFonts w:cs="Times New Roman"/>
        </w:rPr>
        <w:t xml:space="preserve"> still reflect the population being studied. The selection of the </w:t>
      </w:r>
      <w:r>
        <w:rPr>
          <w:rFonts w:eastAsia="宋体" w:cs="Times New Roman"/>
        </w:rPr>
        <w:t>40</w:t>
      </w:r>
      <w:r>
        <w:rPr>
          <w:rFonts w:cs="Times New Roman"/>
        </w:rPr>
        <w:t xml:space="preserve"> respondents for the pilot test was based on Creswell (2013) that mentioned that the pilot test can number can be based on about 10% of the expected sample size.</w:t>
      </w:r>
    </w:p>
    <w:p>
      <w:pPr>
        <w:spacing w:before="120" w:after="120"/>
        <w:rPr>
          <w:rFonts w:cs="Times New Roman"/>
        </w:rPr>
      </w:pPr>
    </w:p>
    <w:p>
      <w:pPr>
        <w:pStyle w:val="4"/>
        <w:spacing w:before="120" w:after="120"/>
        <w:rPr>
          <w:rFonts w:cs="Times New Roman"/>
        </w:rPr>
      </w:pPr>
      <w:bookmarkStart w:id="218" w:name="_Toc20745_WPSOffice_Level3"/>
      <w:bookmarkStart w:id="219" w:name="_Toc20555_WPSOffice_Level3"/>
      <w:r>
        <w:rPr>
          <w:rFonts w:cs="Times New Roman"/>
        </w:rPr>
        <w:t>4.1.1 Factor Analysis</w:t>
      </w:r>
      <w:bookmarkEnd w:id="218"/>
      <w:bookmarkEnd w:id="219"/>
    </w:p>
    <w:p>
      <w:pPr>
        <w:spacing w:before="120" w:after="120"/>
        <w:rPr>
          <w:rFonts w:cs="Times New Roman"/>
        </w:rPr>
      </w:pPr>
      <w:r>
        <w:rPr>
          <w:rFonts w:cs="Times New Roman"/>
        </w:rPr>
        <w:t>In order to determine if the constructs of this study are relevant, the factor analysis and multi-colinearity tests are carried out to measure if all independent variables items are correlated (Bougie and Sekaran, 2011). The factor analysis provides insights into whether specific items or construct is to be removed from the subsequent data collection in order to strengthen the validity and appropriateness of the constructs if the factor loading for a specific factor is found to be lower than the required cut-off (Creswell, 2013). The multi-collinearity test is carried out to ensure there are no constructs in a regression model that are correlated to each other which can subsequently affect the accuracy of regression analysis (Bougie and Sekaran, 2011). Below are the relevant tables showing the results of the factor analysis test conducted during the pilot run.</w:t>
      </w:r>
    </w:p>
    <w:p>
      <w:pPr>
        <w:spacing w:before="120" w:after="120"/>
        <w:rPr>
          <w:rFonts w:cs="Times New Roman"/>
        </w:rPr>
      </w:pPr>
    </w:p>
    <w:p>
      <w:pPr>
        <w:spacing w:before="120" w:after="120"/>
        <w:rPr>
          <w:rFonts w:hint="eastAsia" w:eastAsia="宋体" w:cs="Times New Roman"/>
        </w:rPr>
      </w:pPr>
      <w:r>
        <w:rPr>
          <w:rFonts w:eastAsia="宋体" w:cs="Times New Roman"/>
        </w:rPr>
        <w:t xml:space="preserve">Table 4.1: </w:t>
      </w:r>
      <w:r>
        <w:rPr>
          <w:rFonts w:cs="Times New Roman"/>
        </w:rPr>
        <w:t>KMO and Bartlett’s Table</w:t>
      </w:r>
      <w:r>
        <w:rPr>
          <w:rFonts w:hint="eastAsia" w:eastAsia="宋体" w:cs="Times New Roman"/>
        </w:rPr>
        <w:t xml:space="preserve"> - DV &amp; IVs</w:t>
      </w:r>
    </w:p>
    <w:p>
      <w:pPr>
        <w:spacing w:before="120" w:after="120"/>
        <w:rPr>
          <w:rFonts w:hint="eastAsia" w:eastAsia="宋体" w:cs="Times New Roman"/>
        </w:rPr>
      </w:pPr>
    </w:p>
    <w:tbl>
      <w:tblPr>
        <w:tblStyle w:val="14"/>
        <w:tblW w:w="788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335"/>
        <w:gridCol w:w="3148"/>
        <w:gridCol w:w="139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33" w:hRule="atLeast"/>
        </w:trPr>
        <w:tc>
          <w:tcPr>
            <w:tcW w:w="7880" w:type="dxa"/>
            <w:gridSpan w:val="3"/>
            <w:tcBorders>
              <w:top w:val="nil"/>
              <w:left w:val="nil"/>
              <w:bottom w:val="nil"/>
              <w:right w:val="nil"/>
              <w:tl2br w:val="nil"/>
              <w:tr2bl w:val="nil"/>
            </w:tcBorders>
            <w:shd w:val="clear" w:color="auto" w:fill="FFFFFF"/>
            <w:vAlign w:val="center"/>
          </w:tcPr>
          <w:p>
            <w:pPr>
              <w:spacing w:beforeLines="0" w:afterLines="0" w:line="320" w:lineRule="atLeast"/>
              <w:ind w:left="60" w:right="60"/>
              <w:jc w:val="center"/>
              <w:rPr>
                <w:rFonts w:eastAsia="宋体" w:cs="Times New Roman"/>
                <w:sz w:val="21"/>
                <w:szCs w:val="21"/>
              </w:rPr>
            </w:pPr>
            <w:r>
              <w:rPr>
                <w:rFonts w:cs="Times New Roman"/>
                <w:b/>
                <w:sz w:val="21"/>
                <w:szCs w:val="21"/>
              </w:rPr>
              <w:t>KMO and Bartlett's Test</w:t>
            </w:r>
            <w:r>
              <w:rPr>
                <w:rFonts w:eastAsia="宋体" w:cs="Times New Roman"/>
                <w:b/>
                <w:sz w:val="21"/>
                <w:szCs w:val="21"/>
              </w:rPr>
              <w:t xml:space="preserve"> - DV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87" w:hRule="atLeast"/>
        </w:trPr>
        <w:tc>
          <w:tcPr>
            <w:tcW w:w="6483" w:type="dxa"/>
            <w:gridSpan w:val="2"/>
            <w:tcBorders>
              <w:top w:val="single" w:color="000000" w:sz="16" w:space="0"/>
              <w:left w:val="single" w:color="000000" w:sz="16" w:space="0"/>
              <w:bottom w:val="nil"/>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Kaiser-Meyer-Olkin Measure of Sampling Adequacy.</w:t>
            </w:r>
          </w:p>
        </w:tc>
        <w:tc>
          <w:tcPr>
            <w:tcW w:w="1397" w:type="dxa"/>
            <w:tcBorders>
              <w:top w:val="single" w:color="000000" w:sz="16" w:space="0"/>
              <w:left w:val="single" w:color="000000" w:sz="16"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Height w:val="433" w:hRule="atLeast"/>
        </w:trPr>
        <w:tc>
          <w:tcPr>
            <w:tcW w:w="3335" w:type="dxa"/>
            <w:vMerge w:val="restart"/>
            <w:tcBorders>
              <w:top w:val="nil"/>
              <w:left w:val="single" w:color="000000" w:sz="16" w:space="0"/>
              <w:bottom w:val="single" w:color="000000" w:sz="16"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Bartlett's Test of Sphericity</w:t>
            </w:r>
          </w:p>
        </w:tc>
        <w:tc>
          <w:tcPr>
            <w:tcW w:w="3148"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Approx. Chi-Square</w:t>
            </w:r>
          </w:p>
        </w:tc>
        <w:tc>
          <w:tcPr>
            <w:tcW w:w="1397" w:type="dxa"/>
            <w:tcBorders>
              <w:top w:val="nil"/>
              <w:left w:val="single" w:color="000000" w:sz="16"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136.526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87" w:hRule="atLeast"/>
        </w:trPr>
        <w:tc>
          <w:tcPr>
            <w:tcW w:w="3335" w:type="dxa"/>
            <w:vMerge w:val="continue"/>
            <w:tcBorders>
              <w:top w:val="nil"/>
              <w:left w:val="single" w:color="000000" w:sz="16" w:space="0"/>
              <w:bottom w:val="single" w:color="000000" w:sz="16" w:space="0"/>
              <w:right w:val="nil"/>
              <w:tl2br w:val="nil"/>
              <w:tr2bl w:val="nil"/>
            </w:tcBorders>
            <w:shd w:val="clear" w:color="auto" w:fill="FFFFFF"/>
          </w:tcPr>
          <w:p>
            <w:pPr>
              <w:spacing w:beforeLines="0" w:afterLines="0"/>
              <w:rPr>
                <w:rFonts w:cs="Times New Roman"/>
                <w:sz w:val="21"/>
                <w:szCs w:val="21"/>
              </w:rPr>
            </w:pPr>
          </w:p>
        </w:tc>
        <w:tc>
          <w:tcPr>
            <w:tcW w:w="3148"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df</w:t>
            </w:r>
          </w:p>
        </w:tc>
        <w:tc>
          <w:tcPr>
            <w:tcW w:w="1397" w:type="dxa"/>
            <w:tcBorders>
              <w:top w:val="nil"/>
              <w:left w:val="single" w:color="000000" w:sz="16"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41" w:hRule="atLeast"/>
        </w:trPr>
        <w:tc>
          <w:tcPr>
            <w:tcW w:w="3335" w:type="dxa"/>
            <w:vMerge w:val="continue"/>
            <w:tcBorders>
              <w:top w:val="nil"/>
              <w:left w:val="single" w:color="000000" w:sz="16" w:space="0"/>
              <w:bottom w:val="single" w:color="000000" w:sz="16" w:space="0"/>
              <w:right w:val="nil"/>
              <w:tl2br w:val="nil"/>
              <w:tr2bl w:val="nil"/>
            </w:tcBorders>
            <w:shd w:val="clear" w:color="auto" w:fill="FFFFFF"/>
          </w:tcPr>
          <w:p>
            <w:pPr>
              <w:spacing w:beforeLines="0" w:afterLines="0"/>
              <w:rPr>
                <w:rFonts w:cs="Times New Roman"/>
                <w:sz w:val="21"/>
                <w:szCs w:val="21"/>
              </w:rPr>
            </w:pPr>
          </w:p>
        </w:tc>
        <w:tc>
          <w:tcPr>
            <w:tcW w:w="3148" w:type="dxa"/>
            <w:tcBorders>
              <w:top w:val="nil"/>
              <w:left w:val="nil"/>
              <w:bottom w:val="single" w:color="000000" w:sz="16"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w:t>
            </w:r>
          </w:p>
        </w:tc>
        <w:tc>
          <w:tcPr>
            <w:tcW w:w="1397" w:type="dxa"/>
            <w:tcBorders>
              <w:top w:val="nil"/>
              <w:left w:val="single" w:color="000000" w:sz="16" w:space="0"/>
              <w:bottom w:val="single" w:color="000000" w:sz="16"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r>
    </w:tbl>
    <w:p>
      <w:pPr>
        <w:spacing w:before="120" w:after="120"/>
        <w:rPr>
          <w:rFonts w:cs="Times New Roman"/>
          <w:sz w:val="21"/>
          <w:szCs w:val="21"/>
        </w:rPr>
      </w:pPr>
    </w:p>
    <w:tbl>
      <w:tblPr>
        <w:tblStyle w:val="14"/>
        <w:tblW w:w="792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352"/>
        <w:gridCol w:w="3164"/>
        <w:gridCol w:w="140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90" w:hRule="atLeast"/>
        </w:trPr>
        <w:tc>
          <w:tcPr>
            <w:tcW w:w="7920" w:type="dxa"/>
            <w:gridSpan w:val="3"/>
            <w:tcBorders>
              <w:top w:val="nil"/>
              <w:left w:val="nil"/>
              <w:bottom w:val="nil"/>
              <w:right w:val="nil"/>
              <w:tl2br w:val="nil"/>
              <w:tr2bl w:val="nil"/>
            </w:tcBorders>
            <w:shd w:val="clear" w:color="auto" w:fill="FFFFFF"/>
            <w:vAlign w:val="center"/>
          </w:tcPr>
          <w:p>
            <w:pPr>
              <w:spacing w:beforeLines="0" w:afterLines="0" w:line="320" w:lineRule="atLeast"/>
              <w:ind w:left="60" w:right="60"/>
              <w:jc w:val="center"/>
              <w:rPr>
                <w:rFonts w:eastAsia="宋体" w:cs="Times New Roman"/>
                <w:sz w:val="21"/>
                <w:szCs w:val="21"/>
              </w:rPr>
            </w:pPr>
            <w:r>
              <w:rPr>
                <w:rFonts w:cs="Times New Roman"/>
                <w:b/>
                <w:sz w:val="21"/>
                <w:szCs w:val="21"/>
              </w:rPr>
              <w:t>KMO and Bartlett's Test</w:t>
            </w:r>
            <w:r>
              <w:rPr>
                <w:rFonts w:eastAsia="宋体" w:cs="Times New Roman"/>
                <w:b/>
                <w:sz w:val="21"/>
                <w:szCs w:val="21"/>
              </w:rPr>
              <w:t xml:space="preserve"> - IVs constructs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81" w:hRule="atLeast"/>
        </w:trPr>
        <w:tc>
          <w:tcPr>
            <w:tcW w:w="6516" w:type="dxa"/>
            <w:gridSpan w:val="2"/>
            <w:tcBorders>
              <w:top w:val="single" w:color="000000" w:sz="16" w:space="0"/>
              <w:left w:val="single" w:color="000000" w:sz="16" w:space="0"/>
              <w:bottom w:val="nil"/>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Kaiser-Meyer-Olkin Measure of Sampling Adequacy.</w:t>
            </w:r>
          </w:p>
        </w:tc>
        <w:tc>
          <w:tcPr>
            <w:tcW w:w="1404" w:type="dxa"/>
            <w:tcBorders>
              <w:top w:val="single" w:color="000000" w:sz="16" w:space="0"/>
              <w:left w:val="single" w:color="000000" w:sz="16"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90" w:hRule="atLeast"/>
        </w:trPr>
        <w:tc>
          <w:tcPr>
            <w:tcW w:w="3352" w:type="dxa"/>
            <w:vMerge w:val="restart"/>
            <w:tcBorders>
              <w:top w:val="nil"/>
              <w:left w:val="single" w:color="000000" w:sz="16" w:space="0"/>
              <w:bottom w:val="single" w:color="000000" w:sz="16"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Bartlett's Test of Sphericity</w:t>
            </w:r>
          </w:p>
        </w:tc>
        <w:tc>
          <w:tcPr>
            <w:tcW w:w="3164"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Approx. Chi-Square</w:t>
            </w:r>
          </w:p>
        </w:tc>
        <w:tc>
          <w:tcPr>
            <w:tcW w:w="1404" w:type="dxa"/>
            <w:tcBorders>
              <w:top w:val="nil"/>
              <w:left w:val="single" w:color="000000" w:sz="16"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340.242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81" w:hRule="atLeast"/>
        </w:trPr>
        <w:tc>
          <w:tcPr>
            <w:tcW w:w="3352" w:type="dxa"/>
            <w:vMerge w:val="continue"/>
            <w:tcBorders>
              <w:top w:val="nil"/>
              <w:left w:val="single" w:color="000000" w:sz="16" w:space="0"/>
              <w:bottom w:val="single" w:color="000000" w:sz="16" w:space="0"/>
              <w:right w:val="nil"/>
              <w:tl2br w:val="nil"/>
              <w:tr2bl w:val="nil"/>
            </w:tcBorders>
            <w:shd w:val="clear" w:color="auto" w:fill="FFFFFF"/>
          </w:tcPr>
          <w:p>
            <w:pPr>
              <w:spacing w:beforeLines="0" w:afterLines="0"/>
              <w:rPr>
                <w:rFonts w:cs="Times New Roman"/>
                <w:sz w:val="21"/>
                <w:szCs w:val="21"/>
              </w:rPr>
            </w:pPr>
          </w:p>
        </w:tc>
        <w:tc>
          <w:tcPr>
            <w:tcW w:w="3164"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df</w:t>
            </w:r>
          </w:p>
        </w:tc>
        <w:tc>
          <w:tcPr>
            <w:tcW w:w="1404" w:type="dxa"/>
            <w:tcBorders>
              <w:top w:val="nil"/>
              <w:left w:val="single" w:color="000000" w:sz="16"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73" w:hRule="atLeast"/>
        </w:trPr>
        <w:tc>
          <w:tcPr>
            <w:tcW w:w="3352" w:type="dxa"/>
            <w:vMerge w:val="continue"/>
            <w:tcBorders>
              <w:top w:val="nil"/>
              <w:left w:val="single" w:color="000000" w:sz="16" w:space="0"/>
              <w:bottom w:val="single" w:color="000000" w:sz="16" w:space="0"/>
              <w:right w:val="nil"/>
              <w:tl2br w:val="nil"/>
              <w:tr2bl w:val="nil"/>
            </w:tcBorders>
            <w:shd w:val="clear" w:color="auto" w:fill="FFFFFF"/>
          </w:tcPr>
          <w:p>
            <w:pPr>
              <w:spacing w:beforeLines="0" w:afterLines="0"/>
              <w:rPr>
                <w:rFonts w:cs="Times New Roman"/>
                <w:sz w:val="21"/>
                <w:szCs w:val="21"/>
              </w:rPr>
            </w:pPr>
          </w:p>
        </w:tc>
        <w:tc>
          <w:tcPr>
            <w:tcW w:w="3164" w:type="dxa"/>
            <w:tcBorders>
              <w:top w:val="nil"/>
              <w:left w:val="nil"/>
              <w:bottom w:val="single" w:color="000000" w:sz="16"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w:t>
            </w:r>
          </w:p>
        </w:tc>
        <w:tc>
          <w:tcPr>
            <w:tcW w:w="1404" w:type="dxa"/>
            <w:tcBorders>
              <w:top w:val="nil"/>
              <w:left w:val="single" w:color="000000" w:sz="16" w:space="0"/>
              <w:bottom w:val="single" w:color="000000" w:sz="16"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r>
    </w:tbl>
    <w:p>
      <w:pPr>
        <w:spacing w:before="120" w:after="120"/>
        <w:rPr>
          <w:rFonts w:eastAsia="宋体" w:cs="Times New Roman"/>
        </w:rPr>
      </w:pPr>
    </w:p>
    <w:p>
      <w:pPr>
        <w:spacing w:before="120" w:after="120"/>
        <w:rPr>
          <w:rFonts w:eastAsia="宋体" w:cs="Times New Roman"/>
        </w:rPr>
      </w:pPr>
    </w:p>
    <w:p>
      <w:pPr>
        <w:spacing w:before="120" w:after="120"/>
        <w:rPr>
          <w:rFonts w:eastAsia="宋体" w:cs="Times New Roman"/>
        </w:rPr>
      </w:pPr>
    </w:p>
    <w:p>
      <w:pPr>
        <w:spacing w:before="120" w:after="120"/>
        <w:rPr>
          <w:rFonts w:eastAsia="宋体" w:cs="Times New Roman"/>
        </w:rPr>
      </w:pPr>
    </w:p>
    <w:p>
      <w:pPr>
        <w:spacing w:before="120" w:after="120"/>
        <w:rPr>
          <w:rFonts w:eastAsia="宋体" w:cs="Times New Roman"/>
        </w:rPr>
      </w:pPr>
    </w:p>
    <w:p>
      <w:pPr>
        <w:spacing w:before="120" w:after="120"/>
        <w:rPr>
          <w:rFonts w:cs="Times New Roman"/>
          <w:sz w:val="21"/>
          <w:szCs w:val="21"/>
        </w:rPr>
      </w:pPr>
      <w:r>
        <w:rPr>
          <w:rFonts w:eastAsia="宋体" w:cs="Times New Roman"/>
        </w:rPr>
        <w:t xml:space="preserve">Table 4.2: </w:t>
      </w:r>
      <w:r>
        <w:rPr>
          <w:rFonts w:cs="Times New Roman"/>
        </w:rPr>
        <w:t>Communalities Table</w:t>
      </w:r>
      <w:r>
        <w:rPr>
          <w:rFonts w:eastAsia="宋体" w:cs="Times New Roman"/>
        </w:rPr>
        <w:t xml:space="preserve"> - DV &amp; IVs</w:t>
      </w:r>
    </w:p>
    <w:tbl>
      <w:tblPr>
        <w:tblStyle w:val="14"/>
        <w:tblW w:w="80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069"/>
        <w:gridCol w:w="2887"/>
        <w:gridCol w:w="310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92" w:hRule="atLeast"/>
        </w:trPr>
        <w:tc>
          <w:tcPr>
            <w:tcW w:w="8060" w:type="dxa"/>
            <w:gridSpan w:val="3"/>
            <w:tcBorders>
              <w:top w:val="nil"/>
              <w:left w:val="nil"/>
              <w:bottom w:val="nil"/>
              <w:right w:val="nil"/>
              <w:tl2br w:val="nil"/>
              <w:tr2bl w:val="nil"/>
            </w:tcBorders>
            <w:shd w:val="clear" w:color="auto" w:fill="FFFFFF"/>
            <w:vAlign w:val="center"/>
          </w:tcPr>
          <w:p>
            <w:pPr>
              <w:spacing w:beforeLines="0" w:afterLines="0" w:line="320" w:lineRule="atLeast"/>
              <w:ind w:left="60" w:right="60"/>
              <w:jc w:val="center"/>
              <w:rPr>
                <w:rFonts w:eastAsia="宋体" w:cs="Times New Roman"/>
                <w:sz w:val="21"/>
                <w:szCs w:val="21"/>
              </w:rPr>
            </w:pPr>
            <w:r>
              <w:rPr>
                <w:rFonts w:cs="Times New Roman"/>
                <w:b/>
                <w:sz w:val="21"/>
                <w:szCs w:val="21"/>
              </w:rPr>
              <w:t>Communalities</w:t>
            </w:r>
            <w:r>
              <w:rPr>
                <w:rFonts w:eastAsia="宋体" w:cs="Times New Roman"/>
                <w:b/>
                <w:sz w:val="21"/>
                <w:szCs w:val="21"/>
              </w:rPr>
              <w:t xml:space="preserve"> - DV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68" w:hRule="atLeast"/>
        </w:trPr>
        <w:tc>
          <w:tcPr>
            <w:tcW w:w="2069" w:type="dxa"/>
            <w:tcBorders>
              <w:top w:val="single" w:color="000000" w:sz="16" w:space="0"/>
              <w:left w:val="single" w:color="000000" w:sz="16" w:space="0"/>
              <w:bottom w:val="single" w:color="000000" w:sz="16" w:space="0"/>
              <w:right w:val="single" w:color="000000" w:sz="16" w:space="0"/>
              <w:tl2br w:val="nil"/>
              <w:tr2bl w:val="nil"/>
            </w:tcBorders>
            <w:shd w:val="clear" w:color="auto" w:fill="FFFFFF"/>
            <w:vAlign w:val="bottom"/>
          </w:tcPr>
          <w:p>
            <w:pPr>
              <w:spacing w:beforeLines="0" w:afterLines="0"/>
              <w:rPr>
                <w:rFonts w:cs="Times New Roman"/>
                <w:sz w:val="21"/>
                <w:szCs w:val="21"/>
              </w:rPr>
            </w:pPr>
          </w:p>
        </w:tc>
        <w:tc>
          <w:tcPr>
            <w:tcW w:w="2887" w:type="dxa"/>
            <w:tcBorders>
              <w:top w:val="single" w:color="000000" w:sz="16" w:space="0"/>
              <w:left w:val="single" w:color="000000" w:sz="16"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Initial</w:t>
            </w:r>
          </w:p>
        </w:tc>
        <w:tc>
          <w:tcPr>
            <w:tcW w:w="3104" w:type="dxa"/>
            <w:tcBorders>
              <w:top w:val="single" w:color="000000" w:sz="16" w:space="0"/>
              <w:left w:val="single" w:color="000000" w:sz="8" w:space="0"/>
              <w:bottom w:val="single" w:color="000000" w:sz="16" w:space="0"/>
              <w:right w:val="single" w:color="000000" w:sz="16"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Extraction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32" w:hRule="atLeast"/>
        </w:trPr>
        <w:tc>
          <w:tcPr>
            <w:tcW w:w="2069" w:type="dxa"/>
            <w:tcBorders>
              <w:top w:val="single" w:color="000000" w:sz="16" w:space="0"/>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P1</w:t>
            </w:r>
          </w:p>
        </w:tc>
        <w:tc>
          <w:tcPr>
            <w:tcW w:w="2887" w:type="dxa"/>
            <w:tcBorders>
              <w:top w:val="single" w:color="000000" w:sz="16" w:space="0"/>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3104" w:type="dxa"/>
            <w:tcBorders>
              <w:top w:val="single" w:color="000000" w:sz="16" w:space="0"/>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Height w:val="392" w:hRule="atLeast"/>
        </w:trPr>
        <w:tc>
          <w:tcPr>
            <w:tcW w:w="2069"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P2</w:t>
            </w:r>
          </w:p>
        </w:tc>
        <w:tc>
          <w:tcPr>
            <w:tcW w:w="2887"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310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92" w:hRule="atLeast"/>
        </w:trPr>
        <w:tc>
          <w:tcPr>
            <w:tcW w:w="2069"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P3</w:t>
            </w:r>
          </w:p>
        </w:tc>
        <w:tc>
          <w:tcPr>
            <w:tcW w:w="2887"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310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92" w:hRule="atLeast"/>
        </w:trPr>
        <w:tc>
          <w:tcPr>
            <w:tcW w:w="2069"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P4</w:t>
            </w:r>
          </w:p>
        </w:tc>
        <w:tc>
          <w:tcPr>
            <w:tcW w:w="2887"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310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.778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92" w:hRule="atLeast"/>
        </w:trPr>
        <w:tc>
          <w:tcPr>
            <w:tcW w:w="2069" w:type="dxa"/>
            <w:tcBorders>
              <w:top w:val="nil"/>
              <w:left w:val="single" w:color="000000" w:sz="16" w:space="0"/>
              <w:bottom w:val="single" w:color="000000" w:sz="16"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P5</w:t>
            </w:r>
          </w:p>
        </w:tc>
        <w:tc>
          <w:tcPr>
            <w:tcW w:w="2887" w:type="dxa"/>
            <w:tcBorders>
              <w:top w:val="nil"/>
              <w:left w:val="single" w:color="000000" w:sz="16"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3104" w:type="dxa"/>
            <w:tcBorders>
              <w:top w:val="nil"/>
              <w:left w:val="single" w:color="000000" w:sz="8" w:space="0"/>
              <w:bottom w:val="single" w:color="000000" w:sz="16"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84" w:hRule="atLeast"/>
        </w:trPr>
        <w:tc>
          <w:tcPr>
            <w:tcW w:w="8060" w:type="dxa"/>
            <w:gridSpan w:val="3"/>
            <w:tcBorders>
              <w:top w:val="nil"/>
              <w:left w:val="nil"/>
              <w:bottom w:val="nil"/>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Extraction Method: Principal Component Analysis.</w:t>
            </w:r>
          </w:p>
        </w:tc>
      </w:tr>
    </w:tbl>
    <w:p>
      <w:pPr>
        <w:spacing w:before="120" w:after="120"/>
        <w:rPr>
          <w:rFonts w:eastAsia="宋体" w:cs="Times New Roman"/>
        </w:rPr>
      </w:pPr>
    </w:p>
    <w:tbl>
      <w:tblPr>
        <w:tblStyle w:val="14"/>
        <w:tblW w:w="82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19"/>
        <w:gridCol w:w="2960"/>
        <w:gridCol w:w="318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94" w:hRule="atLeast"/>
        </w:trPr>
        <w:tc>
          <w:tcPr>
            <w:tcW w:w="8260" w:type="dxa"/>
            <w:gridSpan w:val="3"/>
            <w:tcBorders>
              <w:top w:val="nil"/>
              <w:left w:val="nil"/>
              <w:bottom w:val="nil"/>
              <w:right w:val="nil"/>
              <w:tl2br w:val="nil"/>
              <w:tr2bl w:val="nil"/>
            </w:tcBorders>
            <w:shd w:val="clear" w:color="auto" w:fill="FFFFFF"/>
            <w:vAlign w:val="center"/>
          </w:tcPr>
          <w:p>
            <w:pPr>
              <w:spacing w:beforeLines="0" w:afterLines="0" w:line="320" w:lineRule="atLeast"/>
              <w:ind w:left="60" w:right="60"/>
              <w:jc w:val="center"/>
              <w:rPr>
                <w:rFonts w:eastAsia="宋体" w:cs="Times New Roman"/>
                <w:sz w:val="21"/>
                <w:szCs w:val="21"/>
              </w:rPr>
            </w:pPr>
            <w:r>
              <w:rPr>
                <w:rFonts w:cs="Times New Roman"/>
                <w:b/>
                <w:sz w:val="21"/>
                <w:szCs w:val="21"/>
              </w:rPr>
              <w:t>Communalities</w:t>
            </w:r>
            <w:r>
              <w:rPr>
                <w:rFonts w:eastAsia="宋体" w:cs="Times New Roman"/>
                <w:b/>
                <w:sz w:val="21"/>
                <w:szCs w:val="21"/>
              </w:rPr>
              <w:t xml:space="preserve"> - Ivs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46" w:hRule="atLeast"/>
        </w:trPr>
        <w:tc>
          <w:tcPr>
            <w:tcW w:w="2119" w:type="dxa"/>
            <w:tcBorders>
              <w:top w:val="single" w:color="000000" w:sz="16" w:space="0"/>
              <w:left w:val="single" w:color="000000" w:sz="16" w:space="0"/>
              <w:bottom w:val="single" w:color="000000" w:sz="16" w:space="0"/>
              <w:right w:val="single" w:color="000000" w:sz="16" w:space="0"/>
              <w:tl2br w:val="nil"/>
              <w:tr2bl w:val="nil"/>
            </w:tcBorders>
            <w:shd w:val="clear" w:color="auto" w:fill="FFFFFF"/>
            <w:vAlign w:val="bottom"/>
          </w:tcPr>
          <w:p>
            <w:pPr>
              <w:spacing w:beforeLines="0" w:afterLines="0"/>
              <w:rPr>
                <w:rFonts w:cs="Times New Roman"/>
                <w:sz w:val="21"/>
                <w:szCs w:val="21"/>
              </w:rPr>
            </w:pPr>
          </w:p>
        </w:tc>
        <w:tc>
          <w:tcPr>
            <w:tcW w:w="2960" w:type="dxa"/>
            <w:tcBorders>
              <w:top w:val="single" w:color="000000" w:sz="16" w:space="0"/>
              <w:left w:val="single" w:color="000000" w:sz="16"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Initial</w:t>
            </w:r>
          </w:p>
        </w:tc>
        <w:tc>
          <w:tcPr>
            <w:tcW w:w="3181" w:type="dxa"/>
            <w:tcBorders>
              <w:top w:val="single" w:color="000000" w:sz="16" w:space="0"/>
              <w:left w:val="single" w:color="000000" w:sz="8" w:space="0"/>
              <w:bottom w:val="single" w:color="000000" w:sz="16" w:space="0"/>
              <w:right w:val="single" w:color="000000" w:sz="16"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Extraction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1" w:hRule="atLeast"/>
        </w:trPr>
        <w:tc>
          <w:tcPr>
            <w:tcW w:w="2119" w:type="dxa"/>
            <w:tcBorders>
              <w:top w:val="single" w:color="000000" w:sz="16" w:space="0"/>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DK1</w:t>
            </w:r>
          </w:p>
        </w:tc>
        <w:tc>
          <w:tcPr>
            <w:tcW w:w="2960" w:type="dxa"/>
            <w:tcBorders>
              <w:top w:val="single" w:color="000000" w:sz="16" w:space="0"/>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3181" w:type="dxa"/>
            <w:tcBorders>
              <w:top w:val="single" w:color="000000" w:sz="16" w:space="0"/>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94" w:hRule="atLeast"/>
        </w:trPr>
        <w:tc>
          <w:tcPr>
            <w:tcW w:w="2119"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DK2</w:t>
            </w:r>
          </w:p>
        </w:tc>
        <w:tc>
          <w:tcPr>
            <w:tcW w:w="2960"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318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94" w:hRule="atLeast"/>
        </w:trPr>
        <w:tc>
          <w:tcPr>
            <w:tcW w:w="2119"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DK3</w:t>
            </w:r>
          </w:p>
        </w:tc>
        <w:tc>
          <w:tcPr>
            <w:tcW w:w="2960"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318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94" w:hRule="atLeast"/>
        </w:trPr>
        <w:tc>
          <w:tcPr>
            <w:tcW w:w="2119"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DK4</w:t>
            </w:r>
          </w:p>
        </w:tc>
        <w:tc>
          <w:tcPr>
            <w:tcW w:w="2960"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318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94" w:hRule="atLeast"/>
        </w:trPr>
        <w:tc>
          <w:tcPr>
            <w:tcW w:w="2119"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DK5</w:t>
            </w:r>
          </w:p>
        </w:tc>
        <w:tc>
          <w:tcPr>
            <w:tcW w:w="2960"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318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94" w:hRule="atLeast"/>
        </w:trPr>
        <w:tc>
          <w:tcPr>
            <w:tcW w:w="2119"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TP1</w:t>
            </w:r>
          </w:p>
        </w:tc>
        <w:tc>
          <w:tcPr>
            <w:tcW w:w="2960"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318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94" w:hRule="atLeast"/>
        </w:trPr>
        <w:tc>
          <w:tcPr>
            <w:tcW w:w="2119"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TP2</w:t>
            </w:r>
          </w:p>
        </w:tc>
        <w:tc>
          <w:tcPr>
            <w:tcW w:w="2960"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318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94" w:hRule="atLeast"/>
        </w:trPr>
        <w:tc>
          <w:tcPr>
            <w:tcW w:w="2119"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TP3</w:t>
            </w:r>
          </w:p>
        </w:tc>
        <w:tc>
          <w:tcPr>
            <w:tcW w:w="2960"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318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.879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94" w:hRule="atLeast"/>
        </w:trPr>
        <w:tc>
          <w:tcPr>
            <w:tcW w:w="2119"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TP4</w:t>
            </w:r>
          </w:p>
        </w:tc>
        <w:tc>
          <w:tcPr>
            <w:tcW w:w="2960"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318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94" w:hRule="atLeast"/>
        </w:trPr>
        <w:tc>
          <w:tcPr>
            <w:tcW w:w="2119" w:type="dxa"/>
            <w:tcBorders>
              <w:top w:val="nil"/>
              <w:left w:val="single" w:color="000000" w:sz="16" w:space="0"/>
              <w:bottom w:val="single" w:color="000000" w:sz="16"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TP5</w:t>
            </w:r>
          </w:p>
        </w:tc>
        <w:tc>
          <w:tcPr>
            <w:tcW w:w="2960" w:type="dxa"/>
            <w:tcBorders>
              <w:top w:val="nil"/>
              <w:left w:val="single" w:color="000000" w:sz="16"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3181" w:type="dxa"/>
            <w:tcBorders>
              <w:top w:val="nil"/>
              <w:left w:val="single" w:color="000000" w:sz="8" w:space="0"/>
              <w:bottom w:val="single" w:color="000000" w:sz="16"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.839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51" w:hRule="atLeast"/>
        </w:trPr>
        <w:tc>
          <w:tcPr>
            <w:tcW w:w="8260" w:type="dxa"/>
            <w:gridSpan w:val="3"/>
            <w:tcBorders>
              <w:top w:val="nil"/>
              <w:left w:val="nil"/>
              <w:bottom w:val="nil"/>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Extraction Method: Principal Component Analysis.</w:t>
            </w:r>
          </w:p>
        </w:tc>
      </w:tr>
    </w:tbl>
    <w:p>
      <w:pPr>
        <w:spacing w:before="120" w:after="120"/>
        <w:rPr>
          <w:rFonts w:cs="Times New Roman"/>
          <w:sz w:val="21"/>
          <w:szCs w:val="21"/>
        </w:rPr>
      </w:pPr>
    </w:p>
    <w:p>
      <w:pPr>
        <w:spacing w:before="120" w:after="120"/>
        <w:rPr>
          <w:rFonts w:cs="Times New Roman"/>
          <w:sz w:val="21"/>
          <w:szCs w:val="21"/>
        </w:rPr>
      </w:pPr>
    </w:p>
    <w:p>
      <w:pPr>
        <w:spacing w:before="120" w:after="120"/>
        <w:rPr>
          <w:rFonts w:cs="Times New Roman"/>
          <w:sz w:val="21"/>
          <w:szCs w:val="21"/>
        </w:rPr>
      </w:pPr>
      <w:r>
        <w:rPr>
          <w:rFonts w:eastAsia="宋体" w:cs="Times New Roman"/>
        </w:rPr>
        <w:t>Table 4.2.2 : Eigenvalues table - DV &amp; IVs</w:t>
      </w:r>
    </w:p>
    <w:tbl>
      <w:tblPr>
        <w:tblStyle w:val="14"/>
        <w:tblW w:w="872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11"/>
        <w:gridCol w:w="965"/>
        <w:gridCol w:w="1355"/>
        <w:gridCol w:w="1369"/>
        <w:gridCol w:w="1095"/>
        <w:gridCol w:w="1355"/>
        <w:gridCol w:w="137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16" w:hRule="atLeast"/>
        </w:trPr>
        <w:tc>
          <w:tcPr>
            <w:tcW w:w="8720" w:type="dxa"/>
            <w:gridSpan w:val="7"/>
            <w:tcBorders>
              <w:top w:val="nil"/>
              <w:left w:val="nil"/>
              <w:bottom w:val="nil"/>
              <w:right w:val="nil"/>
              <w:tl2br w:val="nil"/>
              <w:tr2bl w:val="nil"/>
            </w:tcBorders>
            <w:shd w:val="clear" w:color="auto" w:fill="FFFFFF"/>
            <w:vAlign w:val="center"/>
          </w:tcPr>
          <w:p>
            <w:pPr>
              <w:spacing w:beforeLines="0" w:afterLines="0" w:line="320" w:lineRule="atLeast"/>
              <w:ind w:left="60" w:right="60"/>
              <w:jc w:val="center"/>
              <w:rPr>
                <w:rFonts w:eastAsia="宋体" w:cs="Times New Roman"/>
                <w:sz w:val="21"/>
                <w:szCs w:val="21"/>
              </w:rPr>
            </w:pPr>
            <w:r>
              <w:rPr>
                <w:rFonts w:cs="Times New Roman"/>
                <w:b/>
                <w:sz w:val="21"/>
                <w:szCs w:val="21"/>
              </w:rPr>
              <w:t>Total Variance Explained</w:t>
            </w:r>
            <w:r>
              <w:rPr>
                <w:rFonts w:eastAsia="宋体" w:cs="Times New Roman"/>
                <w:b/>
                <w:sz w:val="21"/>
                <w:szCs w:val="21"/>
              </w:rPr>
              <w:t xml:space="preserve"> - DV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55" w:hRule="atLeast"/>
        </w:trPr>
        <w:tc>
          <w:tcPr>
            <w:tcW w:w="1211" w:type="dxa"/>
            <w:vMerge w:val="restart"/>
            <w:tcBorders>
              <w:top w:val="single" w:color="000000" w:sz="16" w:space="0"/>
              <w:left w:val="single" w:color="000000" w:sz="16" w:space="0"/>
              <w:bottom w:val="nil"/>
              <w:right w:val="single" w:color="000000" w:sz="16" w:space="0"/>
              <w:tl2br w:val="nil"/>
              <w:tr2bl w:val="nil"/>
            </w:tcBorders>
            <w:shd w:val="clear" w:color="auto" w:fill="FFFFFF"/>
            <w:vAlign w:val="bottom"/>
          </w:tcPr>
          <w:p>
            <w:pPr>
              <w:spacing w:beforeLines="0" w:afterLines="0" w:line="320" w:lineRule="atLeast"/>
              <w:ind w:left="60" w:right="60"/>
              <w:rPr>
                <w:rFonts w:cs="Times New Roman"/>
                <w:sz w:val="21"/>
                <w:szCs w:val="21"/>
              </w:rPr>
            </w:pPr>
            <w:r>
              <w:rPr>
                <w:rFonts w:cs="Times New Roman"/>
                <w:sz w:val="21"/>
                <w:szCs w:val="21"/>
              </w:rPr>
              <w:t>Component</w:t>
            </w:r>
          </w:p>
        </w:tc>
        <w:tc>
          <w:tcPr>
            <w:tcW w:w="3689" w:type="dxa"/>
            <w:gridSpan w:val="3"/>
            <w:tcBorders>
              <w:top w:val="single" w:color="000000" w:sz="16" w:space="0"/>
              <w:left w:val="single" w:color="000000" w:sz="16" w:space="0"/>
              <w:bottom w:val="single" w:color="000000" w:sz="8"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Initial Eigenvalues</w:t>
            </w:r>
          </w:p>
        </w:tc>
        <w:tc>
          <w:tcPr>
            <w:tcW w:w="3820" w:type="dxa"/>
            <w:gridSpan w:val="3"/>
            <w:tcBorders>
              <w:top w:val="single" w:color="000000" w:sz="16" w:space="0"/>
              <w:left w:val="single" w:color="000000" w:sz="8" w:space="0"/>
              <w:bottom w:val="single" w:color="000000" w:sz="8" w:space="0"/>
              <w:right w:val="single" w:color="000000" w:sz="16"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Extraction Sums of Squared Loadings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55" w:hRule="atLeast"/>
        </w:trPr>
        <w:tc>
          <w:tcPr>
            <w:tcW w:w="1211" w:type="dxa"/>
            <w:vMerge w:val="continue"/>
            <w:tcBorders>
              <w:top w:val="single" w:color="000000" w:sz="16" w:space="0"/>
              <w:left w:val="single" w:color="000000" w:sz="16" w:space="0"/>
              <w:bottom w:val="nil"/>
              <w:right w:val="single" w:color="000000" w:sz="16" w:space="0"/>
              <w:tl2br w:val="nil"/>
              <w:tr2bl w:val="nil"/>
            </w:tcBorders>
            <w:shd w:val="clear" w:color="auto" w:fill="FFFFFF"/>
            <w:vAlign w:val="bottom"/>
          </w:tcPr>
          <w:p>
            <w:pPr>
              <w:spacing w:beforeLines="0" w:afterLines="0"/>
              <w:rPr>
                <w:rFonts w:cs="Times New Roman"/>
                <w:sz w:val="21"/>
                <w:szCs w:val="21"/>
              </w:rPr>
            </w:pPr>
          </w:p>
        </w:tc>
        <w:tc>
          <w:tcPr>
            <w:tcW w:w="965" w:type="dxa"/>
            <w:tcBorders>
              <w:top w:val="single" w:color="000000" w:sz="8" w:space="0"/>
              <w:left w:val="single" w:color="000000" w:sz="16"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Total</w:t>
            </w:r>
          </w:p>
        </w:tc>
        <w:tc>
          <w:tcPr>
            <w:tcW w:w="1355"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 of Variance</w:t>
            </w:r>
          </w:p>
        </w:tc>
        <w:tc>
          <w:tcPr>
            <w:tcW w:w="1369"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Cumulative %</w:t>
            </w:r>
          </w:p>
        </w:tc>
        <w:tc>
          <w:tcPr>
            <w:tcW w:w="1095"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Total</w:t>
            </w:r>
          </w:p>
        </w:tc>
        <w:tc>
          <w:tcPr>
            <w:tcW w:w="1355"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 of Variance</w:t>
            </w:r>
          </w:p>
        </w:tc>
        <w:tc>
          <w:tcPr>
            <w:tcW w:w="1370" w:type="dxa"/>
            <w:tcBorders>
              <w:top w:val="single" w:color="000000" w:sz="8" w:space="0"/>
              <w:left w:val="single" w:color="000000" w:sz="8" w:space="0"/>
              <w:bottom w:val="single" w:color="000000" w:sz="16" w:space="0"/>
              <w:right w:val="single" w:color="000000" w:sz="16"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Cumulative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55" w:hRule="atLeast"/>
        </w:trPr>
        <w:tc>
          <w:tcPr>
            <w:tcW w:w="1211" w:type="dxa"/>
            <w:tcBorders>
              <w:top w:val="single" w:color="000000" w:sz="16" w:space="0"/>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1</w:t>
            </w:r>
          </w:p>
        </w:tc>
        <w:tc>
          <w:tcPr>
            <w:tcW w:w="965" w:type="dxa"/>
            <w:tcBorders>
              <w:top w:val="single" w:color="000000" w:sz="16" w:space="0"/>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3.707</w:t>
            </w:r>
          </w:p>
        </w:tc>
        <w:tc>
          <w:tcPr>
            <w:tcW w:w="1355"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74.150</w:t>
            </w:r>
          </w:p>
        </w:tc>
        <w:tc>
          <w:tcPr>
            <w:tcW w:w="1369"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74.150</w:t>
            </w:r>
          </w:p>
        </w:tc>
        <w:tc>
          <w:tcPr>
            <w:tcW w:w="1095"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3.707</w:t>
            </w:r>
          </w:p>
        </w:tc>
        <w:tc>
          <w:tcPr>
            <w:tcW w:w="1355"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74.150</w:t>
            </w:r>
          </w:p>
        </w:tc>
        <w:tc>
          <w:tcPr>
            <w:tcW w:w="1370" w:type="dxa"/>
            <w:tcBorders>
              <w:top w:val="single" w:color="000000" w:sz="16" w:space="0"/>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74.150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2" w:hRule="atLeast"/>
        </w:trPr>
        <w:tc>
          <w:tcPr>
            <w:tcW w:w="1211"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2</w:t>
            </w:r>
          </w:p>
        </w:tc>
        <w:tc>
          <w:tcPr>
            <w:tcW w:w="96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.607</w:t>
            </w:r>
          </w:p>
        </w:tc>
        <w:tc>
          <w:tcPr>
            <w:tcW w:w="135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12.140</w:t>
            </w:r>
          </w:p>
        </w:tc>
        <w:tc>
          <w:tcPr>
            <w:tcW w:w="1369"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86.290</w:t>
            </w:r>
          </w:p>
        </w:tc>
        <w:tc>
          <w:tcPr>
            <w:tcW w:w="10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5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70"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2" w:hRule="atLeast"/>
        </w:trPr>
        <w:tc>
          <w:tcPr>
            <w:tcW w:w="1211"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3</w:t>
            </w:r>
          </w:p>
        </w:tc>
        <w:tc>
          <w:tcPr>
            <w:tcW w:w="96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.275</w:t>
            </w:r>
          </w:p>
        </w:tc>
        <w:tc>
          <w:tcPr>
            <w:tcW w:w="135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5.500</w:t>
            </w:r>
          </w:p>
        </w:tc>
        <w:tc>
          <w:tcPr>
            <w:tcW w:w="1369"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91.790</w:t>
            </w:r>
          </w:p>
        </w:tc>
        <w:tc>
          <w:tcPr>
            <w:tcW w:w="10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5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70"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2" w:hRule="atLeast"/>
        </w:trPr>
        <w:tc>
          <w:tcPr>
            <w:tcW w:w="1211"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4</w:t>
            </w:r>
          </w:p>
        </w:tc>
        <w:tc>
          <w:tcPr>
            <w:tcW w:w="96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.267</w:t>
            </w:r>
          </w:p>
        </w:tc>
        <w:tc>
          <w:tcPr>
            <w:tcW w:w="135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5.332</w:t>
            </w:r>
          </w:p>
        </w:tc>
        <w:tc>
          <w:tcPr>
            <w:tcW w:w="1369"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97.122</w:t>
            </w:r>
          </w:p>
        </w:tc>
        <w:tc>
          <w:tcPr>
            <w:tcW w:w="10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5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70"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2" w:hRule="atLeast"/>
        </w:trPr>
        <w:tc>
          <w:tcPr>
            <w:tcW w:w="1211" w:type="dxa"/>
            <w:tcBorders>
              <w:top w:val="nil"/>
              <w:left w:val="single" w:color="000000" w:sz="16" w:space="0"/>
              <w:bottom w:val="single" w:color="000000" w:sz="16"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5</w:t>
            </w:r>
          </w:p>
        </w:tc>
        <w:tc>
          <w:tcPr>
            <w:tcW w:w="965" w:type="dxa"/>
            <w:tcBorders>
              <w:top w:val="nil"/>
              <w:left w:val="single" w:color="000000" w:sz="16"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.144</w:t>
            </w:r>
          </w:p>
        </w:tc>
        <w:tc>
          <w:tcPr>
            <w:tcW w:w="1355"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2.878</w:t>
            </w:r>
          </w:p>
        </w:tc>
        <w:tc>
          <w:tcPr>
            <w:tcW w:w="1369"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100.000</w:t>
            </w:r>
          </w:p>
        </w:tc>
        <w:tc>
          <w:tcPr>
            <w:tcW w:w="1095"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55"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70" w:type="dxa"/>
            <w:tcBorders>
              <w:top w:val="nil"/>
              <w:left w:val="single" w:color="000000" w:sz="8" w:space="0"/>
              <w:bottom w:val="single" w:color="000000" w:sz="16" w:space="0"/>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55" w:hRule="atLeast"/>
        </w:trPr>
        <w:tc>
          <w:tcPr>
            <w:tcW w:w="8720" w:type="dxa"/>
            <w:gridSpan w:val="7"/>
            <w:tcBorders>
              <w:top w:val="nil"/>
              <w:left w:val="nil"/>
              <w:bottom w:val="nil"/>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Extraction Method: Principal Component Analysis.</w:t>
            </w:r>
          </w:p>
        </w:tc>
      </w:tr>
    </w:tbl>
    <w:p>
      <w:pPr>
        <w:spacing w:beforeLines="0" w:afterLines="0"/>
        <w:rPr>
          <w:rFonts w:cs="Times New Roman"/>
          <w:sz w:val="21"/>
          <w:szCs w:val="21"/>
        </w:rPr>
      </w:pPr>
    </w:p>
    <w:tbl>
      <w:tblPr>
        <w:tblStyle w:val="14"/>
        <w:tblW w:w="904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56"/>
        <w:gridCol w:w="1001"/>
        <w:gridCol w:w="1404"/>
        <w:gridCol w:w="1419"/>
        <w:gridCol w:w="1136"/>
        <w:gridCol w:w="1404"/>
        <w:gridCol w:w="14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92" w:hRule="atLeast"/>
        </w:trPr>
        <w:tc>
          <w:tcPr>
            <w:tcW w:w="9040" w:type="dxa"/>
            <w:gridSpan w:val="7"/>
            <w:tcBorders>
              <w:top w:val="nil"/>
              <w:left w:val="nil"/>
              <w:bottom w:val="nil"/>
              <w:right w:val="nil"/>
              <w:tl2br w:val="nil"/>
              <w:tr2bl w:val="nil"/>
            </w:tcBorders>
            <w:shd w:val="clear" w:color="auto" w:fill="FFFFFF"/>
            <w:vAlign w:val="center"/>
          </w:tcPr>
          <w:p>
            <w:pPr>
              <w:spacing w:beforeLines="0" w:afterLines="0" w:line="320" w:lineRule="atLeast"/>
              <w:ind w:left="60" w:right="60"/>
              <w:jc w:val="center"/>
              <w:rPr>
                <w:rFonts w:eastAsia="宋体" w:cs="Times New Roman"/>
                <w:sz w:val="21"/>
                <w:szCs w:val="21"/>
              </w:rPr>
            </w:pPr>
            <w:r>
              <w:rPr>
                <w:rFonts w:cs="Times New Roman"/>
                <w:b/>
                <w:sz w:val="21"/>
                <w:szCs w:val="21"/>
              </w:rPr>
              <w:t>Total Variance Explained</w:t>
            </w:r>
            <w:r>
              <w:rPr>
                <w:rFonts w:eastAsia="宋体" w:cs="Times New Roman"/>
                <w:b/>
                <w:sz w:val="21"/>
                <w:szCs w:val="21"/>
              </w:rPr>
              <w:t xml:space="preserve"> -IVs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28" w:hRule="atLeast"/>
        </w:trPr>
        <w:tc>
          <w:tcPr>
            <w:tcW w:w="1256" w:type="dxa"/>
            <w:vMerge w:val="restart"/>
            <w:tcBorders>
              <w:top w:val="single" w:color="000000" w:sz="16" w:space="0"/>
              <w:left w:val="single" w:color="000000" w:sz="16" w:space="0"/>
              <w:bottom w:val="nil"/>
              <w:right w:val="single" w:color="000000" w:sz="16" w:space="0"/>
              <w:tl2br w:val="nil"/>
              <w:tr2bl w:val="nil"/>
            </w:tcBorders>
            <w:shd w:val="clear" w:color="auto" w:fill="FFFFFF"/>
            <w:vAlign w:val="bottom"/>
          </w:tcPr>
          <w:p>
            <w:pPr>
              <w:spacing w:beforeLines="0" w:afterLines="0" w:line="320" w:lineRule="atLeast"/>
              <w:ind w:left="60" w:right="60"/>
              <w:rPr>
                <w:rFonts w:cs="Times New Roman"/>
                <w:sz w:val="21"/>
                <w:szCs w:val="21"/>
              </w:rPr>
            </w:pPr>
            <w:r>
              <w:rPr>
                <w:rFonts w:cs="Times New Roman"/>
                <w:sz w:val="21"/>
                <w:szCs w:val="21"/>
              </w:rPr>
              <w:t>Component</w:t>
            </w:r>
          </w:p>
        </w:tc>
        <w:tc>
          <w:tcPr>
            <w:tcW w:w="3824" w:type="dxa"/>
            <w:gridSpan w:val="3"/>
            <w:tcBorders>
              <w:top w:val="single" w:color="000000" w:sz="16" w:space="0"/>
              <w:left w:val="single" w:color="000000" w:sz="16" w:space="0"/>
              <w:bottom w:val="single" w:color="000000" w:sz="8"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Initial Eigenvalues</w:t>
            </w:r>
          </w:p>
        </w:tc>
        <w:tc>
          <w:tcPr>
            <w:tcW w:w="3960" w:type="dxa"/>
            <w:gridSpan w:val="3"/>
            <w:tcBorders>
              <w:top w:val="single" w:color="000000" w:sz="16" w:space="0"/>
              <w:left w:val="single" w:color="000000" w:sz="8" w:space="0"/>
              <w:bottom w:val="single" w:color="000000" w:sz="8" w:space="0"/>
              <w:right w:val="single" w:color="000000" w:sz="16"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Extraction Sums of Squared Loadings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28" w:hRule="atLeast"/>
        </w:trPr>
        <w:tc>
          <w:tcPr>
            <w:tcW w:w="1256" w:type="dxa"/>
            <w:vMerge w:val="continue"/>
            <w:tcBorders>
              <w:top w:val="single" w:color="000000" w:sz="16" w:space="0"/>
              <w:left w:val="single" w:color="000000" w:sz="16" w:space="0"/>
              <w:bottom w:val="nil"/>
              <w:right w:val="single" w:color="000000" w:sz="16" w:space="0"/>
              <w:tl2br w:val="nil"/>
              <w:tr2bl w:val="nil"/>
            </w:tcBorders>
            <w:shd w:val="clear" w:color="auto" w:fill="FFFFFF"/>
            <w:vAlign w:val="bottom"/>
          </w:tcPr>
          <w:p>
            <w:pPr>
              <w:spacing w:beforeLines="0" w:afterLines="0"/>
              <w:rPr>
                <w:rFonts w:cs="Times New Roman"/>
                <w:sz w:val="21"/>
                <w:szCs w:val="21"/>
              </w:rPr>
            </w:pPr>
          </w:p>
        </w:tc>
        <w:tc>
          <w:tcPr>
            <w:tcW w:w="1001" w:type="dxa"/>
            <w:tcBorders>
              <w:top w:val="single" w:color="000000" w:sz="8" w:space="0"/>
              <w:left w:val="single" w:color="000000" w:sz="16"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Total</w:t>
            </w:r>
          </w:p>
        </w:tc>
        <w:tc>
          <w:tcPr>
            <w:tcW w:w="1404"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 of Variance</w:t>
            </w:r>
          </w:p>
        </w:tc>
        <w:tc>
          <w:tcPr>
            <w:tcW w:w="1419"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Cumulative %</w:t>
            </w:r>
          </w:p>
        </w:tc>
        <w:tc>
          <w:tcPr>
            <w:tcW w:w="1136"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Total</w:t>
            </w:r>
          </w:p>
        </w:tc>
        <w:tc>
          <w:tcPr>
            <w:tcW w:w="1404"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 of Variance</w:t>
            </w:r>
          </w:p>
        </w:tc>
        <w:tc>
          <w:tcPr>
            <w:tcW w:w="1420" w:type="dxa"/>
            <w:tcBorders>
              <w:top w:val="single" w:color="000000" w:sz="8" w:space="0"/>
              <w:left w:val="single" w:color="000000" w:sz="8" w:space="0"/>
              <w:bottom w:val="single" w:color="000000" w:sz="16" w:space="0"/>
              <w:right w:val="single" w:color="000000" w:sz="16"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Cumulative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28" w:hRule="atLeast"/>
        </w:trPr>
        <w:tc>
          <w:tcPr>
            <w:tcW w:w="1256" w:type="dxa"/>
            <w:tcBorders>
              <w:top w:val="single" w:color="000000" w:sz="16" w:space="0"/>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1</w:t>
            </w:r>
          </w:p>
        </w:tc>
        <w:tc>
          <w:tcPr>
            <w:tcW w:w="1001" w:type="dxa"/>
            <w:tcBorders>
              <w:top w:val="single" w:color="000000" w:sz="16" w:space="0"/>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4.328</w:t>
            </w:r>
          </w:p>
        </w:tc>
        <w:tc>
          <w:tcPr>
            <w:tcW w:w="1404"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43.283</w:t>
            </w:r>
          </w:p>
        </w:tc>
        <w:tc>
          <w:tcPr>
            <w:tcW w:w="1419"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43.283</w:t>
            </w:r>
          </w:p>
        </w:tc>
        <w:tc>
          <w:tcPr>
            <w:tcW w:w="1136"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4.328</w:t>
            </w:r>
          </w:p>
        </w:tc>
        <w:tc>
          <w:tcPr>
            <w:tcW w:w="1404"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43.283</w:t>
            </w:r>
          </w:p>
        </w:tc>
        <w:tc>
          <w:tcPr>
            <w:tcW w:w="1420" w:type="dxa"/>
            <w:tcBorders>
              <w:top w:val="single" w:color="000000" w:sz="16" w:space="0"/>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43.283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92" w:hRule="atLeast"/>
        </w:trPr>
        <w:tc>
          <w:tcPr>
            <w:tcW w:w="1256"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2</w:t>
            </w:r>
          </w:p>
        </w:tc>
        <w:tc>
          <w:tcPr>
            <w:tcW w:w="1001"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3.534</w:t>
            </w:r>
          </w:p>
        </w:tc>
        <w:tc>
          <w:tcPr>
            <w:tcW w:w="140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35.338</w:t>
            </w:r>
          </w:p>
        </w:tc>
        <w:tc>
          <w:tcPr>
            <w:tcW w:w="1419"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78.621</w:t>
            </w:r>
          </w:p>
        </w:tc>
        <w:tc>
          <w:tcPr>
            <w:tcW w:w="113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3.534</w:t>
            </w:r>
          </w:p>
        </w:tc>
        <w:tc>
          <w:tcPr>
            <w:tcW w:w="140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35.338</w:t>
            </w:r>
          </w:p>
        </w:tc>
        <w:tc>
          <w:tcPr>
            <w:tcW w:w="1420"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78.621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07" w:hRule="atLeast"/>
        </w:trPr>
        <w:tc>
          <w:tcPr>
            <w:tcW w:w="1256"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3</w:t>
            </w:r>
          </w:p>
        </w:tc>
        <w:tc>
          <w:tcPr>
            <w:tcW w:w="1001"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.576</w:t>
            </w:r>
          </w:p>
        </w:tc>
        <w:tc>
          <w:tcPr>
            <w:tcW w:w="140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5.757</w:t>
            </w:r>
          </w:p>
        </w:tc>
        <w:tc>
          <w:tcPr>
            <w:tcW w:w="1419"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84.378</w:t>
            </w:r>
          </w:p>
        </w:tc>
        <w:tc>
          <w:tcPr>
            <w:tcW w:w="113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40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420"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07" w:hRule="atLeast"/>
        </w:trPr>
        <w:tc>
          <w:tcPr>
            <w:tcW w:w="1256"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4</w:t>
            </w:r>
          </w:p>
        </w:tc>
        <w:tc>
          <w:tcPr>
            <w:tcW w:w="1001"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.542</w:t>
            </w:r>
          </w:p>
        </w:tc>
        <w:tc>
          <w:tcPr>
            <w:tcW w:w="140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5.420</w:t>
            </w:r>
          </w:p>
        </w:tc>
        <w:tc>
          <w:tcPr>
            <w:tcW w:w="1419"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89.798</w:t>
            </w:r>
          </w:p>
        </w:tc>
        <w:tc>
          <w:tcPr>
            <w:tcW w:w="113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40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420"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07" w:hRule="atLeast"/>
        </w:trPr>
        <w:tc>
          <w:tcPr>
            <w:tcW w:w="1256"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5</w:t>
            </w:r>
          </w:p>
        </w:tc>
        <w:tc>
          <w:tcPr>
            <w:tcW w:w="1001"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.327</w:t>
            </w:r>
          </w:p>
        </w:tc>
        <w:tc>
          <w:tcPr>
            <w:tcW w:w="140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3.266</w:t>
            </w:r>
          </w:p>
        </w:tc>
        <w:tc>
          <w:tcPr>
            <w:tcW w:w="1419"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93.064</w:t>
            </w:r>
          </w:p>
        </w:tc>
        <w:tc>
          <w:tcPr>
            <w:tcW w:w="113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40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420"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07" w:hRule="atLeast"/>
        </w:trPr>
        <w:tc>
          <w:tcPr>
            <w:tcW w:w="1256"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6</w:t>
            </w:r>
          </w:p>
        </w:tc>
        <w:tc>
          <w:tcPr>
            <w:tcW w:w="1001"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.197</w:t>
            </w:r>
          </w:p>
        </w:tc>
        <w:tc>
          <w:tcPr>
            <w:tcW w:w="140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1.969</w:t>
            </w:r>
          </w:p>
        </w:tc>
        <w:tc>
          <w:tcPr>
            <w:tcW w:w="1419"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95.033</w:t>
            </w:r>
          </w:p>
        </w:tc>
        <w:tc>
          <w:tcPr>
            <w:tcW w:w="113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40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420"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07" w:hRule="atLeast"/>
        </w:trPr>
        <w:tc>
          <w:tcPr>
            <w:tcW w:w="1256"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7</w:t>
            </w:r>
          </w:p>
        </w:tc>
        <w:tc>
          <w:tcPr>
            <w:tcW w:w="1001"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.174</w:t>
            </w:r>
          </w:p>
        </w:tc>
        <w:tc>
          <w:tcPr>
            <w:tcW w:w="140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1.739</w:t>
            </w:r>
          </w:p>
        </w:tc>
        <w:tc>
          <w:tcPr>
            <w:tcW w:w="1419"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96.773</w:t>
            </w:r>
          </w:p>
        </w:tc>
        <w:tc>
          <w:tcPr>
            <w:tcW w:w="113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40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420"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07" w:hRule="atLeast"/>
        </w:trPr>
        <w:tc>
          <w:tcPr>
            <w:tcW w:w="1256"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8</w:t>
            </w:r>
          </w:p>
        </w:tc>
        <w:tc>
          <w:tcPr>
            <w:tcW w:w="1001"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.157</w:t>
            </w:r>
          </w:p>
        </w:tc>
        <w:tc>
          <w:tcPr>
            <w:tcW w:w="140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1.565</w:t>
            </w:r>
          </w:p>
        </w:tc>
        <w:tc>
          <w:tcPr>
            <w:tcW w:w="1419"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98.338</w:t>
            </w:r>
          </w:p>
        </w:tc>
        <w:tc>
          <w:tcPr>
            <w:tcW w:w="113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40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420"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07" w:hRule="atLeast"/>
        </w:trPr>
        <w:tc>
          <w:tcPr>
            <w:tcW w:w="1256"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9</w:t>
            </w:r>
          </w:p>
        </w:tc>
        <w:tc>
          <w:tcPr>
            <w:tcW w:w="1001"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.091</w:t>
            </w:r>
          </w:p>
        </w:tc>
        <w:tc>
          <w:tcPr>
            <w:tcW w:w="140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.905</w:t>
            </w:r>
          </w:p>
        </w:tc>
        <w:tc>
          <w:tcPr>
            <w:tcW w:w="1419"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99.243</w:t>
            </w:r>
          </w:p>
        </w:tc>
        <w:tc>
          <w:tcPr>
            <w:tcW w:w="113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40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420"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07" w:hRule="atLeast"/>
        </w:trPr>
        <w:tc>
          <w:tcPr>
            <w:tcW w:w="1256" w:type="dxa"/>
            <w:tcBorders>
              <w:top w:val="nil"/>
              <w:left w:val="single" w:color="000000" w:sz="16" w:space="0"/>
              <w:bottom w:val="single" w:color="000000" w:sz="16"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10</w:t>
            </w:r>
          </w:p>
        </w:tc>
        <w:tc>
          <w:tcPr>
            <w:tcW w:w="1001" w:type="dxa"/>
            <w:tcBorders>
              <w:top w:val="nil"/>
              <w:left w:val="single" w:color="000000" w:sz="16"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.076</w:t>
            </w:r>
          </w:p>
        </w:tc>
        <w:tc>
          <w:tcPr>
            <w:tcW w:w="1404"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.757</w:t>
            </w:r>
          </w:p>
        </w:tc>
        <w:tc>
          <w:tcPr>
            <w:tcW w:w="1419"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100.000</w:t>
            </w:r>
          </w:p>
        </w:tc>
        <w:tc>
          <w:tcPr>
            <w:tcW w:w="1136"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404"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420" w:type="dxa"/>
            <w:tcBorders>
              <w:top w:val="nil"/>
              <w:left w:val="single" w:color="000000" w:sz="8" w:space="0"/>
              <w:bottom w:val="single" w:color="000000" w:sz="16" w:space="0"/>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28" w:hRule="atLeast"/>
        </w:trPr>
        <w:tc>
          <w:tcPr>
            <w:tcW w:w="9040" w:type="dxa"/>
            <w:gridSpan w:val="7"/>
            <w:tcBorders>
              <w:top w:val="nil"/>
              <w:left w:val="nil"/>
              <w:bottom w:val="nil"/>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Extraction Method: Principal Component Analysis.</w:t>
            </w:r>
          </w:p>
        </w:tc>
      </w:tr>
    </w:tbl>
    <w:p>
      <w:pPr>
        <w:spacing w:before="120" w:after="120"/>
      </w:pPr>
    </w:p>
    <w:p>
      <w:pPr>
        <w:spacing w:before="120" w:after="120"/>
        <w:rPr>
          <w:rFonts w:cs="Times New Roman"/>
        </w:rPr>
      </w:pPr>
      <w:r>
        <w:rPr>
          <w:rFonts w:cs="Times New Roman"/>
        </w:rPr>
        <w:t>According to Hair et al. (2013), KMO Bartlett’s Test of Sphericity is a measure of sampling adequacy that is recommended to check the case to variable ratio for the analysis being conducted. Normally, the value of KMO ranges from 0 to 1, and the minimal acceptable KMO sampling adequacy is over 0.6 but values that are closer to 1 are preferred. Bartlett's Test of Sphericity checks the correlational matrix to the identity matrix; verifying if there are equal variances across variables tested as in order for factor analysis to operate; relationships between the variables tested should exist to avoid zero correlation coefficients (Bougie and Sekaran, 2011; Andy, 2005). The Barlett’s Test of Sphericity should be significant and thus a value less than 0.05 is required to show the validity and suitability of the responses collected for the purpose of the study or the phenomenon that is being addressed in this study. The KMO is reported to be more than 0.6 shows adequacy of sampling and the result of Bartlett’s Test of Sphericity is less than 5% which means the items adapted from previous studies for this research is relevant and appropriate for subsequent analysis.</w:t>
      </w:r>
    </w:p>
    <w:p>
      <w:pPr>
        <w:spacing w:before="120" w:after="120"/>
        <w:rPr>
          <w:rFonts w:cs="Times New Roman"/>
        </w:rPr>
      </w:pPr>
      <w:r>
        <w:rPr>
          <w:rFonts w:cs="Times New Roman"/>
        </w:rPr>
        <w:t>According to Cooper &amp; Schindler (2013), when the factor loading which is defined as the correlation between a variable and a factor which has been extracted from the data; is larger than 0.6 the factors are deemed to be relevant and appropriate for further analysis. Based on the table above, all of the extraction values exhibit loadings higher than 0.6, with many of the</w:t>
      </w:r>
      <w:r>
        <w:rPr>
          <w:rFonts w:hint="eastAsia" w:eastAsia="宋体" w:cs="Times New Roman"/>
        </w:rPr>
        <w:t xml:space="preserve"> </w:t>
      </w:r>
      <w:r>
        <w:rPr>
          <w:rFonts w:cs="Times New Roman"/>
        </w:rPr>
        <w:t>items having a factor loading of more than 0.7 thus these results indicate that the factors are considered to be appropriate for the study. However, there is one factor which reports a loading slightly lower than 0.6 which is the item related to the “location of each section within the store”. Although the factor loading is lower than 0.6; it is still higher than 0.5 which is acceptable according to Hair, Anderson, Black and Latham (2013) who state that loadings above 0.5 could still be included in the study. As a result, this item will be retained during the final data collection. All other factor loadings are considered to be within the range of moderate to high ranging from 0.6 to above 0.9.</w:t>
      </w:r>
    </w:p>
    <w:p>
      <w:pPr>
        <w:spacing w:before="120" w:after="120"/>
        <w:rPr>
          <w:rFonts w:eastAsia="宋体" w:cs="Times New Roman"/>
        </w:rPr>
      </w:pPr>
      <w:r>
        <w:rPr>
          <w:rFonts w:cs="Times New Roman"/>
        </w:rPr>
        <w:t xml:space="preserve">The value of </w:t>
      </w:r>
      <w:r>
        <w:rPr>
          <w:rFonts w:eastAsia="宋体" w:cs="Times New Roman"/>
        </w:rPr>
        <w:t>3 set tables above</w:t>
      </w:r>
      <w:r>
        <w:rPr>
          <w:rFonts w:cs="Times New Roman"/>
        </w:rPr>
        <w:t xml:space="preserve"> for </w:t>
      </w:r>
      <w:r>
        <w:rPr>
          <w:rFonts w:eastAsia="宋体" w:cs="Times New Roman"/>
        </w:rPr>
        <w:t xml:space="preserve">both </w:t>
      </w:r>
      <w:r>
        <w:rPr>
          <w:rFonts w:cs="Times New Roman"/>
        </w:rPr>
        <w:t xml:space="preserve">2 constructs (IVs) </w:t>
      </w:r>
      <w:r>
        <w:rPr>
          <w:rFonts w:eastAsia="宋体" w:cs="Times New Roman"/>
        </w:rPr>
        <w:t xml:space="preserve">and dependent variables </w:t>
      </w:r>
      <w:r>
        <w:rPr>
          <w:rFonts w:cs="Times New Roman"/>
        </w:rPr>
        <w:t>in the research has been presented.</w:t>
      </w:r>
      <w:r>
        <w:rPr>
          <w:rFonts w:eastAsia="宋体" w:cs="Times New Roman"/>
        </w:rPr>
        <w:t xml:space="preserve"> The above data are all in line with </w:t>
      </w:r>
      <w:r>
        <w:rPr>
          <w:rFonts w:cs="Times New Roman"/>
        </w:rPr>
        <w:t>KMO</w:t>
      </w:r>
      <w:r>
        <w:rPr>
          <w:rFonts w:eastAsia="宋体" w:cs="Times New Roman"/>
        </w:rPr>
        <w:t xml:space="preserve"> tests’ minimum requirements, the </w:t>
      </w:r>
      <w:r>
        <w:rPr>
          <w:rFonts w:hint="eastAsia" w:eastAsia="宋体" w:cs="Times New Roman"/>
        </w:rPr>
        <w:t>factor loading</w:t>
      </w:r>
      <w:r>
        <w:rPr>
          <w:rFonts w:eastAsia="宋体" w:cs="Times New Roman"/>
        </w:rPr>
        <w:t xml:space="preserve"> test for each factor is greater than 0.6 and eigenvalue is above for both IVs and DV is bigger than 1. All these data results </w:t>
      </w:r>
      <w:r>
        <w:rPr>
          <w:rFonts w:cs="Times New Roman"/>
        </w:rPr>
        <w:t>indicate it is accepted for further analyses in this study</w:t>
      </w:r>
      <w:r>
        <w:rPr>
          <w:rFonts w:eastAsia="宋体" w:cs="Times New Roman"/>
        </w:rPr>
        <w:t>.</w:t>
      </w:r>
      <w:bookmarkStart w:id="220" w:name="_Toc11202_WPSOffice_Level3"/>
      <w:bookmarkStart w:id="221" w:name="_Toc530662034"/>
      <w:bookmarkStart w:id="222" w:name="_Toc25245_WPSOffice_Level3"/>
    </w:p>
    <w:p>
      <w:pPr>
        <w:spacing w:before="120" w:after="120"/>
        <w:rPr>
          <w:rFonts w:eastAsia="宋体" w:cs="Times New Roman"/>
        </w:rPr>
      </w:pPr>
    </w:p>
    <w:p>
      <w:pPr>
        <w:spacing w:before="120" w:after="120"/>
        <w:rPr>
          <w:lang w:eastAsia="en-GB"/>
        </w:rPr>
      </w:pPr>
      <w:r>
        <w:rPr>
          <w:rStyle w:val="19"/>
          <w:rFonts w:cs="Times New Roman"/>
          <w:b/>
          <w:lang w:eastAsia="en-GB"/>
        </w:rPr>
        <w:t>4.1.2 Reliability Test</w:t>
      </w:r>
      <w:bookmarkEnd w:id="220"/>
      <w:bookmarkEnd w:id="221"/>
      <w:bookmarkEnd w:id="222"/>
      <w:r>
        <w:rPr>
          <w:lang w:eastAsia="en-GB"/>
        </w:rPr>
        <w:t xml:space="preserve"> </w:t>
      </w:r>
    </w:p>
    <w:p>
      <w:pPr>
        <w:spacing w:before="120" w:after="120"/>
        <w:rPr>
          <w:rFonts w:eastAsia="Times New Roman"/>
          <w:lang w:eastAsia="en-GB"/>
        </w:rPr>
      </w:pPr>
      <w:r>
        <w:rPr>
          <w:rFonts w:cs="Times New Roman"/>
        </w:rPr>
        <w:t xml:space="preserve">The reliability test was conducted with consists of all the variables (dependent variable and independent variables) in the research. The Table </w:t>
      </w:r>
      <w:r>
        <w:rPr>
          <w:rFonts w:eastAsia="宋体" w:cs="Times New Roman"/>
        </w:rPr>
        <w:t>4</w:t>
      </w:r>
      <w:r>
        <w:rPr>
          <w:rFonts w:hint="eastAsia" w:eastAsia="宋体" w:cs="Times New Roman"/>
        </w:rPr>
        <w:t>.</w:t>
      </w:r>
      <w:r>
        <w:rPr>
          <w:rFonts w:eastAsia="宋体" w:cs="Times New Roman"/>
        </w:rPr>
        <w:t>3</w:t>
      </w:r>
      <w:r>
        <w:rPr>
          <w:rFonts w:cs="Times New Roman"/>
        </w:rPr>
        <w:t xml:space="preserve"> presented the result of Reliability Test that the Cronbach Alpha is 0.</w:t>
      </w:r>
      <w:r>
        <w:rPr>
          <w:rFonts w:eastAsia="宋体" w:cs="Times New Roman"/>
        </w:rPr>
        <w:t>878</w:t>
      </w:r>
      <w:r>
        <w:rPr>
          <w:rFonts w:cs="Times New Roman"/>
        </w:rPr>
        <w:t>, which is above 0.80 and almost close to 1.0. Hence, all items in each of the constructs in the research have a high internal consistency reliability and also the result disclosed the pilot test respondents are understand the questionnaire items clearly</w:t>
      </w:r>
      <w:r>
        <w:rPr>
          <w:rFonts w:hint="eastAsia" w:cs="Times New Roman"/>
        </w:rPr>
        <w:t xml:space="preserve"> </w:t>
      </w:r>
      <w:r>
        <w:t>(Zikmund, 2012)</w:t>
      </w:r>
      <w:r>
        <w:rPr>
          <w:rFonts w:cs="Times New Roman"/>
        </w:rPr>
        <w:t xml:space="preserve">. The details of reliability test if any of the specified items were deleted are listed in the Table </w:t>
      </w:r>
      <w:r>
        <w:rPr>
          <w:rFonts w:eastAsia="宋体" w:cs="Times New Roman"/>
        </w:rPr>
        <w:t>4</w:t>
      </w:r>
      <w:r>
        <w:rPr>
          <w:rFonts w:hint="eastAsia" w:eastAsia="宋体" w:cs="Times New Roman"/>
        </w:rPr>
        <w:t>.</w:t>
      </w:r>
      <w:r>
        <w:rPr>
          <w:rFonts w:eastAsia="宋体" w:cs="Times New Roman"/>
        </w:rPr>
        <w:t>4</w:t>
      </w:r>
      <w:r>
        <w:rPr>
          <w:rFonts w:cs="Times New Roman"/>
        </w:rPr>
        <w:t xml:space="preserve">. </w:t>
      </w:r>
      <w:r>
        <w:rPr>
          <w:rFonts w:eastAsia="宋体" w:cs="Times New Roman"/>
        </w:rPr>
        <w:t>This table</w:t>
      </w:r>
      <w:r>
        <w:rPr>
          <w:rFonts w:cs="Times New Roman"/>
        </w:rPr>
        <w:t xml:space="preserve"> clearly demonstrated that all the items of the constructs in the study will relatively having high internal consistencies and the internal consistency will not be affect or decrease from the current Cronbach’s Alpha value (0.</w:t>
      </w:r>
      <w:r>
        <w:rPr>
          <w:rFonts w:eastAsia="宋体" w:cs="Times New Roman"/>
        </w:rPr>
        <w:t>878</w:t>
      </w:r>
      <w:r>
        <w:rPr>
          <w:rFonts w:cs="Times New Roman"/>
        </w:rPr>
        <w:t>) even if any of specific item is deleted from the study</w:t>
      </w:r>
      <w:r>
        <w:rPr>
          <w:rFonts w:hint="eastAsia" w:cs="Times New Roman"/>
        </w:rPr>
        <w:t xml:space="preserve"> </w:t>
      </w:r>
      <w:r>
        <w:t>(Dennick and Tavakol, 2011)</w:t>
      </w:r>
      <w:r>
        <w:rPr>
          <w:rFonts w:cs="Times New Roman"/>
        </w:rPr>
        <w:t>.</w:t>
      </w:r>
    </w:p>
    <w:p>
      <w:pPr>
        <w:spacing w:before="120" w:after="120"/>
        <w:rPr>
          <w:rFonts w:eastAsia="Times New Roman"/>
          <w:lang w:eastAsia="en-GB"/>
        </w:rPr>
      </w:pPr>
    </w:p>
    <w:p>
      <w:pPr>
        <w:spacing w:before="120" w:after="120"/>
        <w:rPr>
          <w:rFonts w:cs="Times New Roman"/>
        </w:rPr>
      </w:pPr>
      <w:r>
        <w:rPr>
          <w:rFonts w:cs="Times New Roman"/>
        </w:rPr>
        <w:t xml:space="preserve">Table </w:t>
      </w:r>
      <w:r>
        <w:rPr>
          <w:rFonts w:eastAsia="宋体" w:cs="Times New Roman"/>
        </w:rPr>
        <w:t>4.3</w:t>
      </w:r>
      <w:r>
        <w:rPr>
          <w:rFonts w:cs="Times New Roman"/>
        </w:rPr>
        <w:t>: Reliability Test</w:t>
      </w:r>
    </w:p>
    <w:p>
      <w:pPr>
        <w:spacing w:before="120" w:after="120"/>
        <w:rPr>
          <w:rFonts w:cs="Times New Roman"/>
        </w:rPr>
      </w:pPr>
    </w:p>
    <w:tbl>
      <w:tblPr>
        <w:tblStyle w:val="14"/>
        <w:tblW w:w="76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73"/>
        <w:gridCol w:w="2897"/>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61" w:hRule="atLeast"/>
          <w:jc w:val="center"/>
        </w:trPr>
        <w:tc>
          <w:tcPr>
            <w:tcW w:w="7620" w:type="dxa"/>
            <w:gridSpan w:val="3"/>
            <w:shd w:val="clear" w:color="auto" w:fill="FFFFFF"/>
            <w:vAlign w:val="center"/>
          </w:tcPr>
          <w:p>
            <w:pPr>
              <w:autoSpaceDE w:val="0"/>
              <w:autoSpaceDN w:val="0"/>
              <w:adjustRightInd w:val="0"/>
              <w:spacing w:before="120" w:after="120"/>
              <w:ind w:left="60" w:right="60"/>
              <w:jc w:val="center"/>
              <w:rPr>
                <w:rFonts w:cs="Times New Roman"/>
                <w:color w:val="000000"/>
                <w:sz w:val="21"/>
                <w:szCs w:val="21"/>
              </w:rPr>
            </w:pPr>
            <w:r>
              <w:rPr>
                <w:rFonts w:cs="Times New Roman"/>
                <w:b/>
                <w:bCs/>
                <w:color w:val="000000"/>
                <w:sz w:val="21"/>
                <w:szCs w:val="21"/>
              </w:rPr>
              <w:t>Reliability 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1053" w:hRule="atLeast"/>
          <w:jc w:val="center"/>
        </w:trPr>
        <w:tc>
          <w:tcPr>
            <w:tcW w:w="2773" w:type="dxa"/>
            <w:shd w:val="clear" w:color="auto" w:fill="FFFFFF"/>
            <w:vAlign w:val="bottom"/>
          </w:tcPr>
          <w:p>
            <w:pPr>
              <w:autoSpaceDE w:val="0"/>
              <w:autoSpaceDN w:val="0"/>
              <w:adjustRightInd w:val="0"/>
              <w:spacing w:before="120" w:after="120"/>
              <w:ind w:left="60" w:right="60"/>
              <w:jc w:val="center"/>
              <w:rPr>
                <w:rFonts w:cs="Times New Roman"/>
                <w:color w:val="000000"/>
                <w:sz w:val="21"/>
                <w:szCs w:val="21"/>
              </w:rPr>
            </w:pPr>
            <w:r>
              <w:rPr>
                <w:rFonts w:cs="Times New Roman"/>
                <w:color w:val="000000"/>
                <w:sz w:val="21"/>
                <w:szCs w:val="21"/>
              </w:rPr>
              <w:t>Cronbach's Alpha</w:t>
            </w:r>
          </w:p>
        </w:tc>
        <w:tc>
          <w:tcPr>
            <w:tcW w:w="2897" w:type="dxa"/>
            <w:shd w:val="clear" w:color="auto" w:fill="FFFFFF"/>
            <w:vAlign w:val="bottom"/>
          </w:tcPr>
          <w:p>
            <w:pPr>
              <w:autoSpaceDE w:val="0"/>
              <w:autoSpaceDN w:val="0"/>
              <w:adjustRightInd w:val="0"/>
              <w:spacing w:before="120" w:after="120"/>
              <w:ind w:left="60" w:right="60"/>
              <w:jc w:val="center"/>
              <w:rPr>
                <w:rFonts w:cs="Times New Roman"/>
                <w:color w:val="000000"/>
                <w:sz w:val="21"/>
                <w:szCs w:val="21"/>
              </w:rPr>
            </w:pPr>
            <w:r>
              <w:rPr>
                <w:rFonts w:cs="Times New Roman"/>
                <w:color w:val="000000"/>
                <w:sz w:val="21"/>
                <w:szCs w:val="21"/>
              </w:rPr>
              <w:t>Cronbach's Alpha Based on Standardized Items</w:t>
            </w:r>
          </w:p>
        </w:tc>
        <w:tc>
          <w:tcPr>
            <w:tcW w:w="1950" w:type="dxa"/>
            <w:shd w:val="clear" w:color="auto" w:fill="FFFFFF"/>
            <w:vAlign w:val="bottom"/>
          </w:tcPr>
          <w:p>
            <w:pPr>
              <w:autoSpaceDE w:val="0"/>
              <w:autoSpaceDN w:val="0"/>
              <w:adjustRightInd w:val="0"/>
              <w:spacing w:before="120" w:after="120"/>
              <w:ind w:left="60" w:right="60"/>
              <w:jc w:val="center"/>
              <w:rPr>
                <w:rFonts w:cs="Times New Roman"/>
                <w:color w:val="000000"/>
                <w:sz w:val="21"/>
                <w:szCs w:val="21"/>
              </w:rPr>
            </w:pPr>
            <w:r>
              <w:rPr>
                <w:rFonts w:cs="Times New Roman"/>
                <w:color w:val="000000"/>
                <w:sz w:val="21"/>
                <w:szCs w:val="21"/>
              </w:rPr>
              <w:t>N of Items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39" w:hRule="atLeast"/>
          <w:jc w:val="center"/>
        </w:trPr>
        <w:tc>
          <w:tcPr>
            <w:tcW w:w="2773" w:type="dxa"/>
            <w:shd w:val="clear" w:color="auto" w:fill="FFFFFF"/>
          </w:tcPr>
          <w:p>
            <w:pPr>
              <w:autoSpaceDE w:val="0"/>
              <w:autoSpaceDN w:val="0"/>
              <w:adjustRightInd w:val="0"/>
              <w:spacing w:before="120" w:after="120" w:line="240" w:lineRule="auto"/>
              <w:ind w:left="60" w:right="60"/>
              <w:jc w:val="right"/>
              <w:rPr>
                <w:rFonts w:eastAsia="宋体" w:cs="Times New Roman"/>
                <w:color w:val="000000"/>
                <w:sz w:val="21"/>
                <w:szCs w:val="21"/>
              </w:rPr>
            </w:pPr>
            <w:r>
              <w:rPr>
                <w:rFonts w:cs="Times New Roman"/>
                <w:color w:val="000000"/>
                <w:sz w:val="21"/>
                <w:szCs w:val="21"/>
              </w:rPr>
              <w:t>.</w:t>
            </w:r>
            <w:r>
              <w:rPr>
                <w:rFonts w:eastAsia="宋体" w:cs="Times New Roman"/>
                <w:color w:val="000000"/>
                <w:sz w:val="21"/>
                <w:szCs w:val="21"/>
              </w:rPr>
              <w:t>878</w:t>
            </w:r>
          </w:p>
        </w:tc>
        <w:tc>
          <w:tcPr>
            <w:tcW w:w="2897" w:type="dxa"/>
            <w:shd w:val="clear" w:color="auto" w:fill="FFFFFF"/>
          </w:tcPr>
          <w:p>
            <w:pPr>
              <w:autoSpaceDE w:val="0"/>
              <w:autoSpaceDN w:val="0"/>
              <w:adjustRightInd w:val="0"/>
              <w:spacing w:before="120" w:after="120" w:line="240" w:lineRule="auto"/>
              <w:ind w:left="60" w:right="60"/>
              <w:jc w:val="right"/>
              <w:rPr>
                <w:rFonts w:eastAsia="宋体" w:cs="Times New Roman"/>
                <w:color w:val="000000"/>
                <w:sz w:val="21"/>
                <w:szCs w:val="21"/>
              </w:rPr>
            </w:pPr>
            <w:r>
              <w:rPr>
                <w:rFonts w:cs="Times New Roman"/>
                <w:color w:val="000000"/>
                <w:sz w:val="21"/>
                <w:szCs w:val="21"/>
              </w:rPr>
              <w:t>.</w:t>
            </w:r>
            <w:r>
              <w:rPr>
                <w:rFonts w:eastAsia="宋体" w:cs="Times New Roman"/>
                <w:color w:val="000000"/>
                <w:sz w:val="21"/>
                <w:szCs w:val="21"/>
              </w:rPr>
              <w:t>879</w:t>
            </w:r>
          </w:p>
        </w:tc>
        <w:tc>
          <w:tcPr>
            <w:tcW w:w="1950" w:type="dxa"/>
            <w:shd w:val="clear" w:color="auto" w:fill="FFFFFF"/>
          </w:tcPr>
          <w:p>
            <w:pPr>
              <w:autoSpaceDE w:val="0"/>
              <w:autoSpaceDN w:val="0"/>
              <w:adjustRightInd w:val="0"/>
              <w:spacing w:before="120" w:after="120" w:line="240" w:lineRule="auto"/>
              <w:ind w:left="60" w:right="60"/>
              <w:jc w:val="right"/>
              <w:rPr>
                <w:rFonts w:eastAsia="宋体" w:cs="Times New Roman"/>
                <w:color w:val="000000"/>
                <w:sz w:val="21"/>
                <w:szCs w:val="21"/>
              </w:rPr>
            </w:pPr>
            <w:r>
              <w:rPr>
                <w:rFonts w:cs="Times New Roman"/>
                <w:color w:val="000000"/>
                <w:sz w:val="21"/>
                <w:szCs w:val="21"/>
              </w:rPr>
              <w:t>1</w:t>
            </w:r>
            <w:r>
              <w:rPr>
                <w:rFonts w:eastAsia="宋体" w:cs="Times New Roman"/>
                <w:color w:val="000000"/>
                <w:sz w:val="21"/>
                <w:szCs w:val="21"/>
              </w:rPr>
              <w:t>5</w:t>
            </w:r>
          </w:p>
        </w:tc>
      </w:tr>
    </w:tbl>
    <w:p>
      <w:pPr>
        <w:spacing w:before="120" w:after="120"/>
        <w:rPr>
          <w:rFonts w:cs="Times New Roman"/>
          <w:sz w:val="21"/>
          <w:szCs w:val="21"/>
        </w:rPr>
      </w:pPr>
    </w:p>
    <w:p>
      <w:pPr>
        <w:spacing w:before="120" w:after="120"/>
        <w:rPr>
          <w:rFonts w:cs="Times New Roman"/>
          <w:sz w:val="21"/>
          <w:szCs w:val="21"/>
        </w:rPr>
      </w:pPr>
    </w:p>
    <w:p>
      <w:pPr>
        <w:spacing w:before="120" w:after="120"/>
        <w:rPr>
          <w:rFonts w:cs="Times New Roman"/>
          <w:sz w:val="21"/>
          <w:szCs w:val="21"/>
        </w:rPr>
      </w:pPr>
    </w:p>
    <w:p>
      <w:pPr>
        <w:spacing w:before="120" w:after="120"/>
        <w:rPr>
          <w:rFonts w:cs="Times New Roman"/>
          <w:sz w:val="21"/>
          <w:szCs w:val="21"/>
        </w:rPr>
      </w:pPr>
    </w:p>
    <w:p>
      <w:pPr>
        <w:spacing w:before="120" w:after="120"/>
        <w:rPr>
          <w:rFonts w:cs="Times New Roman"/>
          <w:sz w:val="21"/>
          <w:szCs w:val="21"/>
        </w:rPr>
      </w:pPr>
    </w:p>
    <w:p>
      <w:pPr>
        <w:spacing w:before="120" w:after="120"/>
        <w:rPr>
          <w:rFonts w:cs="Times New Roman"/>
          <w:sz w:val="21"/>
          <w:szCs w:val="21"/>
        </w:rPr>
      </w:pPr>
    </w:p>
    <w:p>
      <w:pPr>
        <w:spacing w:before="120" w:after="120"/>
        <w:rPr>
          <w:rFonts w:cs="Times New Roman"/>
          <w:sz w:val="21"/>
          <w:szCs w:val="21"/>
        </w:rPr>
      </w:pPr>
    </w:p>
    <w:p>
      <w:pPr>
        <w:spacing w:before="120" w:after="120"/>
        <w:rPr>
          <w:rFonts w:cs="Times New Roman"/>
        </w:rPr>
      </w:pPr>
      <w:r>
        <w:rPr>
          <w:rFonts w:cs="Times New Roman"/>
        </w:rPr>
        <w:t xml:space="preserve">Table </w:t>
      </w:r>
      <w:r>
        <w:rPr>
          <w:rFonts w:eastAsia="宋体" w:cs="Times New Roman"/>
        </w:rPr>
        <w:t>4.4</w:t>
      </w:r>
      <w:r>
        <w:rPr>
          <w:rFonts w:cs="Times New Roman"/>
        </w:rPr>
        <w:t>: Cronbach Alpha if Specific Items are Deleted</w:t>
      </w:r>
    </w:p>
    <w:tbl>
      <w:tblPr>
        <w:tblStyle w:val="14"/>
        <w:tblW w:w="8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50"/>
        <w:gridCol w:w="1312"/>
        <w:gridCol w:w="1515"/>
        <w:gridCol w:w="1187"/>
        <w:gridCol w:w="1185"/>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81" w:hRule="atLeast"/>
          <w:jc w:val="center"/>
        </w:trPr>
        <w:tc>
          <w:tcPr>
            <w:tcW w:w="8300" w:type="dxa"/>
            <w:gridSpan w:val="6"/>
            <w:shd w:val="clear" w:color="auto" w:fill="FFFFFF"/>
            <w:vAlign w:val="center"/>
          </w:tcPr>
          <w:p>
            <w:pPr>
              <w:autoSpaceDE w:val="0"/>
              <w:autoSpaceDN w:val="0"/>
              <w:adjustRightInd w:val="0"/>
              <w:spacing w:before="120" w:after="120"/>
              <w:ind w:left="60" w:right="60"/>
              <w:jc w:val="center"/>
              <w:rPr>
                <w:rFonts w:cs="Times New Roman"/>
                <w:color w:val="000000"/>
                <w:sz w:val="21"/>
                <w:szCs w:val="21"/>
              </w:rPr>
            </w:pPr>
            <w:r>
              <w:rPr>
                <w:rFonts w:cs="Times New Roman"/>
                <w:b/>
                <w:bCs/>
                <w:color w:val="000000"/>
                <w:sz w:val="21"/>
                <w:szCs w:val="21"/>
              </w:rPr>
              <w:t>Item-Total 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83" w:hRule="atLeast"/>
          <w:jc w:val="center"/>
        </w:trPr>
        <w:tc>
          <w:tcPr>
            <w:tcW w:w="1650" w:type="dxa"/>
            <w:shd w:val="clear" w:color="auto" w:fill="FFFFFF"/>
            <w:vAlign w:val="bottom"/>
          </w:tcPr>
          <w:p>
            <w:pPr>
              <w:autoSpaceDE w:val="0"/>
              <w:autoSpaceDN w:val="0"/>
              <w:adjustRightInd w:val="0"/>
              <w:spacing w:before="120" w:after="120"/>
              <w:jc w:val="left"/>
              <w:rPr>
                <w:rFonts w:cs="Times New Roman"/>
                <w:sz w:val="21"/>
                <w:szCs w:val="21"/>
              </w:rPr>
            </w:pPr>
          </w:p>
        </w:tc>
        <w:tc>
          <w:tcPr>
            <w:tcW w:w="1312" w:type="dxa"/>
            <w:shd w:val="clear" w:color="auto" w:fill="FFFFFF"/>
            <w:vAlign w:val="bottom"/>
          </w:tcPr>
          <w:p>
            <w:pPr>
              <w:autoSpaceDE w:val="0"/>
              <w:autoSpaceDN w:val="0"/>
              <w:adjustRightInd w:val="0"/>
              <w:spacing w:before="120" w:after="120"/>
              <w:ind w:left="60" w:right="60"/>
              <w:rPr>
                <w:rFonts w:cs="Times New Roman"/>
                <w:color w:val="000000"/>
                <w:sz w:val="21"/>
                <w:szCs w:val="21"/>
              </w:rPr>
            </w:pPr>
            <w:r>
              <w:rPr>
                <w:rFonts w:cs="Times New Roman"/>
                <w:color w:val="000000"/>
                <w:sz w:val="21"/>
                <w:szCs w:val="21"/>
              </w:rPr>
              <w:t>Scale Mean if Item Deleted</w:t>
            </w:r>
          </w:p>
        </w:tc>
        <w:tc>
          <w:tcPr>
            <w:tcW w:w="1515" w:type="dxa"/>
            <w:shd w:val="clear" w:color="auto" w:fill="FFFFFF"/>
            <w:vAlign w:val="bottom"/>
          </w:tcPr>
          <w:p>
            <w:pPr>
              <w:autoSpaceDE w:val="0"/>
              <w:autoSpaceDN w:val="0"/>
              <w:adjustRightInd w:val="0"/>
              <w:spacing w:before="120" w:after="120"/>
              <w:ind w:left="60" w:right="60"/>
              <w:jc w:val="center"/>
              <w:rPr>
                <w:rFonts w:cs="Times New Roman"/>
                <w:color w:val="000000"/>
                <w:sz w:val="21"/>
                <w:szCs w:val="21"/>
              </w:rPr>
            </w:pPr>
            <w:r>
              <w:rPr>
                <w:rFonts w:cs="Times New Roman"/>
                <w:color w:val="000000"/>
                <w:sz w:val="21"/>
                <w:szCs w:val="21"/>
              </w:rPr>
              <w:t>Scale Variance if Item Deleted</w:t>
            </w:r>
          </w:p>
        </w:tc>
        <w:tc>
          <w:tcPr>
            <w:tcW w:w="1187" w:type="dxa"/>
            <w:shd w:val="clear" w:color="auto" w:fill="FFFFFF"/>
            <w:vAlign w:val="bottom"/>
          </w:tcPr>
          <w:p>
            <w:pPr>
              <w:autoSpaceDE w:val="0"/>
              <w:autoSpaceDN w:val="0"/>
              <w:adjustRightInd w:val="0"/>
              <w:spacing w:before="120" w:after="120"/>
              <w:ind w:left="60" w:right="60"/>
              <w:jc w:val="center"/>
              <w:rPr>
                <w:rFonts w:cs="Times New Roman"/>
                <w:color w:val="000000"/>
                <w:sz w:val="21"/>
                <w:szCs w:val="21"/>
              </w:rPr>
            </w:pPr>
            <w:r>
              <w:rPr>
                <w:rFonts w:cs="Times New Roman"/>
                <w:color w:val="000000"/>
                <w:sz w:val="21"/>
                <w:szCs w:val="21"/>
                <w:highlight w:val="yellow"/>
              </w:rPr>
              <w:t>Cronbach Alpha for Item</w:t>
            </w:r>
          </w:p>
        </w:tc>
        <w:tc>
          <w:tcPr>
            <w:tcW w:w="1185" w:type="dxa"/>
            <w:shd w:val="clear" w:color="auto" w:fill="FFFFFF"/>
            <w:vAlign w:val="bottom"/>
          </w:tcPr>
          <w:p>
            <w:pPr>
              <w:autoSpaceDE w:val="0"/>
              <w:autoSpaceDN w:val="0"/>
              <w:adjustRightInd w:val="0"/>
              <w:spacing w:before="120" w:after="120"/>
              <w:ind w:left="60" w:right="60"/>
              <w:jc w:val="center"/>
              <w:rPr>
                <w:rFonts w:cs="Times New Roman"/>
                <w:color w:val="FF0000"/>
                <w:sz w:val="21"/>
                <w:szCs w:val="21"/>
              </w:rPr>
            </w:pPr>
            <w:r>
              <w:rPr>
                <w:rFonts w:cs="Times New Roman"/>
                <w:color w:val="FF0000"/>
                <w:sz w:val="21"/>
                <w:szCs w:val="21"/>
              </w:rPr>
              <w:t>Squared Multiple Correlation</w:t>
            </w:r>
          </w:p>
          <w:p>
            <w:pPr>
              <w:autoSpaceDE w:val="0"/>
              <w:autoSpaceDN w:val="0"/>
              <w:adjustRightInd w:val="0"/>
              <w:spacing w:before="120" w:after="120"/>
              <w:ind w:left="60" w:right="60"/>
              <w:jc w:val="center"/>
              <w:rPr>
                <w:rFonts w:cs="Times New Roman"/>
                <w:color w:val="FF0000"/>
                <w:sz w:val="21"/>
                <w:szCs w:val="21"/>
              </w:rPr>
            </w:pPr>
            <w:r>
              <w:rPr>
                <w:rFonts w:cs="Times New Roman"/>
                <w:color w:val="FF0000"/>
                <w:sz w:val="21"/>
                <w:szCs w:val="21"/>
              </w:rPr>
              <w:t>(DELETE – no data)</w:t>
            </w:r>
          </w:p>
        </w:tc>
        <w:tc>
          <w:tcPr>
            <w:tcW w:w="1451" w:type="dxa"/>
            <w:shd w:val="clear" w:color="auto" w:fill="FFFFFF"/>
            <w:vAlign w:val="bottom"/>
          </w:tcPr>
          <w:p>
            <w:pPr>
              <w:autoSpaceDE w:val="0"/>
              <w:autoSpaceDN w:val="0"/>
              <w:adjustRightInd w:val="0"/>
              <w:spacing w:before="120" w:after="120"/>
              <w:ind w:left="60" w:right="60"/>
              <w:jc w:val="center"/>
              <w:rPr>
                <w:rFonts w:cs="Times New Roman"/>
                <w:color w:val="000000"/>
                <w:sz w:val="21"/>
                <w:szCs w:val="21"/>
              </w:rPr>
            </w:pPr>
            <w:r>
              <w:rPr>
                <w:rFonts w:cs="Times New Roman"/>
                <w:color w:val="000000"/>
                <w:sz w:val="21"/>
                <w:szCs w:val="21"/>
              </w:rPr>
              <w:t>Cronbach's Alpha if Item Deleted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81" w:hRule="atLeast"/>
          <w:jc w:val="center"/>
        </w:trPr>
        <w:tc>
          <w:tcPr>
            <w:tcW w:w="1650" w:type="dxa"/>
            <w:shd w:val="clear" w:color="auto" w:fill="D8D8D8" w:themeFill="background1" w:themeFillShade="D9"/>
          </w:tcPr>
          <w:p>
            <w:pPr>
              <w:autoSpaceDE w:val="0"/>
              <w:autoSpaceDN w:val="0"/>
              <w:adjustRightInd w:val="0"/>
              <w:spacing w:before="120" w:after="120"/>
              <w:ind w:left="60" w:right="60"/>
              <w:jc w:val="left"/>
              <w:rPr>
                <w:rFonts w:eastAsia="宋体" w:cs="Times New Roman"/>
                <w:color w:val="000000"/>
                <w:sz w:val="21"/>
                <w:szCs w:val="21"/>
              </w:rPr>
            </w:pPr>
            <w:r>
              <w:rPr>
                <w:rFonts w:eastAsia="宋体" w:cs="Times New Roman"/>
                <w:sz w:val="21"/>
                <w:szCs w:val="21"/>
              </w:rPr>
              <w:t>DV1</w:t>
            </w:r>
          </w:p>
        </w:tc>
        <w:tc>
          <w:tcPr>
            <w:tcW w:w="1312"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15.25</w:t>
            </w:r>
          </w:p>
        </w:tc>
        <w:tc>
          <w:tcPr>
            <w:tcW w:w="15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11.885</w:t>
            </w:r>
          </w:p>
        </w:tc>
        <w:tc>
          <w:tcPr>
            <w:tcW w:w="1187"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.813</w:t>
            </w:r>
          </w:p>
        </w:tc>
        <w:tc>
          <w:tcPr>
            <w:tcW w:w="1185"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1"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81" w:hRule="atLeast"/>
          <w:jc w:val="center"/>
        </w:trPr>
        <w:tc>
          <w:tcPr>
            <w:tcW w:w="1650" w:type="dxa"/>
            <w:shd w:val="clear" w:color="auto" w:fill="D8D8D8" w:themeFill="background1" w:themeFillShade="D9"/>
          </w:tcPr>
          <w:p>
            <w:pPr>
              <w:autoSpaceDE w:val="0"/>
              <w:autoSpaceDN w:val="0"/>
              <w:adjustRightInd w:val="0"/>
              <w:spacing w:before="120" w:after="120"/>
              <w:ind w:left="60" w:right="60"/>
              <w:jc w:val="left"/>
              <w:rPr>
                <w:rFonts w:eastAsia="宋体" w:cs="Times New Roman"/>
                <w:color w:val="000000"/>
                <w:sz w:val="21"/>
                <w:szCs w:val="21"/>
              </w:rPr>
            </w:pPr>
            <w:r>
              <w:rPr>
                <w:rFonts w:eastAsia="宋体" w:cs="Times New Roman"/>
                <w:sz w:val="21"/>
                <w:szCs w:val="21"/>
              </w:rPr>
              <w:t>DV2</w:t>
            </w:r>
          </w:p>
        </w:tc>
        <w:tc>
          <w:tcPr>
            <w:tcW w:w="1312"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15.25</w:t>
            </w:r>
          </w:p>
        </w:tc>
        <w:tc>
          <w:tcPr>
            <w:tcW w:w="15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11.628</w:t>
            </w:r>
          </w:p>
        </w:tc>
        <w:tc>
          <w:tcPr>
            <w:tcW w:w="1187"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.672</w:t>
            </w:r>
          </w:p>
        </w:tc>
        <w:tc>
          <w:tcPr>
            <w:tcW w:w="1185"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1"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81" w:hRule="atLeast"/>
          <w:jc w:val="center"/>
        </w:trPr>
        <w:tc>
          <w:tcPr>
            <w:tcW w:w="1650" w:type="dxa"/>
            <w:shd w:val="clear" w:color="auto" w:fill="D8D8D8" w:themeFill="background1" w:themeFillShade="D9"/>
          </w:tcPr>
          <w:p>
            <w:pPr>
              <w:autoSpaceDE w:val="0"/>
              <w:autoSpaceDN w:val="0"/>
              <w:adjustRightInd w:val="0"/>
              <w:spacing w:before="120" w:after="120"/>
              <w:ind w:left="60" w:right="60"/>
              <w:jc w:val="left"/>
              <w:rPr>
                <w:rFonts w:eastAsia="宋体" w:cs="Times New Roman"/>
                <w:color w:val="000000"/>
                <w:sz w:val="21"/>
                <w:szCs w:val="21"/>
              </w:rPr>
            </w:pPr>
            <w:r>
              <w:rPr>
                <w:rFonts w:eastAsia="宋体" w:cs="Times New Roman"/>
                <w:sz w:val="21"/>
                <w:szCs w:val="21"/>
              </w:rPr>
              <w:t>DV3</w:t>
            </w:r>
          </w:p>
        </w:tc>
        <w:tc>
          <w:tcPr>
            <w:tcW w:w="1312"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14.58</w:t>
            </w:r>
          </w:p>
        </w:tc>
        <w:tc>
          <w:tcPr>
            <w:tcW w:w="15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11.379</w:t>
            </w:r>
          </w:p>
        </w:tc>
        <w:tc>
          <w:tcPr>
            <w:tcW w:w="1187"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.819</w:t>
            </w:r>
          </w:p>
        </w:tc>
        <w:tc>
          <w:tcPr>
            <w:tcW w:w="1185"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1"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81" w:hRule="atLeast"/>
          <w:jc w:val="center"/>
        </w:trPr>
        <w:tc>
          <w:tcPr>
            <w:tcW w:w="1650" w:type="dxa"/>
            <w:shd w:val="clear" w:color="auto" w:fill="D8D8D8" w:themeFill="background1" w:themeFillShade="D9"/>
          </w:tcPr>
          <w:p>
            <w:pPr>
              <w:autoSpaceDE w:val="0"/>
              <w:autoSpaceDN w:val="0"/>
              <w:adjustRightInd w:val="0"/>
              <w:spacing w:before="120" w:after="120"/>
              <w:ind w:left="60" w:right="60"/>
              <w:jc w:val="left"/>
              <w:rPr>
                <w:rFonts w:cs="Times New Roman"/>
                <w:color w:val="000000"/>
                <w:sz w:val="21"/>
                <w:szCs w:val="21"/>
              </w:rPr>
            </w:pPr>
            <w:r>
              <w:rPr>
                <w:rFonts w:eastAsia="宋体" w:cs="Times New Roman"/>
                <w:sz w:val="21"/>
                <w:szCs w:val="21"/>
              </w:rPr>
              <w:t>DV</w:t>
            </w:r>
            <w:r>
              <w:rPr>
                <w:rFonts w:cs="Times New Roman"/>
                <w:sz w:val="21"/>
                <w:szCs w:val="21"/>
              </w:rPr>
              <w:t>4</w:t>
            </w:r>
          </w:p>
        </w:tc>
        <w:tc>
          <w:tcPr>
            <w:tcW w:w="1312"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15.03</w:t>
            </w:r>
          </w:p>
        </w:tc>
        <w:tc>
          <w:tcPr>
            <w:tcW w:w="15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11.461</w:t>
            </w:r>
          </w:p>
        </w:tc>
        <w:tc>
          <w:tcPr>
            <w:tcW w:w="1187"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.800</w:t>
            </w:r>
          </w:p>
        </w:tc>
        <w:tc>
          <w:tcPr>
            <w:tcW w:w="1185"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1"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81" w:hRule="atLeast"/>
          <w:jc w:val="center"/>
        </w:trPr>
        <w:tc>
          <w:tcPr>
            <w:tcW w:w="1650" w:type="dxa"/>
            <w:shd w:val="clear" w:color="auto" w:fill="D8D8D8" w:themeFill="background1" w:themeFillShade="D9"/>
          </w:tcPr>
          <w:p>
            <w:pPr>
              <w:autoSpaceDE w:val="0"/>
              <w:autoSpaceDN w:val="0"/>
              <w:adjustRightInd w:val="0"/>
              <w:spacing w:before="120" w:after="120"/>
              <w:ind w:left="60" w:right="60"/>
              <w:jc w:val="left"/>
              <w:rPr>
                <w:rFonts w:cs="Times New Roman"/>
                <w:color w:val="000000"/>
                <w:sz w:val="21"/>
                <w:szCs w:val="21"/>
              </w:rPr>
            </w:pPr>
            <w:r>
              <w:rPr>
                <w:rFonts w:eastAsia="宋体" w:cs="Times New Roman"/>
                <w:sz w:val="21"/>
                <w:szCs w:val="21"/>
              </w:rPr>
              <w:t>DV</w:t>
            </w:r>
            <w:r>
              <w:rPr>
                <w:rFonts w:cs="Times New Roman"/>
                <w:sz w:val="21"/>
                <w:szCs w:val="21"/>
              </w:rPr>
              <w:t>5</w:t>
            </w:r>
          </w:p>
        </w:tc>
        <w:tc>
          <w:tcPr>
            <w:tcW w:w="1312"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14.90</w:t>
            </w:r>
          </w:p>
        </w:tc>
        <w:tc>
          <w:tcPr>
            <w:tcW w:w="15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11.836</w:t>
            </w:r>
          </w:p>
        </w:tc>
        <w:tc>
          <w:tcPr>
            <w:tcW w:w="1187"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.773</w:t>
            </w:r>
          </w:p>
        </w:tc>
        <w:tc>
          <w:tcPr>
            <w:tcW w:w="1185"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1"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81" w:hRule="atLeast"/>
          <w:jc w:val="center"/>
        </w:trPr>
        <w:tc>
          <w:tcPr>
            <w:tcW w:w="1650" w:type="dxa"/>
            <w:shd w:val="clear" w:color="auto" w:fill="D8D8D8" w:themeFill="background1" w:themeFillShade="D9"/>
          </w:tcPr>
          <w:p>
            <w:pPr>
              <w:autoSpaceDE w:val="0"/>
              <w:autoSpaceDN w:val="0"/>
              <w:adjustRightInd w:val="0"/>
              <w:spacing w:before="120" w:after="120"/>
              <w:ind w:left="60" w:right="60"/>
              <w:jc w:val="left"/>
              <w:rPr>
                <w:rFonts w:eastAsia="宋体" w:cs="Times New Roman"/>
                <w:color w:val="000000"/>
                <w:sz w:val="21"/>
                <w:szCs w:val="21"/>
              </w:rPr>
            </w:pPr>
            <w:r>
              <w:rPr>
                <w:rFonts w:eastAsia="宋体" w:cs="Times New Roman"/>
                <w:color w:val="000000"/>
                <w:sz w:val="21"/>
                <w:szCs w:val="21"/>
              </w:rPr>
              <w:t>IV1-1</w:t>
            </w:r>
          </w:p>
        </w:tc>
        <w:tc>
          <w:tcPr>
            <w:tcW w:w="1312"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35.93</w:t>
            </w:r>
          </w:p>
        </w:tc>
        <w:tc>
          <w:tcPr>
            <w:tcW w:w="15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37.712</w:t>
            </w:r>
          </w:p>
        </w:tc>
        <w:tc>
          <w:tcPr>
            <w:tcW w:w="1187"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w:t>
            </w:r>
            <w:r>
              <w:rPr>
                <w:rFonts w:eastAsia="宋体" w:cs="Times New Roman"/>
                <w:sz w:val="21"/>
                <w:szCs w:val="21"/>
              </w:rPr>
              <w:t>6</w:t>
            </w:r>
            <w:r>
              <w:rPr>
                <w:rFonts w:cs="Times New Roman"/>
                <w:sz w:val="21"/>
                <w:szCs w:val="21"/>
              </w:rPr>
              <w:t>55</w:t>
            </w:r>
          </w:p>
        </w:tc>
        <w:tc>
          <w:tcPr>
            <w:tcW w:w="1185"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1"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81" w:hRule="atLeast"/>
          <w:jc w:val="center"/>
        </w:trPr>
        <w:tc>
          <w:tcPr>
            <w:tcW w:w="1650" w:type="dxa"/>
            <w:shd w:val="clear" w:color="auto" w:fill="D8D8D8" w:themeFill="background1" w:themeFillShade="D9"/>
          </w:tcPr>
          <w:p>
            <w:pPr>
              <w:autoSpaceDE w:val="0"/>
              <w:autoSpaceDN w:val="0"/>
              <w:adjustRightInd w:val="0"/>
              <w:spacing w:before="120" w:after="120"/>
              <w:ind w:left="60" w:right="60"/>
              <w:jc w:val="left"/>
              <w:rPr>
                <w:rFonts w:cs="Times New Roman"/>
                <w:color w:val="000000"/>
                <w:sz w:val="21"/>
                <w:szCs w:val="21"/>
              </w:rPr>
            </w:pPr>
            <w:r>
              <w:rPr>
                <w:rFonts w:eastAsia="宋体" w:cs="Times New Roman"/>
                <w:color w:val="000000"/>
                <w:sz w:val="21"/>
                <w:szCs w:val="21"/>
              </w:rPr>
              <w:t>IV1-2</w:t>
            </w:r>
          </w:p>
        </w:tc>
        <w:tc>
          <w:tcPr>
            <w:tcW w:w="1312"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36.10</w:t>
            </w:r>
          </w:p>
        </w:tc>
        <w:tc>
          <w:tcPr>
            <w:tcW w:w="15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37.785</w:t>
            </w:r>
          </w:p>
        </w:tc>
        <w:tc>
          <w:tcPr>
            <w:tcW w:w="1187"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w:t>
            </w:r>
            <w:r>
              <w:rPr>
                <w:rFonts w:eastAsia="宋体" w:cs="Times New Roman"/>
                <w:sz w:val="21"/>
                <w:szCs w:val="21"/>
              </w:rPr>
              <w:t>6</w:t>
            </w:r>
            <w:r>
              <w:rPr>
                <w:rFonts w:cs="Times New Roman"/>
                <w:sz w:val="21"/>
                <w:szCs w:val="21"/>
              </w:rPr>
              <w:t>22</w:t>
            </w:r>
          </w:p>
        </w:tc>
        <w:tc>
          <w:tcPr>
            <w:tcW w:w="1185"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1"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81" w:hRule="atLeast"/>
          <w:jc w:val="center"/>
        </w:trPr>
        <w:tc>
          <w:tcPr>
            <w:tcW w:w="1650" w:type="dxa"/>
            <w:shd w:val="clear" w:color="auto" w:fill="D8D8D8" w:themeFill="background1" w:themeFillShade="D9"/>
          </w:tcPr>
          <w:p>
            <w:pPr>
              <w:autoSpaceDE w:val="0"/>
              <w:autoSpaceDN w:val="0"/>
              <w:adjustRightInd w:val="0"/>
              <w:spacing w:before="120" w:after="120"/>
              <w:ind w:left="60" w:right="60"/>
              <w:jc w:val="left"/>
              <w:rPr>
                <w:rFonts w:cs="Times New Roman"/>
                <w:color w:val="000000"/>
                <w:sz w:val="21"/>
                <w:szCs w:val="21"/>
              </w:rPr>
            </w:pPr>
            <w:r>
              <w:rPr>
                <w:rFonts w:eastAsia="宋体" w:cs="Times New Roman"/>
                <w:color w:val="000000"/>
                <w:sz w:val="21"/>
                <w:szCs w:val="21"/>
              </w:rPr>
              <w:t>IV1-3</w:t>
            </w:r>
          </w:p>
        </w:tc>
        <w:tc>
          <w:tcPr>
            <w:tcW w:w="1312"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36.33</w:t>
            </w:r>
          </w:p>
        </w:tc>
        <w:tc>
          <w:tcPr>
            <w:tcW w:w="15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36.533</w:t>
            </w:r>
          </w:p>
        </w:tc>
        <w:tc>
          <w:tcPr>
            <w:tcW w:w="1187"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w:t>
            </w:r>
            <w:r>
              <w:rPr>
                <w:rFonts w:eastAsia="宋体" w:cs="Times New Roman"/>
                <w:sz w:val="21"/>
                <w:szCs w:val="21"/>
              </w:rPr>
              <w:t>7</w:t>
            </w:r>
            <w:r>
              <w:rPr>
                <w:rFonts w:cs="Times New Roman"/>
                <w:sz w:val="21"/>
                <w:szCs w:val="21"/>
              </w:rPr>
              <w:t>49</w:t>
            </w:r>
          </w:p>
        </w:tc>
        <w:tc>
          <w:tcPr>
            <w:tcW w:w="1185"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1"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81" w:hRule="atLeast"/>
          <w:jc w:val="center"/>
        </w:trPr>
        <w:tc>
          <w:tcPr>
            <w:tcW w:w="1650" w:type="dxa"/>
            <w:shd w:val="clear" w:color="auto" w:fill="D8D8D8" w:themeFill="background1" w:themeFillShade="D9"/>
          </w:tcPr>
          <w:p>
            <w:pPr>
              <w:autoSpaceDE w:val="0"/>
              <w:autoSpaceDN w:val="0"/>
              <w:adjustRightInd w:val="0"/>
              <w:spacing w:before="120" w:after="120"/>
              <w:ind w:left="60" w:right="60"/>
              <w:jc w:val="left"/>
              <w:rPr>
                <w:rFonts w:cs="Times New Roman"/>
                <w:color w:val="000000"/>
                <w:sz w:val="21"/>
                <w:szCs w:val="21"/>
              </w:rPr>
            </w:pPr>
            <w:r>
              <w:rPr>
                <w:rFonts w:eastAsia="宋体" w:cs="Times New Roman"/>
                <w:color w:val="000000"/>
                <w:sz w:val="21"/>
                <w:szCs w:val="21"/>
              </w:rPr>
              <w:t>IV1-4</w:t>
            </w:r>
          </w:p>
        </w:tc>
        <w:tc>
          <w:tcPr>
            <w:tcW w:w="1312"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36.30</w:t>
            </w:r>
          </w:p>
        </w:tc>
        <w:tc>
          <w:tcPr>
            <w:tcW w:w="15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37.446</w:t>
            </w:r>
          </w:p>
        </w:tc>
        <w:tc>
          <w:tcPr>
            <w:tcW w:w="1187"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w:t>
            </w:r>
            <w:r>
              <w:rPr>
                <w:rFonts w:eastAsia="宋体" w:cs="Times New Roman"/>
                <w:sz w:val="21"/>
                <w:szCs w:val="21"/>
              </w:rPr>
              <w:t>6</w:t>
            </w:r>
            <w:r>
              <w:rPr>
                <w:rFonts w:cs="Times New Roman"/>
                <w:sz w:val="21"/>
                <w:szCs w:val="21"/>
              </w:rPr>
              <w:t>13</w:t>
            </w:r>
          </w:p>
        </w:tc>
        <w:tc>
          <w:tcPr>
            <w:tcW w:w="1185"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1"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81" w:hRule="atLeast"/>
          <w:jc w:val="center"/>
        </w:trPr>
        <w:tc>
          <w:tcPr>
            <w:tcW w:w="1650" w:type="dxa"/>
            <w:shd w:val="clear" w:color="auto" w:fill="D8D8D8" w:themeFill="background1" w:themeFillShade="D9"/>
          </w:tcPr>
          <w:p>
            <w:pPr>
              <w:autoSpaceDE w:val="0"/>
              <w:autoSpaceDN w:val="0"/>
              <w:adjustRightInd w:val="0"/>
              <w:spacing w:before="120" w:after="120"/>
              <w:ind w:left="60" w:right="60"/>
              <w:jc w:val="left"/>
              <w:rPr>
                <w:rFonts w:cs="Times New Roman"/>
                <w:color w:val="000000"/>
                <w:sz w:val="21"/>
                <w:szCs w:val="21"/>
              </w:rPr>
            </w:pPr>
            <w:r>
              <w:rPr>
                <w:rFonts w:eastAsia="宋体" w:cs="Times New Roman"/>
                <w:color w:val="000000"/>
                <w:sz w:val="21"/>
                <w:szCs w:val="21"/>
              </w:rPr>
              <w:t>IV1-5</w:t>
            </w:r>
          </w:p>
        </w:tc>
        <w:tc>
          <w:tcPr>
            <w:tcW w:w="1312"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36.50</w:t>
            </w:r>
          </w:p>
        </w:tc>
        <w:tc>
          <w:tcPr>
            <w:tcW w:w="15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37.744</w:t>
            </w:r>
          </w:p>
        </w:tc>
        <w:tc>
          <w:tcPr>
            <w:tcW w:w="1187"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w:t>
            </w:r>
            <w:r>
              <w:rPr>
                <w:rFonts w:eastAsia="宋体" w:cs="Times New Roman"/>
                <w:sz w:val="21"/>
                <w:szCs w:val="21"/>
              </w:rPr>
              <w:t>6</w:t>
            </w:r>
            <w:r>
              <w:rPr>
                <w:rFonts w:cs="Times New Roman"/>
                <w:sz w:val="21"/>
                <w:szCs w:val="21"/>
              </w:rPr>
              <w:t>25</w:t>
            </w:r>
          </w:p>
        </w:tc>
        <w:tc>
          <w:tcPr>
            <w:tcW w:w="1185"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1"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81" w:hRule="atLeast"/>
          <w:jc w:val="center"/>
        </w:trPr>
        <w:tc>
          <w:tcPr>
            <w:tcW w:w="1650" w:type="dxa"/>
            <w:shd w:val="clear" w:color="auto" w:fill="D8D8D8" w:themeFill="background1" w:themeFillShade="D9"/>
          </w:tcPr>
          <w:p>
            <w:pPr>
              <w:autoSpaceDE w:val="0"/>
              <w:autoSpaceDN w:val="0"/>
              <w:adjustRightInd w:val="0"/>
              <w:spacing w:before="120" w:after="120"/>
              <w:ind w:left="60" w:right="60"/>
              <w:jc w:val="left"/>
              <w:rPr>
                <w:rFonts w:cs="Times New Roman"/>
                <w:color w:val="000000"/>
                <w:sz w:val="21"/>
                <w:szCs w:val="21"/>
              </w:rPr>
            </w:pPr>
            <w:r>
              <w:rPr>
                <w:rFonts w:eastAsia="宋体" w:cs="Times New Roman"/>
                <w:color w:val="000000"/>
                <w:sz w:val="21"/>
                <w:szCs w:val="21"/>
              </w:rPr>
              <w:t>IV2-1</w:t>
            </w:r>
          </w:p>
        </w:tc>
        <w:tc>
          <w:tcPr>
            <w:tcW w:w="1312"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36.40</w:t>
            </w:r>
          </w:p>
        </w:tc>
        <w:tc>
          <w:tcPr>
            <w:tcW w:w="15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31.221</w:t>
            </w:r>
          </w:p>
        </w:tc>
        <w:tc>
          <w:tcPr>
            <w:tcW w:w="1187"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.779</w:t>
            </w:r>
          </w:p>
        </w:tc>
        <w:tc>
          <w:tcPr>
            <w:tcW w:w="1185"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1"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81" w:hRule="atLeast"/>
          <w:jc w:val="center"/>
        </w:trPr>
        <w:tc>
          <w:tcPr>
            <w:tcW w:w="1650" w:type="dxa"/>
            <w:shd w:val="clear" w:color="auto" w:fill="D8D8D8" w:themeFill="background1" w:themeFillShade="D9"/>
          </w:tcPr>
          <w:p>
            <w:pPr>
              <w:autoSpaceDE w:val="0"/>
              <w:autoSpaceDN w:val="0"/>
              <w:adjustRightInd w:val="0"/>
              <w:spacing w:before="120" w:after="120"/>
              <w:ind w:left="60" w:right="60"/>
              <w:jc w:val="left"/>
              <w:rPr>
                <w:rFonts w:cs="Times New Roman"/>
                <w:color w:val="000000"/>
                <w:sz w:val="21"/>
                <w:szCs w:val="21"/>
              </w:rPr>
            </w:pPr>
            <w:r>
              <w:rPr>
                <w:rFonts w:eastAsia="宋体" w:cs="Times New Roman"/>
                <w:color w:val="000000"/>
                <w:sz w:val="21"/>
                <w:szCs w:val="21"/>
              </w:rPr>
              <w:t>IV2-2</w:t>
            </w:r>
          </w:p>
        </w:tc>
        <w:tc>
          <w:tcPr>
            <w:tcW w:w="1312"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36.25</w:t>
            </w:r>
          </w:p>
        </w:tc>
        <w:tc>
          <w:tcPr>
            <w:tcW w:w="15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34.090</w:t>
            </w:r>
          </w:p>
        </w:tc>
        <w:tc>
          <w:tcPr>
            <w:tcW w:w="1187"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.610</w:t>
            </w:r>
          </w:p>
        </w:tc>
        <w:tc>
          <w:tcPr>
            <w:tcW w:w="1185"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1"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81" w:hRule="atLeast"/>
          <w:jc w:val="center"/>
        </w:trPr>
        <w:tc>
          <w:tcPr>
            <w:tcW w:w="1650" w:type="dxa"/>
            <w:shd w:val="clear" w:color="auto" w:fill="D8D8D8" w:themeFill="background1" w:themeFillShade="D9"/>
          </w:tcPr>
          <w:p>
            <w:pPr>
              <w:autoSpaceDE w:val="0"/>
              <w:autoSpaceDN w:val="0"/>
              <w:adjustRightInd w:val="0"/>
              <w:spacing w:before="120" w:after="120"/>
              <w:ind w:left="60" w:right="60"/>
              <w:jc w:val="left"/>
              <w:rPr>
                <w:rFonts w:cs="Times New Roman"/>
                <w:color w:val="000000"/>
                <w:sz w:val="21"/>
                <w:szCs w:val="21"/>
              </w:rPr>
            </w:pPr>
            <w:r>
              <w:rPr>
                <w:rFonts w:eastAsia="宋体" w:cs="Times New Roman"/>
                <w:color w:val="000000"/>
                <w:sz w:val="21"/>
                <w:szCs w:val="21"/>
              </w:rPr>
              <w:t>IV2-3</w:t>
            </w:r>
          </w:p>
        </w:tc>
        <w:tc>
          <w:tcPr>
            <w:tcW w:w="1312"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36.25</w:t>
            </w:r>
          </w:p>
        </w:tc>
        <w:tc>
          <w:tcPr>
            <w:tcW w:w="15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34.449</w:t>
            </w:r>
          </w:p>
        </w:tc>
        <w:tc>
          <w:tcPr>
            <w:tcW w:w="1187"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.613</w:t>
            </w:r>
          </w:p>
        </w:tc>
        <w:tc>
          <w:tcPr>
            <w:tcW w:w="1185"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1"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81" w:hRule="atLeast"/>
          <w:jc w:val="center"/>
        </w:trPr>
        <w:tc>
          <w:tcPr>
            <w:tcW w:w="1650" w:type="dxa"/>
            <w:shd w:val="clear" w:color="auto" w:fill="D8D8D8" w:themeFill="background1" w:themeFillShade="D9"/>
          </w:tcPr>
          <w:p>
            <w:pPr>
              <w:autoSpaceDE w:val="0"/>
              <w:autoSpaceDN w:val="0"/>
              <w:adjustRightInd w:val="0"/>
              <w:spacing w:before="120" w:after="120"/>
              <w:ind w:left="60" w:right="60"/>
              <w:jc w:val="left"/>
              <w:rPr>
                <w:rFonts w:eastAsia="宋体" w:cs="Times New Roman"/>
                <w:color w:val="000000"/>
                <w:sz w:val="21"/>
                <w:szCs w:val="21"/>
              </w:rPr>
            </w:pPr>
            <w:r>
              <w:rPr>
                <w:rFonts w:eastAsia="宋体" w:cs="Times New Roman"/>
                <w:color w:val="000000"/>
                <w:sz w:val="21"/>
                <w:szCs w:val="21"/>
              </w:rPr>
              <w:t>IV2-4</w:t>
            </w:r>
          </w:p>
        </w:tc>
        <w:tc>
          <w:tcPr>
            <w:tcW w:w="1312"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36.10</w:t>
            </w:r>
          </w:p>
        </w:tc>
        <w:tc>
          <w:tcPr>
            <w:tcW w:w="15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34.554</w:t>
            </w:r>
          </w:p>
        </w:tc>
        <w:tc>
          <w:tcPr>
            <w:tcW w:w="1187"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.612</w:t>
            </w:r>
          </w:p>
        </w:tc>
        <w:tc>
          <w:tcPr>
            <w:tcW w:w="1185" w:type="dxa"/>
            <w:shd w:val="clear" w:color="auto" w:fill="FFFFFF"/>
          </w:tcPr>
          <w:p>
            <w:pPr>
              <w:autoSpaceDE w:val="0"/>
              <w:autoSpaceDN w:val="0"/>
              <w:adjustRightInd w:val="0"/>
              <w:spacing w:before="120" w:after="120"/>
              <w:ind w:left="60" w:right="60"/>
              <w:jc w:val="right"/>
              <w:rPr>
                <w:rFonts w:eastAsia="宋体" w:cs="Times New Roman"/>
                <w:color w:val="000000"/>
                <w:sz w:val="21"/>
                <w:szCs w:val="21"/>
              </w:rPr>
            </w:pPr>
            <w:r>
              <w:rPr>
                <w:rFonts w:eastAsia="宋体" w:cs="Times New Roman"/>
                <w:color w:val="000000"/>
                <w:sz w:val="21"/>
                <w:szCs w:val="21"/>
              </w:rPr>
              <w:t>-</w:t>
            </w:r>
          </w:p>
        </w:tc>
        <w:tc>
          <w:tcPr>
            <w:tcW w:w="1451"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90" w:hRule="atLeast"/>
          <w:jc w:val="center"/>
        </w:trPr>
        <w:tc>
          <w:tcPr>
            <w:tcW w:w="1650" w:type="dxa"/>
            <w:shd w:val="clear" w:color="auto" w:fill="D8D8D8" w:themeFill="background1" w:themeFillShade="D9"/>
          </w:tcPr>
          <w:p>
            <w:pPr>
              <w:autoSpaceDE w:val="0"/>
              <w:autoSpaceDN w:val="0"/>
              <w:adjustRightInd w:val="0"/>
              <w:spacing w:before="120" w:after="120"/>
              <w:ind w:left="60" w:right="60"/>
              <w:jc w:val="left"/>
              <w:rPr>
                <w:rFonts w:eastAsia="宋体" w:cs="Times New Roman"/>
                <w:color w:val="000000"/>
                <w:sz w:val="21"/>
                <w:szCs w:val="21"/>
              </w:rPr>
            </w:pPr>
            <w:r>
              <w:rPr>
                <w:rFonts w:eastAsia="宋体" w:cs="Times New Roman"/>
                <w:color w:val="000000"/>
                <w:sz w:val="21"/>
                <w:szCs w:val="21"/>
              </w:rPr>
              <w:t>IV2-5</w:t>
            </w:r>
          </w:p>
        </w:tc>
        <w:tc>
          <w:tcPr>
            <w:tcW w:w="1312"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36.10</w:t>
            </w:r>
          </w:p>
        </w:tc>
        <w:tc>
          <w:tcPr>
            <w:tcW w:w="15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34.554</w:t>
            </w:r>
          </w:p>
        </w:tc>
        <w:tc>
          <w:tcPr>
            <w:tcW w:w="1187"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w:t>
            </w:r>
            <w:r>
              <w:rPr>
                <w:rFonts w:eastAsia="宋体" w:cs="Times New Roman"/>
                <w:sz w:val="21"/>
                <w:szCs w:val="21"/>
              </w:rPr>
              <w:t>6</w:t>
            </w:r>
            <w:r>
              <w:rPr>
                <w:rFonts w:cs="Times New Roman"/>
                <w:sz w:val="21"/>
                <w:szCs w:val="21"/>
              </w:rPr>
              <w:t>77</w:t>
            </w:r>
          </w:p>
        </w:tc>
        <w:tc>
          <w:tcPr>
            <w:tcW w:w="1185" w:type="dxa"/>
            <w:shd w:val="clear" w:color="auto" w:fill="FFFFFF"/>
          </w:tcPr>
          <w:p>
            <w:pPr>
              <w:autoSpaceDE w:val="0"/>
              <w:autoSpaceDN w:val="0"/>
              <w:adjustRightInd w:val="0"/>
              <w:spacing w:before="120" w:after="120"/>
              <w:ind w:left="60" w:right="60"/>
              <w:jc w:val="right"/>
              <w:rPr>
                <w:rFonts w:eastAsia="宋体" w:cs="Times New Roman"/>
                <w:color w:val="000000"/>
                <w:sz w:val="21"/>
                <w:szCs w:val="21"/>
              </w:rPr>
            </w:pPr>
            <w:r>
              <w:rPr>
                <w:rFonts w:eastAsia="宋体" w:cs="Times New Roman"/>
                <w:color w:val="000000"/>
                <w:sz w:val="21"/>
                <w:szCs w:val="21"/>
              </w:rPr>
              <w:t>-</w:t>
            </w:r>
          </w:p>
        </w:tc>
        <w:tc>
          <w:tcPr>
            <w:tcW w:w="1451"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90" w:hRule="atLeast"/>
          <w:jc w:val="center"/>
        </w:trPr>
        <w:tc>
          <w:tcPr>
            <w:tcW w:w="1650" w:type="dxa"/>
            <w:shd w:val="clear" w:color="auto" w:fill="D8D8D8" w:themeFill="background1" w:themeFillShade="D9"/>
          </w:tcPr>
          <w:p>
            <w:pPr>
              <w:autoSpaceDE w:val="0"/>
              <w:autoSpaceDN w:val="0"/>
              <w:adjustRightInd w:val="0"/>
              <w:spacing w:before="120" w:after="120"/>
              <w:ind w:left="60" w:right="60"/>
              <w:jc w:val="left"/>
              <w:rPr>
                <w:rFonts w:hint="eastAsia" w:eastAsia="宋体" w:cs="Times New Roman"/>
                <w:color w:val="000000"/>
                <w:sz w:val="21"/>
                <w:szCs w:val="21"/>
              </w:rPr>
            </w:pPr>
          </w:p>
        </w:tc>
        <w:tc>
          <w:tcPr>
            <w:tcW w:w="1312" w:type="dxa"/>
            <w:shd w:val="clear" w:color="auto" w:fill="FFFFFF"/>
            <w:vAlign w:val="center"/>
          </w:tcPr>
          <w:p>
            <w:pPr>
              <w:spacing w:beforeLines="0" w:afterLines="0" w:line="320" w:lineRule="atLeast"/>
              <w:ind w:left="60" w:right="60"/>
              <w:jc w:val="right"/>
              <w:rPr>
                <w:rFonts w:cs="Times New Roman"/>
                <w:sz w:val="21"/>
                <w:szCs w:val="21"/>
              </w:rPr>
            </w:pPr>
          </w:p>
        </w:tc>
        <w:tc>
          <w:tcPr>
            <w:tcW w:w="1515" w:type="dxa"/>
            <w:shd w:val="clear" w:color="auto" w:fill="FFFFFF"/>
            <w:vAlign w:val="center"/>
          </w:tcPr>
          <w:p>
            <w:pPr>
              <w:spacing w:beforeLines="0" w:afterLines="0" w:line="320" w:lineRule="atLeast"/>
              <w:ind w:left="60" w:right="60"/>
              <w:jc w:val="right"/>
              <w:rPr>
                <w:rFonts w:cs="Times New Roman"/>
                <w:sz w:val="21"/>
                <w:szCs w:val="21"/>
              </w:rPr>
            </w:pPr>
          </w:p>
        </w:tc>
        <w:tc>
          <w:tcPr>
            <w:tcW w:w="1187" w:type="dxa"/>
            <w:shd w:val="clear" w:color="auto" w:fill="FFFFFF"/>
            <w:vAlign w:val="center"/>
          </w:tcPr>
          <w:p>
            <w:pPr>
              <w:spacing w:beforeLines="0" w:afterLines="0" w:line="320" w:lineRule="atLeast"/>
              <w:ind w:left="60" w:right="60"/>
              <w:jc w:val="right"/>
              <w:rPr>
                <w:rFonts w:cs="Times New Roman"/>
                <w:sz w:val="21"/>
                <w:szCs w:val="21"/>
              </w:rPr>
            </w:pPr>
          </w:p>
        </w:tc>
        <w:tc>
          <w:tcPr>
            <w:tcW w:w="1185" w:type="dxa"/>
            <w:shd w:val="clear" w:color="auto" w:fill="FFFFFF"/>
          </w:tcPr>
          <w:p>
            <w:pPr>
              <w:autoSpaceDE w:val="0"/>
              <w:autoSpaceDN w:val="0"/>
              <w:adjustRightInd w:val="0"/>
              <w:spacing w:before="120" w:after="120"/>
              <w:ind w:left="60" w:right="60"/>
              <w:jc w:val="right"/>
              <w:rPr>
                <w:rFonts w:eastAsia="宋体" w:cs="Times New Roman"/>
                <w:color w:val="000000"/>
                <w:sz w:val="21"/>
                <w:szCs w:val="21"/>
              </w:rPr>
            </w:pPr>
          </w:p>
        </w:tc>
        <w:tc>
          <w:tcPr>
            <w:tcW w:w="1451" w:type="dxa"/>
            <w:shd w:val="clear" w:color="auto" w:fill="FFFFFF"/>
            <w:vAlign w:val="center"/>
          </w:tcPr>
          <w:p>
            <w:pPr>
              <w:spacing w:beforeLines="0" w:afterLines="0" w:line="320" w:lineRule="atLeast"/>
              <w:ind w:left="60" w:right="60"/>
              <w:jc w:val="right"/>
              <w:rPr>
                <w:rFonts w:cs="Times New Roman"/>
                <w:sz w:val="21"/>
                <w:szCs w:val="21"/>
              </w:rPr>
            </w:pPr>
          </w:p>
        </w:tc>
      </w:tr>
    </w:tbl>
    <w:p>
      <w:pPr>
        <w:pStyle w:val="4"/>
        <w:spacing w:before="120" w:after="120"/>
        <w:rPr>
          <w:rFonts w:cs="Times New Roman"/>
          <w:sz w:val="21"/>
          <w:szCs w:val="21"/>
        </w:rPr>
      </w:pPr>
      <w:bookmarkStart w:id="223" w:name="_Toc31138_WPSOffice_Level3"/>
      <w:bookmarkStart w:id="224" w:name="_Toc11336_WPSOffice_Level3"/>
      <w:r>
        <w:rPr>
          <w:rFonts w:cs="Times New Roman"/>
        </w:rPr>
        <w:t xml:space="preserve">4.1.3 </w:t>
      </w:r>
      <w:r>
        <w:rPr>
          <w:rFonts w:eastAsia="宋体" w:cs="Times New Roman"/>
          <w:color w:val="222222"/>
          <w:shd w:val="clear" w:color="auto" w:fill="FFFFFF"/>
        </w:rPr>
        <w:t>Correlation Matrix</w:t>
      </w:r>
      <w:bookmarkEnd w:id="223"/>
      <w:bookmarkEnd w:id="224"/>
    </w:p>
    <w:p>
      <w:pPr>
        <w:spacing w:before="120" w:after="120"/>
        <w:rPr>
          <w:rFonts w:cs="Times New Roman"/>
        </w:rPr>
      </w:pPr>
      <w:r>
        <w:rPr>
          <w:rFonts w:eastAsia="宋体" w:cs="Times New Roman"/>
        </w:rPr>
        <w:t xml:space="preserve">Table 4.5: </w:t>
      </w:r>
      <w:r>
        <w:rPr>
          <w:rFonts w:cs="Times New Roman"/>
        </w:rPr>
        <w:t>Correlation</w:t>
      </w:r>
      <w:r>
        <w:rPr>
          <w:rFonts w:eastAsia="宋体" w:cs="Times New Roman"/>
        </w:rPr>
        <w:t xml:space="preserve"> table</w:t>
      </w:r>
    </w:p>
    <w:tbl>
      <w:tblPr>
        <w:tblStyle w:val="14"/>
        <w:tblpPr w:leftFromText="180" w:rightFromText="180" w:vertAnchor="text" w:horzAnchor="page" w:tblpX="1321" w:tblpY="194"/>
        <w:tblOverlap w:val="never"/>
        <w:tblW w:w="878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97"/>
        <w:gridCol w:w="1345"/>
        <w:gridCol w:w="695"/>
        <w:gridCol w:w="693"/>
        <w:gridCol w:w="693"/>
        <w:gridCol w:w="695"/>
        <w:gridCol w:w="693"/>
        <w:gridCol w:w="693"/>
        <w:gridCol w:w="695"/>
        <w:gridCol w:w="694"/>
        <w:gridCol w:w="693"/>
        <w:gridCol w:w="69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10" w:hRule="atLeast"/>
        </w:trPr>
        <w:tc>
          <w:tcPr>
            <w:tcW w:w="8780" w:type="dxa"/>
            <w:gridSpan w:val="12"/>
            <w:tcBorders>
              <w:top w:val="nil"/>
              <w:left w:val="nil"/>
              <w:bottom w:val="nil"/>
              <w:right w:val="nil"/>
              <w:tl2br w:val="nil"/>
              <w:tr2bl w:val="nil"/>
            </w:tcBorders>
            <w:shd w:val="clear" w:color="auto" w:fill="FFFFFF"/>
            <w:vAlign w:val="center"/>
          </w:tcPr>
          <w:p>
            <w:pPr>
              <w:spacing w:beforeLines="0" w:afterLines="0" w:line="320" w:lineRule="atLeast"/>
              <w:ind w:left="60" w:right="60"/>
              <w:jc w:val="center"/>
              <w:rPr>
                <w:rFonts w:cs="Times New Roman"/>
                <w:sz w:val="21"/>
                <w:szCs w:val="21"/>
              </w:rPr>
            </w:pPr>
            <w:r>
              <w:rPr>
                <w:rFonts w:cs="Times New Roman"/>
                <w:b/>
                <w:sz w:val="21"/>
                <w:szCs w:val="21"/>
              </w:rPr>
              <w:t>Correlations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94" w:hRule="atLeast"/>
        </w:trPr>
        <w:tc>
          <w:tcPr>
            <w:tcW w:w="1842" w:type="dxa"/>
            <w:gridSpan w:val="2"/>
            <w:tcBorders>
              <w:top w:val="single" w:color="000000" w:sz="16" w:space="0"/>
              <w:left w:val="single" w:color="000000" w:sz="16" w:space="0"/>
              <w:bottom w:val="single" w:color="000000" w:sz="16" w:space="0"/>
              <w:right w:val="nil"/>
              <w:tl2br w:val="nil"/>
              <w:tr2bl w:val="nil"/>
            </w:tcBorders>
            <w:shd w:val="clear" w:color="auto" w:fill="FFFFFF"/>
            <w:vAlign w:val="bottom"/>
          </w:tcPr>
          <w:p>
            <w:pPr>
              <w:spacing w:beforeLines="0" w:afterLines="0"/>
              <w:rPr>
                <w:rFonts w:cs="Times New Roman"/>
                <w:sz w:val="21"/>
                <w:szCs w:val="21"/>
              </w:rPr>
            </w:pPr>
          </w:p>
        </w:tc>
        <w:tc>
          <w:tcPr>
            <w:tcW w:w="695" w:type="dxa"/>
            <w:tcBorders>
              <w:top w:val="single" w:color="000000" w:sz="16" w:space="0"/>
              <w:left w:val="single" w:color="000000" w:sz="16"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DK1</w:t>
            </w:r>
          </w:p>
        </w:tc>
        <w:tc>
          <w:tcPr>
            <w:tcW w:w="693"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DK2</w:t>
            </w:r>
          </w:p>
        </w:tc>
        <w:tc>
          <w:tcPr>
            <w:tcW w:w="693"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DK3</w:t>
            </w:r>
          </w:p>
        </w:tc>
        <w:tc>
          <w:tcPr>
            <w:tcW w:w="695"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DK4</w:t>
            </w:r>
          </w:p>
        </w:tc>
        <w:tc>
          <w:tcPr>
            <w:tcW w:w="693"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DK5</w:t>
            </w:r>
          </w:p>
        </w:tc>
        <w:tc>
          <w:tcPr>
            <w:tcW w:w="693"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TP1</w:t>
            </w:r>
          </w:p>
        </w:tc>
        <w:tc>
          <w:tcPr>
            <w:tcW w:w="695"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TP2</w:t>
            </w:r>
          </w:p>
        </w:tc>
        <w:tc>
          <w:tcPr>
            <w:tcW w:w="694"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TP3</w:t>
            </w:r>
          </w:p>
        </w:tc>
        <w:tc>
          <w:tcPr>
            <w:tcW w:w="693"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TP4</w:t>
            </w:r>
          </w:p>
        </w:tc>
        <w:tc>
          <w:tcPr>
            <w:tcW w:w="694" w:type="dxa"/>
            <w:tcBorders>
              <w:top w:val="single" w:color="000000" w:sz="16" w:space="0"/>
              <w:left w:val="single" w:color="000000" w:sz="8" w:space="0"/>
              <w:bottom w:val="single" w:color="000000" w:sz="16" w:space="0"/>
              <w:right w:val="single" w:color="000000" w:sz="16"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TP5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62" w:hRule="atLeast"/>
        </w:trPr>
        <w:tc>
          <w:tcPr>
            <w:tcW w:w="497" w:type="dxa"/>
            <w:vMerge w:val="restart"/>
            <w:tcBorders>
              <w:top w:val="single" w:color="000000" w:sz="16" w:space="0"/>
              <w:left w:val="single" w:color="000000" w:sz="16" w:space="0"/>
              <w:bottom w:val="single" w:color="000000" w:sz="8"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DK1</w:t>
            </w:r>
          </w:p>
        </w:tc>
        <w:tc>
          <w:tcPr>
            <w:tcW w:w="1345" w:type="dxa"/>
            <w:tcBorders>
              <w:top w:val="single" w:color="000000" w:sz="16" w:space="0"/>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Pearson Correlation</w:t>
            </w:r>
          </w:p>
        </w:tc>
        <w:tc>
          <w:tcPr>
            <w:tcW w:w="695" w:type="dxa"/>
            <w:tcBorders>
              <w:top w:val="single" w:color="000000" w:sz="16" w:space="0"/>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w:t>
            </w:r>
          </w:p>
        </w:tc>
        <w:tc>
          <w:tcPr>
            <w:tcW w:w="693"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.631</w:t>
            </w:r>
            <w:r>
              <w:rPr>
                <w:rFonts w:cs="Times New Roman"/>
                <w:sz w:val="21"/>
                <w:szCs w:val="21"/>
                <w:vertAlign w:val="superscript"/>
              </w:rPr>
              <w:t>**</w:t>
            </w:r>
          </w:p>
        </w:tc>
        <w:tc>
          <w:tcPr>
            <w:tcW w:w="693"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.553</w:t>
            </w:r>
            <w:r>
              <w:rPr>
                <w:rFonts w:cs="Times New Roman"/>
                <w:sz w:val="21"/>
                <w:szCs w:val="21"/>
                <w:vertAlign w:val="superscript"/>
              </w:rPr>
              <w:t>**</w:t>
            </w:r>
          </w:p>
        </w:tc>
        <w:tc>
          <w:tcPr>
            <w:tcW w:w="695"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.646</w:t>
            </w:r>
            <w:r>
              <w:rPr>
                <w:rFonts w:cs="Times New Roman"/>
                <w:sz w:val="21"/>
                <w:szCs w:val="21"/>
                <w:vertAlign w:val="superscript"/>
              </w:rPr>
              <w:t>**</w:t>
            </w:r>
          </w:p>
        </w:tc>
        <w:tc>
          <w:tcPr>
            <w:tcW w:w="693"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.496</w:t>
            </w:r>
            <w:r>
              <w:rPr>
                <w:rFonts w:cs="Times New Roman"/>
                <w:sz w:val="21"/>
                <w:szCs w:val="21"/>
                <w:vertAlign w:val="superscript"/>
              </w:rPr>
              <w:t>**</w:t>
            </w:r>
          </w:p>
        </w:tc>
        <w:tc>
          <w:tcPr>
            <w:tcW w:w="693"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.318</w:t>
            </w:r>
            <w:r>
              <w:rPr>
                <w:rFonts w:cs="Times New Roman"/>
                <w:sz w:val="21"/>
                <w:szCs w:val="21"/>
                <w:vertAlign w:val="superscript"/>
              </w:rPr>
              <w:t>*</w:t>
            </w:r>
          </w:p>
        </w:tc>
        <w:tc>
          <w:tcPr>
            <w:tcW w:w="695"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.190</w:t>
            </w:r>
          </w:p>
        </w:tc>
        <w:tc>
          <w:tcPr>
            <w:tcW w:w="694"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.232</w:t>
            </w:r>
          </w:p>
        </w:tc>
        <w:tc>
          <w:tcPr>
            <w:tcW w:w="693"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.236</w:t>
            </w:r>
          </w:p>
        </w:tc>
        <w:tc>
          <w:tcPr>
            <w:tcW w:w="694" w:type="dxa"/>
            <w:tcBorders>
              <w:top w:val="single" w:color="000000" w:sz="16" w:space="0"/>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94" w:hRule="atLeast"/>
        </w:trPr>
        <w:tc>
          <w:tcPr>
            <w:tcW w:w="497" w:type="dxa"/>
            <w:vMerge w:val="continue"/>
            <w:tcBorders>
              <w:top w:val="single" w:color="000000" w:sz="16" w:space="0"/>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345"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 (2-tailed)</w:t>
            </w:r>
          </w:p>
        </w:tc>
        <w:tc>
          <w:tcPr>
            <w:tcW w:w="69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.001</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.046</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.240</w:t>
            </w:r>
          </w:p>
        </w:tc>
        <w:tc>
          <w:tcPr>
            <w:tcW w:w="69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.151</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.143</w:t>
            </w:r>
          </w:p>
        </w:tc>
        <w:tc>
          <w:tcPr>
            <w:tcW w:w="69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50" w:hRule="atLeast"/>
        </w:trPr>
        <w:tc>
          <w:tcPr>
            <w:tcW w:w="497" w:type="dxa"/>
            <w:vMerge w:val="continue"/>
            <w:tcBorders>
              <w:top w:val="single" w:color="000000" w:sz="16" w:space="0"/>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345" w:type="dxa"/>
            <w:tcBorders>
              <w:top w:val="nil"/>
              <w:left w:val="nil"/>
              <w:bottom w:val="single" w:color="000000" w:sz="8"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N</w:t>
            </w:r>
          </w:p>
        </w:tc>
        <w:tc>
          <w:tcPr>
            <w:tcW w:w="695" w:type="dxa"/>
            <w:tcBorders>
              <w:top w:val="nil"/>
              <w:left w:val="single" w:color="000000" w:sz="16"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5"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5"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4"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4" w:type="dxa"/>
            <w:tcBorders>
              <w:top w:val="nil"/>
              <w:left w:val="single" w:color="000000" w:sz="8" w:space="0"/>
              <w:bottom w:val="single" w:color="000000" w:sz="8"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42" w:hRule="atLeast"/>
        </w:trPr>
        <w:tc>
          <w:tcPr>
            <w:tcW w:w="497" w:type="dxa"/>
            <w:vMerge w:val="restart"/>
            <w:tcBorders>
              <w:top w:val="nil"/>
              <w:left w:val="single" w:color="000000" w:sz="16" w:space="0"/>
              <w:bottom w:val="single" w:color="000000" w:sz="8"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DK2</w:t>
            </w:r>
          </w:p>
        </w:tc>
        <w:tc>
          <w:tcPr>
            <w:tcW w:w="1345"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Pearson Correlation</w:t>
            </w:r>
          </w:p>
        </w:tc>
        <w:tc>
          <w:tcPr>
            <w:tcW w:w="69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.631</w:t>
            </w:r>
            <w:r>
              <w:rPr>
                <w:rFonts w:cs="Times New Roman"/>
                <w:sz w:val="21"/>
                <w:szCs w:val="21"/>
                <w:vertAlign w:val="superscript"/>
              </w:rPr>
              <w:t>**</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.726</w:t>
            </w:r>
            <w:r>
              <w:rPr>
                <w:rFonts w:cs="Times New Roman"/>
                <w:sz w:val="21"/>
                <w:szCs w:val="21"/>
                <w:vertAlign w:val="superscript"/>
              </w:rPr>
              <w:t>**</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.697</w:t>
            </w:r>
            <w:r>
              <w:rPr>
                <w:rFonts w:cs="Times New Roman"/>
                <w:sz w:val="21"/>
                <w:szCs w:val="21"/>
                <w:vertAlign w:val="superscript"/>
              </w:rPr>
              <w:t>**</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.518</w:t>
            </w:r>
            <w:r>
              <w:rPr>
                <w:rFonts w:cs="Times New Roman"/>
                <w:sz w:val="21"/>
                <w:szCs w:val="21"/>
                <w:vertAlign w:val="superscript"/>
              </w:rPr>
              <w:t>**</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.282</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.078</w:t>
            </w:r>
          </w:p>
        </w:tc>
        <w:tc>
          <w:tcPr>
            <w:tcW w:w="69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-.054</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-.052</w:t>
            </w:r>
          </w:p>
        </w:tc>
        <w:tc>
          <w:tcPr>
            <w:tcW w:w="69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74" w:hRule="atLeast"/>
        </w:trPr>
        <w:tc>
          <w:tcPr>
            <w:tcW w:w="49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345"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 (2-tailed)</w:t>
            </w:r>
          </w:p>
        </w:tc>
        <w:tc>
          <w:tcPr>
            <w:tcW w:w="69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.001</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.077</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.634</w:t>
            </w:r>
          </w:p>
        </w:tc>
        <w:tc>
          <w:tcPr>
            <w:tcW w:w="69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.740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.750</w:t>
            </w:r>
          </w:p>
        </w:tc>
        <w:tc>
          <w:tcPr>
            <w:tcW w:w="69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30" w:hRule="atLeast"/>
        </w:trPr>
        <w:tc>
          <w:tcPr>
            <w:tcW w:w="49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345" w:type="dxa"/>
            <w:tcBorders>
              <w:top w:val="nil"/>
              <w:left w:val="nil"/>
              <w:bottom w:val="single" w:color="000000" w:sz="8"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N</w:t>
            </w:r>
          </w:p>
        </w:tc>
        <w:tc>
          <w:tcPr>
            <w:tcW w:w="695" w:type="dxa"/>
            <w:tcBorders>
              <w:top w:val="nil"/>
              <w:left w:val="single" w:color="000000" w:sz="16"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5"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5"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4"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4" w:type="dxa"/>
            <w:tcBorders>
              <w:top w:val="nil"/>
              <w:left w:val="single" w:color="000000" w:sz="8" w:space="0"/>
              <w:bottom w:val="single" w:color="000000" w:sz="8"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42" w:hRule="atLeast"/>
        </w:trPr>
        <w:tc>
          <w:tcPr>
            <w:tcW w:w="497" w:type="dxa"/>
            <w:vMerge w:val="restart"/>
            <w:tcBorders>
              <w:top w:val="nil"/>
              <w:left w:val="single" w:color="000000" w:sz="16" w:space="0"/>
              <w:bottom w:val="single" w:color="000000" w:sz="8"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DK3</w:t>
            </w:r>
          </w:p>
        </w:tc>
        <w:tc>
          <w:tcPr>
            <w:tcW w:w="1345"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Pearson Correlation</w:t>
            </w:r>
          </w:p>
        </w:tc>
        <w:tc>
          <w:tcPr>
            <w:tcW w:w="69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.553</w:t>
            </w:r>
            <w:r>
              <w:rPr>
                <w:rFonts w:cs="Times New Roman"/>
                <w:sz w:val="21"/>
                <w:szCs w:val="21"/>
                <w:vertAlign w:val="superscript"/>
              </w:rPr>
              <w:t>**</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.726</w:t>
            </w:r>
            <w:r>
              <w:rPr>
                <w:rFonts w:cs="Times New Roman"/>
                <w:sz w:val="21"/>
                <w:szCs w:val="21"/>
                <w:vertAlign w:val="superscript"/>
              </w:rPr>
              <w:t>**</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.778</w:t>
            </w:r>
            <w:r>
              <w:rPr>
                <w:rFonts w:cs="Times New Roman"/>
                <w:sz w:val="21"/>
                <w:szCs w:val="21"/>
                <w:vertAlign w:val="superscript"/>
              </w:rPr>
              <w:t>**</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.648</w:t>
            </w:r>
            <w:r>
              <w:rPr>
                <w:rFonts w:cs="Times New Roman"/>
                <w:sz w:val="21"/>
                <w:szCs w:val="21"/>
                <w:vertAlign w:val="superscript"/>
              </w:rPr>
              <w:t>**</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.371</w:t>
            </w:r>
            <w:r>
              <w:rPr>
                <w:rFonts w:cs="Times New Roman"/>
                <w:sz w:val="21"/>
                <w:szCs w:val="21"/>
                <w:vertAlign w:val="superscript"/>
              </w:rPr>
              <w:t>*</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.104</w:t>
            </w:r>
          </w:p>
        </w:tc>
        <w:tc>
          <w:tcPr>
            <w:tcW w:w="69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.027</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.095</w:t>
            </w:r>
          </w:p>
        </w:tc>
        <w:tc>
          <w:tcPr>
            <w:tcW w:w="69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74" w:hRule="atLeast"/>
        </w:trPr>
        <w:tc>
          <w:tcPr>
            <w:tcW w:w="49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345"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 (2-tailed)</w:t>
            </w:r>
          </w:p>
        </w:tc>
        <w:tc>
          <w:tcPr>
            <w:tcW w:w="69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.018</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.523</w:t>
            </w:r>
          </w:p>
        </w:tc>
        <w:tc>
          <w:tcPr>
            <w:tcW w:w="69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.868</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.561</w:t>
            </w:r>
          </w:p>
        </w:tc>
        <w:tc>
          <w:tcPr>
            <w:tcW w:w="69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30" w:hRule="atLeast"/>
        </w:trPr>
        <w:tc>
          <w:tcPr>
            <w:tcW w:w="49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345" w:type="dxa"/>
            <w:tcBorders>
              <w:top w:val="nil"/>
              <w:left w:val="nil"/>
              <w:bottom w:val="single" w:color="000000" w:sz="8"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N</w:t>
            </w:r>
          </w:p>
        </w:tc>
        <w:tc>
          <w:tcPr>
            <w:tcW w:w="695" w:type="dxa"/>
            <w:tcBorders>
              <w:top w:val="nil"/>
              <w:left w:val="single" w:color="000000" w:sz="16"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5"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5"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4"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4" w:type="dxa"/>
            <w:tcBorders>
              <w:top w:val="nil"/>
              <w:left w:val="single" w:color="000000" w:sz="8" w:space="0"/>
              <w:bottom w:val="single" w:color="000000" w:sz="8"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42" w:hRule="atLeast"/>
        </w:trPr>
        <w:tc>
          <w:tcPr>
            <w:tcW w:w="497" w:type="dxa"/>
            <w:vMerge w:val="restart"/>
            <w:tcBorders>
              <w:top w:val="nil"/>
              <w:left w:val="single" w:color="000000" w:sz="16" w:space="0"/>
              <w:bottom w:val="single" w:color="000000" w:sz="8"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DK4</w:t>
            </w:r>
          </w:p>
        </w:tc>
        <w:tc>
          <w:tcPr>
            <w:tcW w:w="1345"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Pearson Correlation</w:t>
            </w:r>
          </w:p>
        </w:tc>
        <w:tc>
          <w:tcPr>
            <w:tcW w:w="69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.646</w:t>
            </w:r>
            <w:r>
              <w:rPr>
                <w:rFonts w:cs="Times New Roman"/>
                <w:sz w:val="21"/>
                <w:szCs w:val="21"/>
                <w:vertAlign w:val="superscript"/>
              </w:rPr>
              <w:t>**</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.697</w:t>
            </w:r>
            <w:r>
              <w:rPr>
                <w:rFonts w:cs="Times New Roman"/>
                <w:sz w:val="21"/>
                <w:szCs w:val="21"/>
                <w:vertAlign w:val="superscript"/>
              </w:rPr>
              <w:t>**</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.778</w:t>
            </w:r>
            <w:r>
              <w:rPr>
                <w:rFonts w:cs="Times New Roman"/>
                <w:sz w:val="21"/>
                <w:szCs w:val="21"/>
                <w:vertAlign w:val="superscript"/>
              </w:rPr>
              <w:t>**</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.804</w:t>
            </w:r>
            <w:r>
              <w:rPr>
                <w:rFonts w:cs="Times New Roman"/>
                <w:sz w:val="21"/>
                <w:szCs w:val="21"/>
                <w:vertAlign w:val="superscript"/>
              </w:rPr>
              <w:t>**</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.148</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-.048</w:t>
            </w:r>
          </w:p>
        </w:tc>
        <w:tc>
          <w:tcPr>
            <w:tcW w:w="69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-.101</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-.043</w:t>
            </w:r>
          </w:p>
        </w:tc>
        <w:tc>
          <w:tcPr>
            <w:tcW w:w="69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74" w:hRule="atLeast"/>
        </w:trPr>
        <w:tc>
          <w:tcPr>
            <w:tcW w:w="49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345"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 (2-tailed)</w:t>
            </w:r>
          </w:p>
        </w:tc>
        <w:tc>
          <w:tcPr>
            <w:tcW w:w="69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.362</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.768</w:t>
            </w:r>
          </w:p>
        </w:tc>
        <w:tc>
          <w:tcPr>
            <w:tcW w:w="69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.537</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.791</w:t>
            </w:r>
          </w:p>
        </w:tc>
        <w:tc>
          <w:tcPr>
            <w:tcW w:w="69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30" w:hRule="atLeast"/>
        </w:trPr>
        <w:tc>
          <w:tcPr>
            <w:tcW w:w="49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345" w:type="dxa"/>
            <w:tcBorders>
              <w:top w:val="nil"/>
              <w:left w:val="nil"/>
              <w:bottom w:val="single" w:color="000000" w:sz="8"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N</w:t>
            </w:r>
          </w:p>
        </w:tc>
        <w:tc>
          <w:tcPr>
            <w:tcW w:w="695" w:type="dxa"/>
            <w:tcBorders>
              <w:top w:val="nil"/>
              <w:left w:val="single" w:color="000000" w:sz="16"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5"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5"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4"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4" w:type="dxa"/>
            <w:tcBorders>
              <w:top w:val="nil"/>
              <w:left w:val="single" w:color="000000" w:sz="8" w:space="0"/>
              <w:bottom w:val="single" w:color="000000" w:sz="8"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42" w:hRule="atLeast"/>
        </w:trPr>
        <w:tc>
          <w:tcPr>
            <w:tcW w:w="497" w:type="dxa"/>
            <w:vMerge w:val="restart"/>
            <w:tcBorders>
              <w:top w:val="nil"/>
              <w:left w:val="single" w:color="000000" w:sz="16" w:space="0"/>
              <w:bottom w:val="single" w:color="000000" w:sz="8"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DK5</w:t>
            </w:r>
          </w:p>
        </w:tc>
        <w:tc>
          <w:tcPr>
            <w:tcW w:w="1345"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Pearson Correlation</w:t>
            </w:r>
          </w:p>
        </w:tc>
        <w:tc>
          <w:tcPr>
            <w:tcW w:w="69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.496</w:t>
            </w:r>
            <w:r>
              <w:rPr>
                <w:rFonts w:cs="Times New Roman"/>
                <w:sz w:val="21"/>
                <w:szCs w:val="21"/>
                <w:vertAlign w:val="superscript"/>
              </w:rPr>
              <w:t>**</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.518</w:t>
            </w:r>
            <w:r>
              <w:rPr>
                <w:rFonts w:cs="Times New Roman"/>
                <w:sz w:val="21"/>
                <w:szCs w:val="21"/>
                <w:vertAlign w:val="superscript"/>
              </w:rPr>
              <w:t>**</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.648</w:t>
            </w:r>
            <w:r>
              <w:rPr>
                <w:rFonts w:cs="Times New Roman"/>
                <w:sz w:val="21"/>
                <w:szCs w:val="21"/>
                <w:vertAlign w:val="superscript"/>
              </w:rPr>
              <w:t>**</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.804</w:t>
            </w:r>
            <w:r>
              <w:rPr>
                <w:rFonts w:cs="Times New Roman"/>
                <w:sz w:val="21"/>
                <w:szCs w:val="21"/>
                <w:vertAlign w:val="superscript"/>
              </w:rPr>
              <w:t>**</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.128</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-.086</w:t>
            </w:r>
          </w:p>
        </w:tc>
        <w:tc>
          <w:tcPr>
            <w:tcW w:w="69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-.045</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-.056</w:t>
            </w:r>
          </w:p>
        </w:tc>
        <w:tc>
          <w:tcPr>
            <w:tcW w:w="69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74" w:hRule="atLeast"/>
        </w:trPr>
        <w:tc>
          <w:tcPr>
            <w:tcW w:w="49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345"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 (2-tailed)</w:t>
            </w:r>
          </w:p>
        </w:tc>
        <w:tc>
          <w:tcPr>
            <w:tcW w:w="69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.001</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.001</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.433</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.599</w:t>
            </w:r>
          </w:p>
        </w:tc>
        <w:tc>
          <w:tcPr>
            <w:tcW w:w="69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.784</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.729</w:t>
            </w:r>
          </w:p>
        </w:tc>
        <w:tc>
          <w:tcPr>
            <w:tcW w:w="69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30" w:hRule="atLeast"/>
        </w:trPr>
        <w:tc>
          <w:tcPr>
            <w:tcW w:w="49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345" w:type="dxa"/>
            <w:tcBorders>
              <w:top w:val="nil"/>
              <w:left w:val="nil"/>
              <w:bottom w:val="single" w:color="000000" w:sz="8"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N</w:t>
            </w:r>
          </w:p>
        </w:tc>
        <w:tc>
          <w:tcPr>
            <w:tcW w:w="695" w:type="dxa"/>
            <w:tcBorders>
              <w:top w:val="nil"/>
              <w:left w:val="single" w:color="000000" w:sz="16"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5"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5"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4"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4" w:type="dxa"/>
            <w:tcBorders>
              <w:top w:val="nil"/>
              <w:left w:val="single" w:color="000000" w:sz="8" w:space="0"/>
              <w:bottom w:val="single" w:color="000000" w:sz="8"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42" w:hRule="atLeast"/>
        </w:trPr>
        <w:tc>
          <w:tcPr>
            <w:tcW w:w="497" w:type="dxa"/>
            <w:vMerge w:val="restart"/>
            <w:tcBorders>
              <w:top w:val="nil"/>
              <w:left w:val="single" w:color="000000" w:sz="16" w:space="0"/>
              <w:bottom w:val="single" w:color="000000" w:sz="8"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TP1</w:t>
            </w:r>
          </w:p>
        </w:tc>
        <w:tc>
          <w:tcPr>
            <w:tcW w:w="1345"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Pearson Correlation</w:t>
            </w:r>
          </w:p>
        </w:tc>
        <w:tc>
          <w:tcPr>
            <w:tcW w:w="69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.318</w:t>
            </w:r>
            <w:r>
              <w:rPr>
                <w:rFonts w:cs="Times New Roman"/>
                <w:sz w:val="21"/>
                <w:szCs w:val="21"/>
                <w:vertAlign w:val="superscript"/>
              </w:rPr>
              <w:t>*</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.282</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.371</w:t>
            </w:r>
            <w:r>
              <w:rPr>
                <w:rFonts w:cs="Times New Roman"/>
                <w:sz w:val="21"/>
                <w:szCs w:val="21"/>
                <w:vertAlign w:val="superscript"/>
              </w:rPr>
              <w:t>*</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.148</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.128</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.821</w:t>
            </w:r>
            <w:r>
              <w:rPr>
                <w:rFonts w:cs="Times New Roman"/>
                <w:sz w:val="21"/>
                <w:szCs w:val="21"/>
                <w:vertAlign w:val="superscript"/>
              </w:rPr>
              <w:t>**</w:t>
            </w:r>
          </w:p>
        </w:tc>
        <w:tc>
          <w:tcPr>
            <w:tcW w:w="69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.738</w:t>
            </w:r>
            <w:r>
              <w:rPr>
                <w:rFonts w:cs="Times New Roman"/>
                <w:sz w:val="21"/>
                <w:szCs w:val="21"/>
                <w:vertAlign w:val="superscript"/>
              </w:rPr>
              <w:t>**</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.683</w:t>
            </w:r>
            <w:r>
              <w:rPr>
                <w:rFonts w:cs="Times New Roman"/>
                <w:sz w:val="21"/>
                <w:szCs w:val="21"/>
                <w:vertAlign w:val="superscript"/>
              </w:rPr>
              <w:t>**</w:t>
            </w:r>
          </w:p>
        </w:tc>
        <w:tc>
          <w:tcPr>
            <w:tcW w:w="69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.769</w:t>
            </w:r>
            <w:r>
              <w:rPr>
                <w:rFonts w:cs="Times New Roman"/>
                <w:sz w:val="21"/>
                <w:szCs w:val="21"/>
                <w:vertAlign w:val="superscrip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74" w:hRule="atLeast"/>
        </w:trPr>
        <w:tc>
          <w:tcPr>
            <w:tcW w:w="49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345"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 (2-tailed)</w:t>
            </w:r>
          </w:p>
        </w:tc>
        <w:tc>
          <w:tcPr>
            <w:tcW w:w="69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.046</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.077</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.018</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.362</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.433</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30" w:hRule="atLeast"/>
        </w:trPr>
        <w:tc>
          <w:tcPr>
            <w:tcW w:w="49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345" w:type="dxa"/>
            <w:tcBorders>
              <w:top w:val="nil"/>
              <w:left w:val="nil"/>
              <w:bottom w:val="single" w:color="000000" w:sz="8"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N</w:t>
            </w:r>
          </w:p>
        </w:tc>
        <w:tc>
          <w:tcPr>
            <w:tcW w:w="695" w:type="dxa"/>
            <w:tcBorders>
              <w:top w:val="nil"/>
              <w:left w:val="single" w:color="000000" w:sz="16"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5"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5"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4"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4" w:type="dxa"/>
            <w:tcBorders>
              <w:top w:val="nil"/>
              <w:left w:val="single" w:color="000000" w:sz="8" w:space="0"/>
              <w:bottom w:val="single" w:color="000000" w:sz="8"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42" w:hRule="atLeast"/>
        </w:trPr>
        <w:tc>
          <w:tcPr>
            <w:tcW w:w="497" w:type="dxa"/>
            <w:vMerge w:val="restart"/>
            <w:tcBorders>
              <w:top w:val="nil"/>
              <w:left w:val="single" w:color="000000" w:sz="16" w:space="0"/>
              <w:bottom w:val="single" w:color="000000" w:sz="8"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TP2</w:t>
            </w:r>
          </w:p>
        </w:tc>
        <w:tc>
          <w:tcPr>
            <w:tcW w:w="1345"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Pearson Correlation</w:t>
            </w:r>
          </w:p>
        </w:tc>
        <w:tc>
          <w:tcPr>
            <w:tcW w:w="69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.190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.078</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.104</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-.048</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-.086</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.821</w:t>
            </w:r>
            <w:r>
              <w:rPr>
                <w:rFonts w:cs="Times New Roman"/>
                <w:sz w:val="21"/>
                <w:szCs w:val="21"/>
                <w:vertAlign w:val="superscript"/>
              </w:rPr>
              <w:t>**</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w:t>
            </w:r>
          </w:p>
        </w:tc>
        <w:tc>
          <w:tcPr>
            <w:tcW w:w="69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.783</w:t>
            </w:r>
            <w:r>
              <w:rPr>
                <w:rFonts w:cs="Times New Roman"/>
                <w:sz w:val="21"/>
                <w:szCs w:val="21"/>
                <w:vertAlign w:val="superscript"/>
              </w:rPr>
              <w:t>**</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.726</w:t>
            </w:r>
            <w:r>
              <w:rPr>
                <w:rFonts w:cs="Times New Roman"/>
                <w:sz w:val="21"/>
                <w:szCs w:val="21"/>
                <w:vertAlign w:val="superscript"/>
              </w:rPr>
              <w:t>**</w:t>
            </w:r>
          </w:p>
        </w:tc>
        <w:tc>
          <w:tcPr>
            <w:tcW w:w="69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.736</w:t>
            </w:r>
            <w:r>
              <w:rPr>
                <w:rFonts w:cs="Times New Roman"/>
                <w:sz w:val="21"/>
                <w:szCs w:val="21"/>
                <w:vertAlign w:val="superscrip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74" w:hRule="atLeast"/>
        </w:trPr>
        <w:tc>
          <w:tcPr>
            <w:tcW w:w="49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345"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 (2-tailed)</w:t>
            </w:r>
          </w:p>
        </w:tc>
        <w:tc>
          <w:tcPr>
            <w:tcW w:w="69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.240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.634</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.523</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.768</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.599</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69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30" w:hRule="atLeast"/>
        </w:trPr>
        <w:tc>
          <w:tcPr>
            <w:tcW w:w="49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345" w:type="dxa"/>
            <w:tcBorders>
              <w:top w:val="nil"/>
              <w:left w:val="nil"/>
              <w:bottom w:val="single" w:color="000000" w:sz="8"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N</w:t>
            </w:r>
          </w:p>
        </w:tc>
        <w:tc>
          <w:tcPr>
            <w:tcW w:w="695" w:type="dxa"/>
            <w:tcBorders>
              <w:top w:val="nil"/>
              <w:left w:val="single" w:color="000000" w:sz="16"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5"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5"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4"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4" w:type="dxa"/>
            <w:tcBorders>
              <w:top w:val="nil"/>
              <w:left w:val="single" w:color="000000" w:sz="8" w:space="0"/>
              <w:bottom w:val="single" w:color="000000" w:sz="8"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42" w:hRule="atLeast"/>
        </w:trPr>
        <w:tc>
          <w:tcPr>
            <w:tcW w:w="497" w:type="dxa"/>
            <w:vMerge w:val="restart"/>
            <w:tcBorders>
              <w:top w:val="nil"/>
              <w:left w:val="single" w:color="000000" w:sz="16" w:space="0"/>
              <w:bottom w:val="single" w:color="000000" w:sz="8"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TP3</w:t>
            </w:r>
          </w:p>
        </w:tc>
        <w:tc>
          <w:tcPr>
            <w:tcW w:w="1345"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Pearson Correlation</w:t>
            </w:r>
          </w:p>
        </w:tc>
        <w:tc>
          <w:tcPr>
            <w:tcW w:w="69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.232</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-.054</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.027</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-.101</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-.045</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.738</w:t>
            </w:r>
            <w:r>
              <w:rPr>
                <w:rFonts w:cs="Times New Roman"/>
                <w:sz w:val="21"/>
                <w:szCs w:val="21"/>
                <w:vertAlign w:val="superscript"/>
              </w:rPr>
              <w:t>**</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.783</w:t>
            </w:r>
            <w:r>
              <w:rPr>
                <w:rFonts w:cs="Times New Roman"/>
                <w:sz w:val="21"/>
                <w:szCs w:val="21"/>
                <w:vertAlign w:val="superscript"/>
              </w:rPr>
              <w:t>**</w:t>
            </w:r>
          </w:p>
        </w:tc>
        <w:tc>
          <w:tcPr>
            <w:tcW w:w="69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.896</w:t>
            </w:r>
            <w:r>
              <w:rPr>
                <w:rFonts w:cs="Times New Roman"/>
                <w:sz w:val="21"/>
                <w:szCs w:val="21"/>
                <w:vertAlign w:val="superscript"/>
              </w:rPr>
              <w:t>**</w:t>
            </w:r>
          </w:p>
        </w:tc>
        <w:tc>
          <w:tcPr>
            <w:tcW w:w="69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.813</w:t>
            </w:r>
            <w:r>
              <w:rPr>
                <w:rFonts w:cs="Times New Roman"/>
                <w:sz w:val="21"/>
                <w:szCs w:val="21"/>
                <w:vertAlign w:val="superscrip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74" w:hRule="atLeast"/>
        </w:trPr>
        <w:tc>
          <w:tcPr>
            <w:tcW w:w="49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345"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 (2-tailed)</w:t>
            </w:r>
          </w:p>
        </w:tc>
        <w:tc>
          <w:tcPr>
            <w:tcW w:w="69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.151</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.740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.868</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.537</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.784</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30" w:hRule="atLeast"/>
        </w:trPr>
        <w:tc>
          <w:tcPr>
            <w:tcW w:w="49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345" w:type="dxa"/>
            <w:tcBorders>
              <w:top w:val="nil"/>
              <w:left w:val="nil"/>
              <w:bottom w:val="single" w:color="000000" w:sz="8"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N</w:t>
            </w:r>
          </w:p>
        </w:tc>
        <w:tc>
          <w:tcPr>
            <w:tcW w:w="695" w:type="dxa"/>
            <w:tcBorders>
              <w:top w:val="nil"/>
              <w:left w:val="single" w:color="000000" w:sz="16"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5"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5"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4"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4" w:type="dxa"/>
            <w:tcBorders>
              <w:top w:val="nil"/>
              <w:left w:val="single" w:color="000000" w:sz="8" w:space="0"/>
              <w:bottom w:val="single" w:color="000000" w:sz="8"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42" w:hRule="atLeast"/>
        </w:trPr>
        <w:tc>
          <w:tcPr>
            <w:tcW w:w="497" w:type="dxa"/>
            <w:vMerge w:val="restart"/>
            <w:tcBorders>
              <w:top w:val="nil"/>
              <w:left w:val="single" w:color="000000" w:sz="16" w:space="0"/>
              <w:bottom w:val="single" w:color="000000" w:sz="8"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TP4</w:t>
            </w:r>
          </w:p>
        </w:tc>
        <w:tc>
          <w:tcPr>
            <w:tcW w:w="1345"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Pearson Correlation</w:t>
            </w:r>
          </w:p>
        </w:tc>
        <w:tc>
          <w:tcPr>
            <w:tcW w:w="69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.236</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-.052</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.095</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-.043</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-.056</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.683</w:t>
            </w:r>
            <w:r>
              <w:rPr>
                <w:rFonts w:cs="Times New Roman"/>
                <w:sz w:val="21"/>
                <w:szCs w:val="21"/>
                <w:vertAlign w:val="superscript"/>
              </w:rPr>
              <w:t>**</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.726</w:t>
            </w:r>
            <w:r>
              <w:rPr>
                <w:rFonts w:cs="Times New Roman"/>
                <w:sz w:val="21"/>
                <w:szCs w:val="21"/>
                <w:vertAlign w:val="superscript"/>
              </w:rPr>
              <w:t>**</w:t>
            </w:r>
          </w:p>
        </w:tc>
        <w:tc>
          <w:tcPr>
            <w:tcW w:w="69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.896</w:t>
            </w:r>
            <w:r>
              <w:rPr>
                <w:rFonts w:cs="Times New Roman"/>
                <w:sz w:val="21"/>
                <w:szCs w:val="21"/>
                <w:vertAlign w:val="superscript"/>
              </w:rPr>
              <w:t>**</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w:t>
            </w:r>
          </w:p>
        </w:tc>
        <w:tc>
          <w:tcPr>
            <w:tcW w:w="69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.823</w:t>
            </w:r>
            <w:r>
              <w:rPr>
                <w:rFonts w:cs="Times New Roman"/>
                <w:sz w:val="21"/>
                <w:szCs w:val="21"/>
                <w:vertAlign w:val="superscrip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74" w:hRule="atLeast"/>
        </w:trPr>
        <w:tc>
          <w:tcPr>
            <w:tcW w:w="49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345"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 (2-tailed)</w:t>
            </w:r>
          </w:p>
        </w:tc>
        <w:tc>
          <w:tcPr>
            <w:tcW w:w="69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.143</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.750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.561</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.791</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.729</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69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30" w:hRule="atLeast"/>
        </w:trPr>
        <w:tc>
          <w:tcPr>
            <w:tcW w:w="49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345" w:type="dxa"/>
            <w:tcBorders>
              <w:top w:val="nil"/>
              <w:left w:val="nil"/>
              <w:bottom w:val="single" w:color="000000" w:sz="8"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N</w:t>
            </w:r>
          </w:p>
        </w:tc>
        <w:tc>
          <w:tcPr>
            <w:tcW w:w="695" w:type="dxa"/>
            <w:tcBorders>
              <w:top w:val="nil"/>
              <w:left w:val="single" w:color="000000" w:sz="16"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5"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5"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4"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4" w:type="dxa"/>
            <w:tcBorders>
              <w:top w:val="nil"/>
              <w:left w:val="single" w:color="000000" w:sz="8" w:space="0"/>
              <w:bottom w:val="single" w:color="000000" w:sz="8"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42" w:hRule="atLeast"/>
        </w:trPr>
        <w:tc>
          <w:tcPr>
            <w:tcW w:w="497" w:type="dxa"/>
            <w:vMerge w:val="restart"/>
            <w:tcBorders>
              <w:top w:val="nil"/>
              <w:left w:val="single" w:color="000000" w:sz="16" w:space="0"/>
              <w:bottom w:val="single" w:color="000000" w:sz="16"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TP5</w:t>
            </w:r>
          </w:p>
        </w:tc>
        <w:tc>
          <w:tcPr>
            <w:tcW w:w="1345"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Pearson Correlation</w:t>
            </w:r>
          </w:p>
        </w:tc>
        <w:tc>
          <w:tcPr>
            <w:tcW w:w="69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.098</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-.050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.117</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-.090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-.119</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.769</w:t>
            </w:r>
            <w:r>
              <w:rPr>
                <w:rFonts w:cs="Times New Roman"/>
                <w:sz w:val="21"/>
                <w:szCs w:val="21"/>
                <w:vertAlign w:val="superscript"/>
              </w:rPr>
              <w:t>**</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.736</w:t>
            </w:r>
            <w:r>
              <w:rPr>
                <w:rFonts w:cs="Times New Roman"/>
                <w:sz w:val="21"/>
                <w:szCs w:val="21"/>
                <w:vertAlign w:val="superscript"/>
              </w:rPr>
              <w:t>**</w:t>
            </w:r>
          </w:p>
        </w:tc>
        <w:tc>
          <w:tcPr>
            <w:tcW w:w="69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.813</w:t>
            </w:r>
            <w:r>
              <w:rPr>
                <w:rFonts w:cs="Times New Roman"/>
                <w:sz w:val="21"/>
                <w:szCs w:val="21"/>
                <w:vertAlign w:val="superscript"/>
              </w:rPr>
              <w:t>**</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.823</w:t>
            </w:r>
            <w:r>
              <w:rPr>
                <w:rFonts w:cs="Times New Roman"/>
                <w:sz w:val="21"/>
                <w:szCs w:val="21"/>
                <w:vertAlign w:val="superscript"/>
              </w:rPr>
              <w:t>**</w:t>
            </w:r>
          </w:p>
        </w:tc>
        <w:tc>
          <w:tcPr>
            <w:tcW w:w="69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94" w:hRule="atLeast"/>
        </w:trPr>
        <w:tc>
          <w:tcPr>
            <w:tcW w:w="497" w:type="dxa"/>
            <w:vMerge w:val="continue"/>
            <w:tcBorders>
              <w:top w:val="nil"/>
              <w:left w:val="single" w:color="000000" w:sz="16" w:space="0"/>
              <w:bottom w:val="single" w:color="000000" w:sz="16" w:space="0"/>
              <w:right w:val="nil"/>
              <w:tl2br w:val="nil"/>
              <w:tr2bl w:val="nil"/>
            </w:tcBorders>
            <w:shd w:val="clear" w:color="auto" w:fill="FFFFFF"/>
          </w:tcPr>
          <w:p>
            <w:pPr>
              <w:spacing w:beforeLines="0" w:afterLines="0"/>
              <w:rPr>
                <w:rFonts w:cs="Times New Roman"/>
                <w:sz w:val="21"/>
                <w:szCs w:val="21"/>
              </w:rPr>
            </w:pPr>
          </w:p>
        </w:tc>
        <w:tc>
          <w:tcPr>
            <w:tcW w:w="1345"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 (2-tailed)</w:t>
            </w:r>
          </w:p>
        </w:tc>
        <w:tc>
          <w:tcPr>
            <w:tcW w:w="69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.549</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.761</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.473</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.581</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.465</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5"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4"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694"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50" w:hRule="atLeast"/>
        </w:trPr>
        <w:tc>
          <w:tcPr>
            <w:tcW w:w="497" w:type="dxa"/>
            <w:vMerge w:val="continue"/>
            <w:tcBorders>
              <w:top w:val="nil"/>
              <w:left w:val="single" w:color="000000" w:sz="16" w:space="0"/>
              <w:bottom w:val="single" w:color="000000" w:sz="16" w:space="0"/>
              <w:right w:val="nil"/>
              <w:tl2br w:val="nil"/>
              <w:tr2bl w:val="nil"/>
            </w:tcBorders>
            <w:shd w:val="clear" w:color="auto" w:fill="FFFFFF"/>
          </w:tcPr>
          <w:p>
            <w:pPr>
              <w:spacing w:beforeLines="0" w:afterLines="0"/>
              <w:rPr>
                <w:rFonts w:cs="Times New Roman"/>
                <w:sz w:val="21"/>
                <w:szCs w:val="21"/>
              </w:rPr>
            </w:pPr>
          </w:p>
        </w:tc>
        <w:tc>
          <w:tcPr>
            <w:tcW w:w="1345" w:type="dxa"/>
            <w:tcBorders>
              <w:top w:val="nil"/>
              <w:left w:val="nil"/>
              <w:bottom w:val="single" w:color="000000" w:sz="16"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N</w:t>
            </w:r>
          </w:p>
        </w:tc>
        <w:tc>
          <w:tcPr>
            <w:tcW w:w="695" w:type="dxa"/>
            <w:tcBorders>
              <w:top w:val="nil"/>
              <w:left w:val="single" w:color="000000" w:sz="16"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5"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5"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4"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3"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c>
          <w:tcPr>
            <w:tcW w:w="694" w:type="dxa"/>
            <w:tcBorders>
              <w:top w:val="nil"/>
              <w:left w:val="single" w:color="000000" w:sz="8" w:space="0"/>
              <w:bottom w:val="single" w:color="000000" w:sz="16"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50" w:hRule="atLeast"/>
        </w:trPr>
        <w:tc>
          <w:tcPr>
            <w:tcW w:w="8780" w:type="dxa"/>
            <w:gridSpan w:val="12"/>
            <w:tcBorders>
              <w:top w:val="nil"/>
              <w:left w:val="nil"/>
              <w:bottom w:val="nil"/>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 Correlation is significant at the 0.01 level (2-tailed).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10" w:hRule="atLeast"/>
        </w:trPr>
        <w:tc>
          <w:tcPr>
            <w:tcW w:w="8780" w:type="dxa"/>
            <w:gridSpan w:val="12"/>
            <w:tcBorders>
              <w:top w:val="nil"/>
              <w:left w:val="nil"/>
              <w:bottom w:val="nil"/>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 Correlation is significant at the 0.05 level (2-tailed).</w:t>
            </w:r>
          </w:p>
        </w:tc>
      </w:tr>
    </w:tbl>
    <w:p>
      <w:pPr>
        <w:spacing w:before="120" w:after="120"/>
        <w:rPr>
          <w:rFonts w:cs="Times New Roman"/>
        </w:rPr>
      </w:pPr>
    </w:p>
    <w:p>
      <w:pPr>
        <w:spacing w:before="120" w:after="120"/>
        <w:rPr>
          <w:rFonts w:cs="Times New Roman"/>
        </w:rPr>
      </w:pPr>
    </w:p>
    <w:p>
      <w:pPr>
        <w:spacing w:before="120" w:after="120"/>
        <w:rPr>
          <w:rFonts w:cs="Times New Roman"/>
        </w:rPr>
      </w:pPr>
    </w:p>
    <w:p>
      <w:pPr>
        <w:spacing w:before="120" w:after="120"/>
        <w:rPr>
          <w:rFonts w:cs="Times New Roman"/>
        </w:rPr>
      </w:pPr>
    </w:p>
    <w:p>
      <w:pPr>
        <w:spacing w:before="120" w:after="120"/>
        <w:rPr>
          <w:rFonts w:cs="Times New Roman"/>
        </w:rPr>
      </w:pPr>
    </w:p>
    <w:p>
      <w:pPr>
        <w:spacing w:before="120" w:after="120"/>
        <w:rPr>
          <w:rFonts w:cs="Times New Roman"/>
        </w:rPr>
      </w:pPr>
    </w:p>
    <w:p>
      <w:pPr>
        <w:spacing w:before="120" w:after="120"/>
        <w:rPr>
          <w:rFonts w:cs="Times New Roman"/>
        </w:rPr>
      </w:pPr>
    </w:p>
    <w:p>
      <w:pPr>
        <w:spacing w:before="120" w:after="120"/>
        <w:rPr>
          <w:rFonts w:cs="Times New Roman"/>
        </w:rPr>
      </w:pPr>
      <w:r>
        <w:rPr>
          <w:rFonts w:cs="Times New Roman"/>
        </w:rPr>
        <w:t xml:space="preserve">The correlation matrix test is performed to check the multicolinearity of the data to ascertain if there is a high correlation among independent variables. The correlation value of 1.00 means two variables are correlated, the correlation value of 0.00 means there is absolutely no correlation (Pyrczak, 2006). Table </w:t>
      </w:r>
      <w:r>
        <w:rPr>
          <w:rFonts w:hint="eastAsia" w:eastAsia="宋体" w:cs="Times New Roman"/>
        </w:rPr>
        <w:t>4.5</w:t>
      </w:r>
      <w:r>
        <w:rPr>
          <w:rFonts w:cs="Times New Roman"/>
        </w:rPr>
        <w:t xml:space="preserve"> shows that 2 constructs (IVs)</w:t>
      </w:r>
      <w:r>
        <w:rPr>
          <w:rFonts w:hint="eastAsia" w:eastAsia="宋体" w:cs="Times New Roman"/>
        </w:rPr>
        <w:t xml:space="preserve"> </w:t>
      </w:r>
      <w:r>
        <w:rPr>
          <w:rFonts w:cs="Times New Roman"/>
        </w:rPr>
        <w:t>of values for the different constructs or independent variables are much smaller than 1.00 which means that these independent variables are not correlated with one another.</w:t>
      </w:r>
    </w:p>
    <w:p>
      <w:pPr>
        <w:spacing w:before="120" w:after="120"/>
        <w:rPr>
          <w:rFonts w:cs="Times New Roman"/>
        </w:rPr>
      </w:pPr>
    </w:p>
    <w:p>
      <w:pPr>
        <w:pStyle w:val="4"/>
        <w:spacing w:before="120" w:after="120"/>
        <w:rPr>
          <w:rFonts w:cs="Times New Roman"/>
        </w:rPr>
      </w:pPr>
      <w:bookmarkStart w:id="225" w:name="_Toc276_WPSOffice_Level3"/>
      <w:bookmarkStart w:id="226" w:name="_Toc11858_WPSOffice_Level3"/>
      <w:bookmarkStart w:id="227" w:name="_Toc530662035"/>
      <w:r>
        <w:rPr>
          <w:rFonts w:cs="Times New Roman"/>
        </w:rPr>
        <w:t>4.1.</w:t>
      </w:r>
      <w:r>
        <w:rPr>
          <w:rFonts w:hint="eastAsia" w:cs="Times New Roman"/>
        </w:rPr>
        <w:t>4</w:t>
      </w:r>
      <w:r>
        <w:rPr>
          <w:rFonts w:cs="Times New Roman"/>
        </w:rPr>
        <w:t xml:space="preserve"> Conclusion for Pilot Test</w:t>
      </w:r>
      <w:bookmarkEnd w:id="225"/>
      <w:bookmarkEnd w:id="226"/>
      <w:bookmarkEnd w:id="227"/>
    </w:p>
    <w:p>
      <w:pPr>
        <w:spacing w:before="120" w:after="120"/>
        <w:rPr>
          <w:rFonts w:hint="eastAsia" w:eastAsia="宋体" w:cs="Times New Roman"/>
        </w:rPr>
      </w:pPr>
      <w:r>
        <w:rPr>
          <w:rFonts w:cs="Times New Roman"/>
        </w:rPr>
        <w:t xml:space="preserve">The pilot test conducted with the data received from the selected first </w:t>
      </w:r>
      <w:r>
        <w:rPr>
          <w:rFonts w:hint="eastAsia" w:eastAsia="宋体" w:cs="Times New Roman"/>
        </w:rPr>
        <w:t>40</w:t>
      </w:r>
      <w:r>
        <w:rPr>
          <w:rFonts w:cs="Times New Roman"/>
        </w:rPr>
        <w:t xml:space="preserve"> responses to test the accurateness and significance of the data. Based on the results of Factor Analysis and Reliability Test </w:t>
      </w:r>
      <w:r>
        <w:rPr>
          <w:rFonts w:hint="eastAsia" w:eastAsia="宋体" w:cs="Times New Roman"/>
        </w:rPr>
        <w:t xml:space="preserve">and </w:t>
      </w:r>
      <w:r>
        <w:rPr>
          <w:rFonts w:cs="Times New Roman"/>
        </w:rPr>
        <w:t>Correlation</w:t>
      </w:r>
      <w:r>
        <w:rPr>
          <w:rFonts w:hint="eastAsia" w:eastAsia="宋体" w:cs="Times New Roman"/>
        </w:rPr>
        <w:t xml:space="preserve"> Matrix </w:t>
      </w:r>
      <w:r>
        <w:rPr>
          <w:rFonts w:cs="Times New Roman"/>
        </w:rPr>
        <w:t>above shows all the items of the constructs in the questionnaire have more realistic loading values in both tests and it clearly proved that all the items of the constructs in the study were suitable and applicable for further analysis</w:t>
      </w:r>
      <w:r>
        <w:rPr>
          <w:rFonts w:hint="eastAsia" w:eastAsia="宋体" w:cs="Times New Roman"/>
        </w:rPr>
        <w:t>.</w:t>
      </w:r>
      <w:bookmarkStart w:id="228" w:name="_Toc530662036"/>
    </w:p>
    <w:p>
      <w:pPr>
        <w:spacing w:before="120" w:after="120"/>
        <w:rPr>
          <w:rFonts w:hint="eastAsia" w:eastAsia="宋体" w:cs="Times New Roman"/>
        </w:rPr>
      </w:pPr>
    </w:p>
    <w:p>
      <w:pPr>
        <w:spacing w:before="120" w:after="120"/>
        <w:rPr>
          <w:rFonts w:hint="eastAsia" w:eastAsia="宋体" w:cs="Times New Roman"/>
        </w:rPr>
      </w:pPr>
    </w:p>
    <w:p>
      <w:pPr>
        <w:spacing w:before="120" w:after="120"/>
        <w:rPr>
          <w:rFonts w:hint="eastAsia" w:eastAsia="宋体" w:cs="Times New Roman"/>
        </w:rPr>
      </w:pPr>
    </w:p>
    <w:p>
      <w:pPr>
        <w:pStyle w:val="2"/>
        <w:spacing w:before="360" w:after="120"/>
      </w:pPr>
      <w:bookmarkStart w:id="229" w:name="_Toc14624_WPSOffice_Level2"/>
      <w:bookmarkStart w:id="230" w:name="_Toc25245_WPSOffice_Level2"/>
      <w:r>
        <w:rPr>
          <w:rFonts w:cs="Times New Roman"/>
        </w:rPr>
        <w:t>4.2 Full Scale Data Collection</w:t>
      </w:r>
      <w:bookmarkEnd w:id="228"/>
      <w:bookmarkEnd w:id="229"/>
      <w:bookmarkEnd w:id="230"/>
    </w:p>
    <w:p>
      <w:pPr>
        <w:spacing w:before="120" w:after="120"/>
        <w:rPr>
          <w:rFonts w:cs="Times New Roman"/>
        </w:rPr>
      </w:pPr>
      <w:r>
        <w:rPr>
          <w:rFonts w:cs="Times New Roman"/>
        </w:rPr>
        <w:t xml:space="preserve">After the pilot tests completed, a collection of full-scale data has been conducted in this research with the same distribution technique and channels as executed in the pilot test. As discoursed earlier in the Chapter 3, 384 sample size was required for this study based on the number of target population stated by Krejcie &amp; Morgan (1970). Overall 400 questionnaires were distributed to the </w:t>
      </w:r>
      <w:r>
        <w:rPr>
          <w:rFonts w:eastAsia="宋体" w:cs="Times New Roman"/>
        </w:rPr>
        <w:t>people from education institutions in China</w:t>
      </w:r>
      <w:r>
        <w:rPr>
          <w:rFonts w:cs="Times New Roman"/>
        </w:rPr>
        <w:t>.</w:t>
      </w:r>
      <w:r>
        <w:rPr>
          <w:rFonts w:eastAsia="宋体" w:cs="Times New Roman"/>
        </w:rPr>
        <w:t xml:space="preserve"> </w:t>
      </w:r>
      <w:r>
        <w:rPr>
          <w:rFonts w:cs="Times New Roman"/>
        </w:rPr>
        <w:t xml:space="preserve">The following Table </w:t>
      </w:r>
      <w:r>
        <w:rPr>
          <w:rFonts w:eastAsia="宋体" w:cs="Times New Roman"/>
        </w:rPr>
        <w:t>4.6</w:t>
      </w:r>
      <w:r>
        <w:rPr>
          <w:rFonts w:cs="Times New Roman"/>
        </w:rPr>
        <w:t xml:space="preserve"> </w:t>
      </w:r>
      <w:r>
        <w:rPr>
          <w:rFonts w:eastAsia="宋体" w:cs="Times New Roman"/>
        </w:rPr>
        <w:t>listed</w:t>
      </w:r>
      <w:r>
        <w:rPr>
          <w:rFonts w:cs="Times New Roman"/>
        </w:rPr>
        <w:t xml:space="preserve"> the summary of research questionnaire response rate from the respondents</w:t>
      </w:r>
      <w:r>
        <w:rPr>
          <w:rFonts w:eastAsia="宋体" w:cs="Times New Roman"/>
        </w:rPr>
        <w:t>.</w:t>
      </w:r>
      <w:r>
        <w:rPr>
          <w:rFonts w:cs="Times New Roman"/>
        </w:rPr>
        <w:t xml:space="preserve"> Thus, a total of 2</w:t>
      </w:r>
      <w:r>
        <w:rPr>
          <w:rFonts w:eastAsia="宋体" w:cs="Times New Roman"/>
        </w:rPr>
        <w:t>80</w:t>
      </w:r>
      <w:r>
        <w:rPr>
          <w:rFonts w:cs="Times New Roman"/>
        </w:rPr>
        <w:t xml:space="preserve"> usable questionnaires are deemed for further analysis in this research. </w:t>
      </w:r>
    </w:p>
    <w:p>
      <w:pPr>
        <w:spacing w:before="120" w:after="120"/>
      </w:pPr>
    </w:p>
    <w:p>
      <w:pPr>
        <w:spacing w:before="120" w:after="120"/>
        <w:rPr>
          <w:rFonts w:cs="Times New Roman"/>
        </w:rPr>
      </w:pPr>
      <w:r>
        <w:rPr>
          <w:rFonts w:cs="Times New Roman"/>
        </w:rPr>
        <w:t xml:space="preserve">Table </w:t>
      </w:r>
      <w:r>
        <w:rPr>
          <w:rFonts w:eastAsia="宋体" w:cs="Times New Roman"/>
        </w:rPr>
        <w:t>4.6</w:t>
      </w:r>
      <w:r>
        <w:rPr>
          <w:rFonts w:cs="Times New Roman"/>
        </w:rPr>
        <w:t>: Summary of Research Questionnaire Response Rate</w:t>
      </w:r>
    </w:p>
    <w:tbl>
      <w:tblPr>
        <w:tblStyle w:val="15"/>
        <w:tblW w:w="8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0"/>
        <w:gridCol w:w="4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jc w:val="center"/>
        </w:trPr>
        <w:tc>
          <w:tcPr>
            <w:tcW w:w="4290" w:type="dxa"/>
            <w:shd w:val="clear" w:color="auto" w:fill="D8D8D8" w:themeFill="background1" w:themeFillShade="D9"/>
          </w:tcPr>
          <w:p>
            <w:pPr>
              <w:spacing w:before="120" w:after="120"/>
              <w:rPr>
                <w:sz w:val="20"/>
                <w:szCs w:val="18"/>
              </w:rPr>
            </w:pPr>
            <w:r>
              <w:rPr>
                <w:sz w:val="20"/>
                <w:szCs w:val="18"/>
              </w:rPr>
              <w:t xml:space="preserve">Total Questionnaire Distributed </w:t>
            </w:r>
          </w:p>
        </w:tc>
        <w:tc>
          <w:tcPr>
            <w:tcW w:w="4290" w:type="dxa"/>
          </w:tcPr>
          <w:p>
            <w:pPr>
              <w:spacing w:before="120" w:after="120"/>
              <w:rPr>
                <w:sz w:val="20"/>
                <w:szCs w:val="18"/>
              </w:rPr>
            </w:pPr>
            <w:r>
              <w:rPr>
                <w:sz w:val="20"/>
                <w:szCs w:val="18"/>
              </w:rPr>
              <w:t>400 questionnaires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jc w:val="center"/>
        </w:trPr>
        <w:tc>
          <w:tcPr>
            <w:tcW w:w="4290" w:type="dxa"/>
            <w:shd w:val="clear" w:color="auto" w:fill="D8D8D8" w:themeFill="background1" w:themeFillShade="D9"/>
          </w:tcPr>
          <w:p>
            <w:pPr>
              <w:spacing w:before="120" w:after="120"/>
              <w:rPr>
                <w:sz w:val="20"/>
                <w:szCs w:val="18"/>
              </w:rPr>
            </w:pPr>
            <w:r>
              <w:rPr>
                <w:sz w:val="20"/>
                <w:szCs w:val="18"/>
              </w:rPr>
              <w:t>Total Questionnaire Received</w:t>
            </w:r>
          </w:p>
        </w:tc>
        <w:tc>
          <w:tcPr>
            <w:tcW w:w="4290" w:type="dxa"/>
          </w:tcPr>
          <w:p>
            <w:pPr>
              <w:spacing w:before="120" w:after="120"/>
              <w:rPr>
                <w:sz w:val="20"/>
                <w:szCs w:val="18"/>
              </w:rPr>
            </w:pPr>
            <w:r>
              <w:rPr>
                <w:rFonts w:hint="eastAsia"/>
                <w:sz w:val="20"/>
                <w:szCs w:val="18"/>
              </w:rPr>
              <w:t>305</w:t>
            </w:r>
            <w:r>
              <w:rPr>
                <w:sz w:val="20"/>
                <w:szCs w:val="18"/>
              </w:rPr>
              <w:t xml:space="preserve"> questionnaires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jc w:val="center"/>
        </w:trPr>
        <w:tc>
          <w:tcPr>
            <w:tcW w:w="4290" w:type="dxa"/>
            <w:shd w:val="clear" w:color="auto" w:fill="D8D8D8" w:themeFill="background1" w:themeFillShade="D9"/>
          </w:tcPr>
          <w:p>
            <w:pPr>
              <w:spacing w:before="120" w:after="120"/>
              <w:rPr>
                <w:sz w:val="20"/>
                <w:szCs w:val="18"/>
              </w:rPr>
            </w:pPr>
            <w:r>
              <w:rPr>
                <w:sz w:val="20"/>
                <w:szCs w:val="18"/>
              </w:rPr>
              <w:t>Total Response Rate</w:t>
            </w:r>
          </w:p>
        </w:tc>
        <w:tc>
          <w:tcPr>
            <w:tcW w:w="4290" w:type="dxa"/>
          </w:tcPr>
          <w:p>
            <w:pPr>
              <w:spacing w:before="120" w:after="120"/>
              <w:rPr>
                <w:sz w:val="20"/>
                <w:szCs w:val="18"/>
              </w:rPr>
            </w:pPr>
            <w:r>
              <w:rPr>
                <w:rFonts w:hint="eastAsia"/>
                <w:sz w:val="20"/>
                <w:szCs w:val="18"/>
              </w:rPr>
              <w:t>76</w:t>
            </w:r>
            <w:r>
              <w:rPr>
                <w:sz w:val="20"/>
                <w:szCs w:val="18"/>
              </w:rPr>
              <w:t>.</w:t>
            </w:r>
            <w:r>
              <w:rPr>
                <w:rFonts w:hint="eastAsia"/>
                <w:sz w:val="20"/>
                <w:szCs w:val="18"/>
              </w:rPr>
              <w:t>25</w:t>
            </w:r>
            <w:r>
              <w:rPr>
                <w:sz w:val="20"/>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3" w:hRule="atLeast"/>
          <w:jc w:val="center"/>
        </w:trPr>
        <w:tc>
          <w:tcPr>
            <w:tcW w:w="4290" w:type="dxa"/>
            <w:shd w:val="clear" w:color="auto" w:fill="D8D8D8" w:themeFill="background1" w:themeFillShade="D9"/>
          </w:tcPr>
          <w:p>
            <w:pPr>
              <w:spacing w:before="120" w:after="120"/>
              <w:rPr>
                <w:sz w:val="20"/>
                <w:szCs w:val="18"/>
              </w:rPr>
            </w:pPr>
            <w:r>
              <w:rPr>
                <w:sz w:val="20"/>
                <w:szCs w:val="18"/>
              </w:rPr>
              <w:t xml:space="preserve">Total Questionnaire Non-usable </w:t>
            </w:r>
          </w:p>
        </w:tc>
        <w:tc>
          <w:tcPr>
            <w:tcW w:w="4290" w:type="dxa"/>
          </w:tcPr>
          <w:p>
            <w:pPr>
              <w:spacing w:before="120" w:after="120"/>
              <w:rPr>
                <w:sz w:val="20"/>
                <w:szCs w:val="18"/>
              </w:rPr>
            </w:pPr>
            <w:r>
              <w:rPr>
                <w:rFonts w:hint="eastAsia"/>
                <w:sz w:val="20"/>
                <w:szCs w:val="18"/>
              </w:rPr>
              <w:t>25</w:t>
            </w:r>
            <w:r>
              <w:rPr>
                <w:sz w:val="20"/>
                <w:szCs w:val="18"/>
              </w:rPr>
              <w:t xml:space="preserve"> questionnaires (missing, incomplete, spoilt)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2" w:hRule="atLeast"/>
          <w:jc w:val="center"/>
        </w:trPr>
        <w:tc>
          <w:tcPr>
            <w:tcW w:w="4290" w:type="dxa"/>
            <w:shd w:val="clear" w:color="auto" w:fill="D8D8D8" w:themeFill="background1" w:themeFillShade="D9"/>
          </w:tcPr>
          <w:p>
            <w:pPr>
              <w:spacing w:before="120" w:after="120"/>
              <w:rPr>
                <w:sz w:val="20"/>
                <w:szCs w:val="18"/>
              </w:rPr>
            </w:pPr>
            <w:r>
              <w:rPr>
                <w:sz w:val="20"/>
                <w:szCs w:val="18"/>
              </w:rPr>
              <w:t>Total Questionnaire Usable</w:t>
            </w:r>
          </w:p>
        </w:tc>
        <w:tc>
          <w:tcPr>
            <w:tcW w:w="4290" w:type="dxa"/>
          </w:tcPr>
          <w:p>
            <w:pPr>
              <w:spacing w:before="120" w:after="120"/>
              <w:rPr>
                <w:sz w:val="20"/>
                <w:szCs w:val="18"/>
              </w:rPr>
            </w:pPr>
            <w:r>
              <w:rPr>
                <w:sz w:val="20"/>
                <w:szCs w:val="18"/>
              </w:rPr>
              <w:t>2</w:t>
            </w:r>
            <w:r>
              <w:rPr>
                <w:rFonts w:hint="eastAsia"/>
                <w:sz w:val="20"/>
                <w:szCs w:val="18"/>
              </w:rPr>
              <w:t>80</w:t>
            </w:r>
            <w:r>
              <w:rPr>
                <w:sz w:val="20"/>
                <w:szCs w:val="18"/>
              </w:rPr>
              <w:t xml:space="preserve"> questionnaires</w:t>
            </w:r>
          </w:p>
        </w:tc>
      </w:tr>
    </w:tbl>
    <w:p>
      <w:pPr>
        <w:pStyle w:val="2"/>
        <w:spacing w:before="360" w:after="120"/>
      </w:pPr>
      <w:bookmarkStart w:id="231" w:name="_Toc25781_WPSOffice_Level2"/>
      <w:bookmarkStart w:id="232" w:name="_Toc31138_WPSOffice_Level2"/>
      <w:r>
        <w:t>4.</w:t>
      </w:r>
      <w:r>
        <w:rPr>
          <w:rFonts w:hint="eastAsia"/>
        </w:rPr>
        <w:t>3</w:t>
      </w:r>
      <w:r>
        <w:t xml:space="preserve"> Demographic Profile</w:t>
      </w:r>
      <w:bookmarkEnd w:id="231"/>
      <w:bookmarkEnd w:id="232"/>
    </w:p>
    <w:p>
      <w:pPr>
        <w:spacing w:before="120" w:after="120"/>
        <w:rPr>
          <w:rFonts w:eastAsia="Times New Roman" w:cs="Times New Roman"/>
          <w:color w:val="222222"/>
          <w:lang w:eastAsia="en-GB"/>
        </w:rPr>
      </w:pPr>
      <w:r>
        <w:rPr>
          <w:rFonts w:eastAsia="Times New Roman" w:cs="Times New Roman"/>
          <w:color w:val="222222"/>
          <w:lang w:eastAsia="en-GB"/>
        </w:rPr>
        <w:t xml:space="preserve">Table </w:t>
      </w:r>
      <w:r>
        <w:rPr>
          <w:rFonts w:eastAsia="宋体" w:cs="Times New Roman"/>
          <w:color w:val="222222"/>
        </w:rPr>
        <w:t>4.7</w:t>
      </w:r>
      <w:r>
        <w:rPr>
          <w:rFonts w:eastAsia="Times New Roman" w:cs="Times New Roman"/>
          <w:color w:val="222222"/>
          <w:lang w:eastAsia="en-GB"/>
        </w:rPr>
        <w:t>: Demographic Profile Information</w:t>
      </w:r>
    </w:p>
    <w:p>
      <w:pPr>
        <w:spacing w:before="120" w:after="120"/>
        <w:rPr>
          <w:rFonts w:eastAsia="Times New Roman" w:cs="Times New Roman"/>
          <w:color w:val="222222"/>
          <w:lang w:eastAsia="en-GB"/>
        </w:rPr>
      </w:pPr>
    </w:p>
    <w:tbl>
      <w:tblPr>
        <w:tblStyle w:val="14"/>
        <w:tblpPr w:leftFromText="180" w:rightFromText="180" w:vertAnchor="text" w:horzAnchor="page" w:tblpX="1820" w:tblpY="709"/>
        <w:tblOverlap w:val="never"/>
        <w:tblW w:w="82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25"/>
        <w:gridCol w:w="2638"/>
        <w:gridCol w:w="1714"/>
        <w:gridCol w:w="15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037" w:hRule="atLeast"/>
        </w:trPr>
        <w:tc>
          <w:tcPr>
            <w:tcW w:w="4963" w:type="dxa"/>
            <w:gridSpan w:val="2"/>
            <w:tcBorders>
              <w:top w:val="single" w:color="auto" w:sz="4" w:space="0"/>
              <w:left w:val="single" w:color="auto" w:sz="4" w:space="0"/>
              <w:bottom w:val="single" w:color="auto" w:sz="4" w:space="0"/>
              <w:right w:val="single" w:color="auto" w:sz="4" w:space="0"/>
            </w:tcBorders>
            <w:shd w:val="clear" w:color="auto" w:fill="FFFFFF"/>
            <w:vAlign w:val="bottom"/>
          </w:tcPr>
          <w:p>
            <w:pPr>
              <w:autoSpaceDE w:val="0"/>
              <w:autoSpaceDN w:val="0"/>
              <w:adjustRightInd w:val="0"/>
              <w:spacing w:before="120" w:after="120"/>
              <w:ind w:left="60" w:right="60"/>
              <w:jc w:val="center"/>
              <w:rPr>
                <w:rFonts w:cs="Times New Roman"/>
                <w:b/>
                <w:bCs/>
                <w:sz w:val="21"/>
                <w:szCs w:val="21"/>
              </w:rPr>
            </w:pPr>
            <w:r>
              <w:rPr>
                <w:rFonts w:cs="Times New Roman"/>
                <w:b/>
                <w:bCs/>
                <w:sz w:val="21"/>
                <w:szCs w:val="21"/>
              </w:rPr>
              <w:t>Demographic Categories</w:t>
            </w:r>
          </w:p>
          <w:p>
            <w:pPr>
              <w:autoSpaceDE w:val="0"/>
              <w:autoSpaceDN w:val="0"/>
              <w:adjustRightInd w:val="0"/>
              <w:spacing w:before="120" w:after="120"/>
              <w:ind w:left="60" w:right="60"/>
              <w:jc w:val="center"/>
              <w:rPr>
                <w:rFonts w:cs="Times New Roman"/>
                <w:b/>
                <w:bCs/>
                <w:sz w:val="21"/>
                <w:szCs w:val="21"/>
              </w:rPr>
            </w:pPr>
          </w:p>
        </w:tc>
        <w:tc>
          <w:tcPr>
            <w:tcW w:w="1714" w:type="dxa"/>
            <w:tcBorders>
              <w:top w:val="single" w:color="auto" w:sz="4" w:space="0"/>
              <w:left w:val="single" w:color="auto" w:sz="4" w:space="0"/>
              <w:bottom w:val="single" w:color="auto" w:sz="4" w:space="0"/>
              <w:right w:val="single" w:color="auto" w:sz="4" w:space="0"/>
            </w:tcBorders>
            <w:shd w:val="clear" w:color="auto" w:fill="FFFFFF"/>
            <w:vAlign w:val="bottom"/>
          </w:tcPr>
          <w:p>
            <w:pPr>
              <w:autoSpaceDE w:val="0"/>
              <w:autoSpaceDN w:val="0"/>
              <w:adjustRightInd w:val="0"/>
              <w:spacing w:before="120" w:after="120"/>
              <w:ind w:left="60" w:right="60"/>
              <w:jc w:val="center"/>
              <w:rPr>
                <w:rFonts w:cs="Times New Roman"/>
                <w:b/>
                <w:bCs/>
                <w:sz w:val="21"/>
                <w:szCs w:val="21"/>
              </w:rPr>
            </w:pPr>
            <w:r>
              <w:rPr>
                <w:rFonts w:cs="Times New Roman"/>
                <w:b/>
                <w:bCs/>
                <w:sz w:val="21"/>
                <w:szCs w:val="21"/>
              </w:rPr>
              <w:t>Frequency</w:t>
            </w:r>
          </w:p>
        </w:tc>
        <w:tc>
          <w:tcPr>
            <w:tcW w:w="1583" w:type="dxa"/>
            <w:tcBorders>
              <w:top w:val="single" w:color="auto" w:sz="4" w:space="0"/>
              <w:left w:val="single" w:color="auto" w:sz="4" w:space="0"/>
              <w:bottom w:val="single" w:color="auto" w:sz="4" w:space="0"/>
              <w:right w:val="single" w:color="auto" w:sz="4" w:space="0"/>
            </w:tcBorders>
            <w:shd w:val="clear" w:color="auto" w:fill="FFFFFF"/>
            <w:vAlign w:val="bottom"/>
          </w:tcPr>
          <w:p>
            <w:pPr>
              <w:autoSpaceDE w:val="0"/>
              <w:autoSpaceDN w:val="0"/>
              <w:adjustRightInd w:val="0"/>
              <w:spacing w:before="120" w:after="120"/>
              <w:ind w:left="60" w:right="60"/>
              <w:jc w:val="center"/>
              <w:rPr>
                <w:rFonts w:cs="Times New Roman"/>
                <w:b/>
                <w:bCs/>
                <w:sz w:val="21"/>
                <w:szCs w:val="21"/>
              </w:rPr>
            </w:pPr>
            <w:r>
              <w:rPr>
                <w:rFonts w:cs="Times New Roman"/>
                <w:b/>
                <w:bCs/>
                <w:sz w:val="21"/>
                <w:szCs w:val="21"/>
              </w:rPr>
              <w:t>Percent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83" w:hRule="atLeast"/>
        </w:trPr>
        <w:tc>
          <w:tcPr>
            <w:tcW w:w="2325" w:type="dxa"/>
            <w:vMerge w:val="restart"/>
            <w:tcBorders>
              <w:top w:val="single" w:color="auto" w:sz="4" w:space="0"/>
              <w:left w:val="single" w:color="auto" w:sz="4" w:space="0"/>
              <w:bottom w:val="single" w:color="auto" w:sz="4" w:space="0"/>
              <w:right w:val="single" w:color="auto" w:sz="4" w:space="0"/>
            </w:tcBorders>
            <w:shd w:val="clear" w:color="auto" w:fill="E0E0E0"/>
          </w:tcPr>
          <w:p>
            <w:pPr>
              <w:autoSpaceDE w:val="0"/>
              <w:autoSpaceDN w:val="0"/>
              <w:adjustRightInd w:val="0"/>
              <w:spacing w:before="120" w:after="120"/>
              <w:ind w:left="60" w:right="60"/>
              <w:jc w:val="left"/>
              <w:rPr>
                <w:rFonts w:cs="Times New Roman"/>
                <w:sz w:val="21"/>
                <w:szCs w:val="21"/>
              </w:rPr>
            </w:pPr>
            <w:r>
              <w:rPr>
                <w:rFonts w:cs="Times New Roman"/>
                <w:sz w:val="21"/>
                <w:szCs w:val="21"/>
              </w:rPr>
              <w:t>Gender</w:t>
            </w:r>
          </w:p>
        </w:tc>
        <w:tc>
          <w:tcPr>
            <w:tcW w:w="2638" w:type="dxa"/>
            <w:tcBorders>
              <w:top w:val="single" w:color="auto" w:sz="4" w:space="0"/>
              <w:left w:val="single" w:color="auto" w:sz="4" w:space="0"/>
              <w:bottom w:val="single" w:color="auto" w:sz="4" w:space="0"/>
              <w:right w:val="single" w:color="auto" w:sz="4" w:space="0"/>
            </w:tcBorders>
            <w:shd w:val="clear" w:color="auto" w:fill="E0E0E0"/>
          </w:tcPr>
          <w:p>
            <w:pPr>
              <w:autoSpaceDE w:val="0"/>
              <w:autoSpaceDN w:val="0"/>
              <w:adjustRightInd w:val="0"/>
              <w:spacing w:before="120" w:after="120"/>
              <w:ind w:left="60" w:right="60"/>
              <w:rPr>
                <w:rFonts w:cs="Times New Roman"/>
                <w:sz w:val="21"/>
                <w:szCs w:val="21"/>
              </w:rPr>
            </w:pPr>
            <w:r>
              <w:rPr>
                <w:rFonts w:cs="Times New Roman"/>
                <w:sz w:val="21"/>
                <w:szCs w:val="21"/>
              </w:rPr>
              <w:t>Male</w:t>
            </w:r>
          </w:p>
        </w:tc>
        <w:tc>
          <w:tcPr>
            <w:tcW w:w="171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eastAsia="宋体" w:cs="Times New Roman"/>
                <w:sz w:val="21"/>
                <w:szCs w:val="21"/>
              </w:rPr>
            </w:pPr>
            <w:r>
              <w:rPr>
                <w:rFonts w:eastAsia="宋体" w:cs="Times New Roman"/>
                <w:sz w:val="21"/>
                <w:szCs w:val="21"/>
              </w:rPr>
              <w:t>119</w:t>
            </w:r>
          </w:p>
        </w:tc>
        <w:tc>
          <w:tcPr>
            <w:tcW w:w="1583"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cs="Times New Roman"/>
                <w:sz w:val="21"/>
                <w:szCs w:val="21"/>
              </w:rPr>
            </w:pPr>
            <w:r>
              <w:rPr>
                <w:rFonts w:eastAsia="宋体" w:cs="Times New Roman"/>
                <w:sz w:val="21"/>
                <w:szCs w:val="21"/>
              </w:rPr>
              <w:t>42.50</w:t>
            </w:r>
            <w:r>
              <w:rPr>
                <w:rFonts w:cs="Times New Roman"/>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83" w:hRule="atLeast"/>
        </w:trPr>
        <w:tc>
          <w:tcPr>
            <w:tcW w:w="2325" w:type="dxa"/>
            <w:vMerge w:val="continue"/>
            <w:tcBorders>
              <w:top w:val="single" w:color="auto" w:sz="4" w:space="0"/>
              <w:left w:val="single" w:color="auto" w:sz="4" w:space="0"/>
              <w:bottom w:val="single" w:color="auto" w:sz="4" w:space="0"/>
              <w:right w:val="single" w:color="auto" w:sz="4" w:space="0"/>
            </w:tcBorders>
            <w:vAlign w:val="center"/>
          </w:tcPr>
          <w:p>
            <w:pPr>
              <w:spacing w:before="120" w:after="120"/>
              <w:jc w:val="left"/>
              <w:rPr>
                <w:rFonts w:cs="Times New Roman"/>
                <w:sz w:val="21"/>
                <w:szCs w:val="21"/>
                <w:lang w:val="en-MY"/>
              </w:rPr>
            </w:pPr>
          </w:p>
        </w:tc>
        <w:tc>
          <w:tcPr>
            <w:tcW w:w="2638" w:type="dxa"/>
            <w:tcBorders>
              <w:top w:val="single" w:color="auto" w:sz="4" w:space="0"/>
              <w:left w:val="single" w:color="auto" w:sz="4" w:space="0"/>
              <w:bottom w:val="single" w:color="auto" w:sz="4" w:space="0"/>
              <w:right w:val="single" w:color="auto" w:sz="4" w:space="0"/>
            </w:tcBorders>
            <w:shd w:val="clear" w:color="auto" w:fill="E0E0E0"/>
          </w:tcPr>
          <w:p>
            <w:pPr>
              <w:autoSpaceDE w:val="0"/>
              <w:autoSpaceDN w:val="0"/>
              <w:adjustRightInd w:val="0"/>
              <w:spacing w:before="120" w:after="120"/>
              <w:ind w:left="60" w:right="60"/>
              <w:rPr>
                <w:rFonts w:cs="Times New Roman"/>
                <w:sz w:val="21"/>
                <w:szCs w:val="21"/>
              </w:rPr>
            </w:pPr>
            <w:r>
              <w:rPr>
                <w:rFonts w:cs="Times New Roman"/>
                <w:sz w:val="21"/>
                <w:szCs w:val="21"/>
              </w:rPr>
              <w:t>Female</w:t>
            </w:r>
          </w:p>
        </w:tc>
        <w:tc>
          <w:tcPr>
            <w:tcW w:w="171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eastAsia="宋体" w:cs="Times New Roman"/>
                <w:sz w:val="21"/>
                <w:szCs w:val="21"/>
              </w:rPr>
            </w:pPr>
            <w:r>
              <w:rPr>
                <w:rFonts w:eastAsia="宋体" w:cs="Times New Roman"/>
                <w:sz w:val="21"/>
                <w:szCs w:val="21"/>
              </w:rPr>
              <w:t>161</w:t>
            </w:r>
          </w:p>
        </w:tc>
        <w:tc>
          <w:tcPr>
            <w:tcW w:w="1583"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cs="Times New Roman"/>
                <w:sz w:val="21"/>
                <w:szCs w:val="21"/>
              </w:rPr>
            </w:pPr>
            <w:r>
              <w:rPr>
                <w:rFonts w:eastAsia="宋体" w:cs="Times New Roman"/>
                <w:sz w:val="21"/>
                <w:szCs w:val="21"/>
              </w:rPr>
              <w:t>57.50</w:t>
            </w:r>
            <w:r>
              <w:rPr>
                <w:rFonts w:cs="Times New Roman"/>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83" w:hRule="atLeast"/>
        </w:trPr>
        <w:tc>
          <w:tcPr>
            <w:tcW w:w="2325" w:type="dxa"/>
            <w:vMerge w:val="restart"/>
            <w:tcBorders>
              <w:top w:val="single" w:color="auto" w:sz="4" w:space="0"/>
              <w:left w:val="single" w:color="auto" w:sz="4" w:space="0"/>
              <w:right w:val="single" w:color="auto" w:sz="4" w:space="0"/>
            </w:tcBorders>
            <w:shd w:val="clear" w:color="auto" w:fill="E0E0E0"/>
          </w:tcPr>
          <w:p>
            <w:pPr>
              <w:autoSpaceDE w:val="0"/>
              <w:autoSpaceDN w:val="0"/>
              <w:adjustRightInd w:val="0"/>
              <w:spacing w:before="120" w:after="120"/>
              <w:ind w:left="60" w:right="60"/>
              <w:jc w:val="left"/>
              <w:rPr>
                <w:rFonts w:cs="Times New Roman"/>
                <w:sz w:val="21"/>
                <w:szCs w:val="21"/>
              </w:rPr>
            </w:pPr>
            <w:r>
              <w:rPr>
                <w:rFonts w:cs="Times New Roman"/>
                <w:sz w:val="21"/>
                <w:szCs w:val="21"/>
              </w:rPr>
              <w:t>Age</w:t>
            </w:r>
          </w:p>
        </w:tc>
        <w:tc>
          <w:tcPr>
            <w:tcW w:w="2638" w:type="dxa"/>
            <w:tcBorders>
              <w:top w:val="single" w:color="auto" w:sz="4" w:space="0"/>
              <w:left w:val="single" w:color="auto" w:sz="4" w:space="0"/>
              <w:bottom w:val="single" w:color="auto" w:sz="4" w:space="0"/>
              <w:right w:val="single" w:color="auto" w:sz="4" w:space="0"/>
            </w:tcBorders>
            <w:shd w:val="clear" w:color="auto" w:fill="E0E0E0"/>
          </w:tcPr>
          <w:p>
            <w:pPr>
              <w:autoSpaceDE w:val="0"/>
              <w:autoSpaceDN w:val="0"/>
              <w:adjustRightInd w:val="0"/>
              <w:spacing w:before="120" w:after="120"/>
              <w:ind w:left="60" w:right="60"/>
              <w:rPr>
                <w:rFonts w:eastAsia="宋体" w:cs="Times New Roman"/>
                <w:sz w:val="21"/>
                <w:szCs w:val="21"/>
              </w:rPr>
            </w:pPr>
            <w:r>
              <w:rPr>
                <w:rFonts w:cs="Times New Roman"/>
                <w:sz w:val="21"/>
                <w:szCs w:val="21"/>
              </w:rPr>
              <w:t xml:space="preserve">20 - </w:t>
            </w:r>
            <w:r>
              <w:rPr>
                <w:rFonts w:eastAsia="宋体" w:cs="Times New Roman"/>
                <w:sz w:val="21"/>
                <w:szCs w:val="21"/>
              </w:rPr>
              <w:t>30</w:t>
            </w:r>
          </w:p>
        </w:tc>
        <w:tc>
          <w:tcPr>
            <w:tcW w:w="171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eastAsia="宋体" w:cs="Times New Roman"/>
                <w:sz w:val="21"/>
                <w:szCs w:val="21"/>
              </w:rPr>
            </w:pPr>
            <w:r>
              <w:rPr>
                <w:rFonts w:eastAsia="宋体" w:cs="Times New Roman"/>
                <w:sz w:val="21"/>
                <w:szCs w:val="21"/>
              </w:rPr>
              <w:t>196</w:t>
            </w:r>
          </w:p>
        </w:tc>
        <w:tc>
          <w:tcPr>
            <w:tcW w:w="1583"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cs="Times New Roman"/>
                <w:sz w:val="21"/>
                <w:szCs w:val="21"/>
              </w:rPr>
            </w:pPr>
            <w:r>
              <w:rPr>
                <w:rFonts w:eastAsia="宋体" w:cs="Times New Roman"/>
                <w:sz w:val="21"/>
                <w:szCs w:val="21"/>
              </w:rPr>
              <w:t>70</w:t>
            </w:r>
            <w:r>
              <w:rPr>
                <w:rFonts w:cs="Times New Roman"/>
                <w:sz w:val="21"/>
                <w:szCs w:val="21"/>
              </w:rPr>
              <w:t>.00%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97" w:hRule="atLeast"/>
        </w:trPr>
        <w:tc>
          <w:tcPr>
            <w:tcW w:w="2325" w:type="dxa"/>
            <w:vMerge w:val="continue"/>
            <w:tcBorders>
              <w:left w:val="single" w:color="auto" w:sz="4" w:space="0"/>
              <w:right w:val="single" w:color="auto" w:sz="4" w:space="0"/>
            </w:tcBorders>
            <w:vAlign w:val="center"/>
          </w:tcPr>
          <w:p>
            <w:pPr>
              <w:spacing w:before="120" w:after="120"/>
              <w:jc w:val="left"/>
              <w:rPr>
                <w:rFonts w:cs="Times New Roman"/>
                <w:sz w:val="21"/>
                <w:szCs w:val="21"/>
                <w:lang w:val="en-MY"/>
              </w:rPr>
            </w:pPr>
          </w:p>
        </w:tc>
        <w:tc>
          <w:tcPr>
            <w:tcW w:w="2638" w:type="dxa"/>
            <w:tcBorders>
              <w:top w:val="single" w:color="auto" w:sz="4" w:space="0"/>
              <w:left w:val="single" w:color="auto" w:sz="4" w:space="0"/>
              <w:bottom w:val="single" w:color="auto" w:sz="4" w:space="0"/>
              <w:right w:val="single" w:color="auto" w:sz="4" w:space="0"/>
            </w:tcBorders>
            <w:shd w:val="clear" w:color="auto" w:fill="E0E0E0"/>
          </w:tcPr>
          <w:p>
            <w:pPr>
              <w:numPr>
                <w:ilvl w:val="0"/>
                <w:numId w:val="4"/>
              </w:numPr>
              <w:autoSpaceDE w:val="0"/>
              <w:autoSpaceDN w:val="0"/>
              <w:adjustRightInd w:val="0"/>
              <w:spacing w:before="120" w:after="120"/>
              <w:ind w:left="60" w:right="60"/>
              <w:rPr>
                <w:rFonts w:eastAsia="宋体" w:cs="Times New Roman"/>
                <w:sz w:val="21"/>
                <w:szCs w:val="21"/>
              </w:rPr>
            </w:pPr>
            <w:r>
              <w:rPr>
                <w:rFonts w:eastAsia="宋体" w:cs="Times New Roman"/>
                <w:sz w:val="21"/>
                <w:szCs w:val="21"/>
              </w:rPr>
              <w:t>40</w:t>
            </w:r>
          </w:p>
        </w:tc>
        <w:tc>
          <w:tcPr>
            <w:tcW w:w="171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eastAsia="宋体" w:cs="Times New Roman"/>
                <w:sz w:val="21"/>
                <w:szCs w:val="21"/>
              </w:rPr>
            </w:pPr>
            <w:r>
              <w:rPr>
                <w:rFonts w:eastAsia="宋体" w:cs="Times New Roman"/>
                <w:sz w:val="21"/>
                <w:szCs w:val="21"/>
              </w:rPr>
              <w:t>56</w:t>
            </w:r>
          </w:p>
        </w:tc>
        <w:tc>
          <w:tcPr>
            <w:tcW w:w="1583"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cs="Times New Roman"/>
                <w:sz w:val="21"/>
                <w:szCs w:val="21"/>
              </w:rPr>
            </w:pPr>
            <w:r>
              <w:rPr>
                <w:rFonts w:eastAsia="宋体" w:cs="Times New Roman"/>
                <w:sz w:val="21"/>
                <w:szCs w:val="21"/>
              </w:rPr>
              <w:t>20.00</w:t>
            </w:r>
            <w:r>
              <w:rPr>
                <w:rFonts w:cs="Times New Roman"/>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97" w:hRule="atLeast"/>
        </w:trPr>
        <w:tc>
          <w:tcPr>
            <w:tcW w:w="2325" w:type="dxa"/>
            <w:vMerge w:val="continue"/>
            <w:tcBorders>
              <w:left w:val="single" w:color="auto" w:sz="4" w:space="0"/>
              <w:right w:val="single" w:color="auto" w:sz="4" w:space="0"/>
            </w:tcBorders>
            <w:vAlign w:val="center"/>
          </w:tcPr>
          <w:p>
            <w:pPr>
              <w:spacing w:before="120" w:after="120"/>
              <w:jc w:val="left"/>
              <w:rPr>
                <w:rFonts w:cs="Times New Roman"/>
                <w:sz w:val="21"/>
                <w:szCs w:val="21"/>
                <w:lang w:val="en-MY"/>
              </w:rPr>
            </w:pPr>
          </w:p>
        </w:tc>
        <w:tc>
          <w:tcPr>
            <w:tcW w:w="2638" w:type="dxa"/>
            <w:tcBorders>
              <w:top w:val="single" w:color="auto" w:sz="4" w:space="0"/>
              <w:left w:val="single" w:color="auto" w:sz="4" w:space="0"/>
              <w:bottom w:val="single" w:color="auto" w:sz="4" w:space="0"/>
              <w:right w:val="single" w:color="auto" w:sz="4" w:space="0"/>
            </w:tcBorders>
            <w:shd w:val="clear" w:color="auto" w:fill="E0E0E0"/>
          </w:tcPr>
          <w:p>
            <w:pPr>
              <w:autoSpaceDE w:val="0"/>
              <w:autoSpaceDN w:val="0"/>
              <w:adjustRightInd w:val="0"/>
              <w:spacing w:before="120" w:after="120"/>
              <w:ind w:left="60" w:right="60"/>
              <w:rPr>
                <w:rFonts w:eastAsia="宋体" w:cs="Times New Roman"/>
                <w:sz w:val="21"/>
                <w:szCs w:val="21"/>
              </w:rPr>
            </w:pPr>
            <w:r>
              <w:rPr>
                <w:rFonts w:eastAsia="宋体" w:cs="Times New Roman"/>
                <w:sz w:val="21"/>
                <w:szCs w:val="21"/>
              </w:rPr>
              <w:t>40</w:t>
            </w:r>
            <w:r>
              <w:rPr>
                <w:rFonts w:cs="Times New Roman"/>
                <w:sz w:val="21"/>
                <w:szCs w:val="21"/>
              </w:rPr>
              <w:t xml:space="preserve"> - </w:t>
            </w:r>
            <w:r>
              <w:rPr>
                <w:rFonts w:eastAsia="宋体" w:cs="Times New Roman"/>
                <w:sz w:val="21"/>
                <w:szCs w:val="21"/>
              </w:rPr>
              <w:t>50</w:t>
            </w:r>
          </w:p>
        </w:tc>
        <w:tc>
          <w:tcPr>
            <w:tcW w:w="171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eastAsia="宋体" w:cs="Times New Roman"/>
                <w:sz w:val="21"/>
                <w:szCs w:val="21"/>
              </w:rPr>
            </w:pPr>
            <w:r>
              <w:rPr>
                <w:rFonts w:eastAsia="宋体" w:cs="Times New Roman"/>
                <w:sz w:val="21"/>
                <w:szCs w:val="21"/>
              </w:rPr>
              <w:t>14</w:t>
            </w:r>
          </w:p>
        </w:tc>
        <w:tc>
          <w:tcPr>
            <w:tcW w:w="1583"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cs="Times New Roman"/>
                <w:sz w:val="21"/>
                <w:szCs w:val="21"/>
              </w:rPr>
            </w:pPr>
            <w:r>
              <w:rPr>
                <w:rFonts w:eastAsia="宋体" w:cs="Times New Roman"/>
                <w:sz w:val="21"/>
                <w:szCs w:val="21"/>
              </w:rPr>
              <w:t>5.0</w:t>
            </w:r>
            <w:r>
              <w:rPr>
                <w:rFonts w:cs="Times New Roman"/>
                <w:sz w:val="21"/>
                <w:szCs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97" w:hRule="atLeast"/>
        </w:trPr>
        <w:tc>
          <w:tcPr>
            <w:tcW w:w="2325" w:type="dxa"/>
            <w:vMerge w:val="continue"/>
            <w:tcBorders>
              <w:left w:val="single" w:color="auto" w:sz="4" w:space="0"/>
              <w:bottom w:val="single" w:color="auto" w:sz="4" w:space="0"/>
              <w:right w:val="single" w:color="auto" w:sz="4" w:space="0"/>
            </w:tcBorders>
            <w:vAlign w:val="center"/>
          </w:tcPr>
          <w:p>
            <w:pPr>
              <w:spacing w:before="120" w:after="120"/>
              <w:jc w:val="left"/>
              <w:rPr>
                <w:rFonts w:cs="Times New Roman"/>
                <w:sz w:val="21"/>
                <w:szCs w:val="21"/>
                <w:lang w:val="en-MY"/>
              </w:rPr>
            </w:pPr>
          </w:p>
        </w:tc>
        <w:tc>
          <w:tcPr>
            <w:tcW w:w="2638" w:type="dxa"/>
            <w:tcBorders>
              <w:top w:val="single" w:color="auto" w:sz="4" w:space="0"/>
              <w:left w:val="single" w:color="auto" w:sz="4" w:space="0"/>
              <w:bottom w:val="single" w:color="auto" w:sz="4" w:space="0"/>
              <w:right w:val="single" w:color="auto" w:sz="4" w:space="0"/>
            </w:tcBorders>
            <w:shd w:val="clear" w:color="auto" w:fill="E0E0E0"/>
          </w:tcPr>
          <w:p>
            <w:pPr>
              <w:autoSpaceDE w:val="0"/>
              <w:autoSpaceDN w:val="0"/>
              <w:adjustRightInd w:val="0"/>
              <w:spacing w:before="120" w:after="120"/>
              <w:ind w:left="60" w:right="60"/>
              <w:rPr>
                <w:rFonts w:eastAsia="宋体" w:cs="Times New Roman"/>
                <w:sz w:val="21"/>
                <w:szCs w:val="21"/>
              </w:rPr>
            </w:pPr>
            <w:r>
              <w:rPr>
                <w:rFonts w:eastAsia="宋体" w:cs="Times New Roman"/>
                <w:sz w:val="21"/>
                <w:szCs w:val="21"/>
              </w:rPr>
              <w:t>Above 50</w:t>
            </w:r>
          </w:p>
        </w:tc>
        <w:tc>
          <w:tcPr>
            <w:tcW w:w="171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eastAsia="宋体" w:cs="Times New Roman"/>
                <w:sz w:val="21"/>
                <w:szCs w:val="21"/>
              </w:rPr>
            </w:pPr>
            <w:r>
              <w:rPr>
                <w:rFonts w:eastAsia="宋体" w:cs="Times New Roman"/>
                <w:sz w:val="21"/>
                <w:szCs w:val="21"/>
              </w:rPr>
              <w:t>14</w:t>
            </w:r>
          </w:p>
        </w:tc>
        <w:tc>
          <w:tcPr>
            <w:tcW w:w="1583"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cs="Times New Roman"/>
                <w:sz w:val="21"/>
                <w:szCs w:val="21"/>
              </w:rPr>
            </w:pPr>
            <w:r>
              <w:rPr>
                <w:rFonts w:eastAsia="宋体" w:cs="Times New Roman"/>
                <w:sz w:val="21"/>
                <w:szCs w:val="21"/>
              </w:rPr>
              <w:t>5.0</w:t>
            </w:r>
            <w:r>
              <w:rPr>
                <w:rFonts w:cs="Times New Roman"/>
                <w:sz w:val="21"/>
                <w:szCs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83" w:hRule="atLeast"/>
        </w:trPr>
        <w:tc>
          <w:tcPr>
            <w:tcW w:w="2325" w:type="dxa"/>
            <w:vMerge w:val="restart"/>
            <w:tcBorders>
              <w:top w:val="single" w:color="auto" w:sz="4" w:space="0"/>
              <w:left w:val="single" w:color="auto" w:sz="4" w:space="0"/>
              <w:right w:val="single" w:color="auto" w:sz="4" w:space="0"/>
            </w:tcBorders>
            <w:shd w:val="clear" w:color="auto" w:fill="E0E0E0"/>
          </w:tcPr>
          <w:p>
            <w:pPr>
              <w:autoSpaceDE w:val="0"/>
              <w:autoSpaceDN w:val="0"/>
              <w:adjustRightInd w:val="0"/>
              <w:spacing w:before="120" w:after="120"/>
              <w:ind w:left="60" w:right="60"/>
              <w:jc w:val="left"/>
              <w:rPr>
                <w:rFonts w:eastAsia="宋体" w:cs="Times New Roman"/>
                <w:sz w:val="21"/>
                <w:szCs w:val="21"/>
              </w:rPr>
            </w:pPr>
            <w:r>
              <w:rPr>
                <w:rFonts w:eastAsia="宋体" w:cs="Times New Roman"/>
                <w:sz w:val="21"/>
                <w:szCs w:val="21"/>
              </w:rPr>
              <w:t>Working Years</w:t>
            </w:r>
          </w:p>
        </w:tc>
        <w:tc>
          <w:tcPr>
            <w:tcW w:w="2638" w:type="dxa"/>
            <w:tcBorders>
              <w:top w:val="single" w:color="auto" w:sz="4" w:space="0"/>
              <w:left w:val="single" w:color="auto" w:sz="4" w:space="0"/>
              <w:bottom w:val="single" w:color="auto" w:sz="4" w:space="0"/>
              <w:right w:val="single" w:color="auto" w:sz="4" w:space="0"/>
            </w:tcBorders>
            <w:shd w:val="clear" w:color="auto" w:fill="E0E0E0"/>
          </w:tcPr>
          <w:p>
            <w:pPr>
              <w:autoSpaceDE w:val="0"/>
              <w:autoSpaceDN w:val="0"/>
              <w:adjustRightInd w:val="0"/>
              <w:spacing w:before="120" w:after="120"/>
              <w:ind w:left="60" w:right="60"/>
              <w:rPr>
                <w:rFonts w:eastAsia="宋体" w:cs="Times New Roman"/>
                <w:sz w:val="21"/>
                <w:szCs w:val="21"/>
              </w:rPr>
            </w:pPr>
            <w:r>
              <w:rPr>
                <w:rFonts w:eastAsia="宋体" w:cs="Times New Roman"/>
                <w:sz w:val="21"/>
                <w:szCs w:val="21"/>
              </w:rPr>
              <w:t>1 year and below</w:t>
            </w:r>
          </w:p>
        </w:tc>
        <w:tc>
          <w:tcPr>
            <w:tcW w:w="171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eastAsia="宋体" w:cs="Times New Roman"/>
                <w:sz w:val="21"/>
                <w:szCs w:val="21"/>
              </w:rPr>
            </w:pPr>
            <w:r>
              <w:rPr>
                <w:rFonts w:eastAsia="宋体" w:cs="Times New Roman"/>
                <w:sz w:val="21"/>
                <w:szCs w:val="21"/>
              </w:rPr>
              <w:t>49</w:t>
            </w:r>
          </w:p>
        </w:tc>
        <w:tc>
          <w:tcPr>
            <w:tcW w:w="1583"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cs="Times New Roman"/>
                <w:sz w:val="21"/>
                <w:szCs w:val="21"/>
              </w:rPr>
            </w:pPr>
            <w:r>
              <w:rPr>
                <w:rFonts w:eastAsia="宋体" w:cs="Times New Roman"/>
                <w:sz w:val="21"/>
                <w:szCs w:val="21"/>
              </w:rPr>
              <w:t>17</w:t>
            </w:r>
            <w:r>
              <w:rPr>
                <w:rFonts w:cs="Times New Roman"/>
                <w:sz w:val="21"/>
                <w:szCs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97" w:hRule="atLeast"/>
        </w:trPr>
        <w:tc>
          <w:tcPr>
            <w:tcW w:w="2325" w:type="dxa"/>
            <w:vMerge w:val="continue"/>
            <w:tcBorders>
              <w:left w:val="single" w:color="auto" w:sz="4" w:space="0"/>
              <w:right w:val="single" w:color="auto" w:sz="4" w:space="0"/>
            </w:tcBorders>
            <w:vAlign w:val="center"/>
          </w:tcPr>
          <w:p>
            <w:pPr>
              <w:spacing w:before="120" w:after="120"/>
              <w:rPr>
                <w:rFonts w:cs="Times New Roman"/>
                <w:sz w:val="21"/>
                <w:szCs w:val="21"/>
                <w:lang w:val="en-MY"/>
              </w:rPr>
            </w:pPr>
          </w:p>
        </w:tc>
        <w:tc>
          <w:tcPr>
            <w:tcW w:w="2638" w:type="dxa"/>
            <w:tcBorders>
              <w:top w:val="single" w:color="auto" w:sz="4" w:space="0"/>
              <w:left w:val="single" w:color="auto" w:sz="4" w:space="0"/>
              <w:bottom w:val="single" w:color="auto" w:sz="4" w:space="0"/>
              <w:right w:val="single" w:color="auto" w:sz="4" w:space="0"/>
            </w:tcBorders>
            <w:shd w:val="clear" w:color="auto" w:fill="E0E0E0"/>
          </w:tcPr>
          <w:p>
            <w:pPr>
              <w:autoSpaceDE w:val="0"/>
              <w:autoSpaceDN w:val="0"/>
              <w:adjustRightInd w:val="0"/>
              <w:spacing w:before="120" w:after="120"/>
              <w:ind w:left="60" w:right="60"/>
              <w:rPr>
                <w:rFonts w:eastAsia="宋体" w:cs="Times New Roman"/>
                <w:sz w:val="21"/>
                <w:szCs w:val="21"/>
              </w:rPr>
            </w:pPr>
            <w:r>
              <w:rPr>
                <w:rFonts w:eastAsia="宋体" w:cs="Times New Roman"/>
                <w:sz w:val="21"/>
                <w:szCs w:val="21"/>
              </w:rPr>
              <w:t>1-3 years</w:t>
            </w:r>
          </w:p>
        </w:tc>
        <w:tc>
          <w:tcPr>
            <w:tcW w:w="171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eastAsia="宋体" w:cs="Times New Roman"/>
                <w:sz w:val="21"/>
                <w:szCs w:val="21"/>
              </w:rPr>
            </w:pPr>
            <w:r>
              <w:rPr>
                <w:rFonts w:eastAsia="宋体" w:cs="Times New Roman"/>
                <w:sz w:val="21"/>
                <w:szCs w:val="21"/>
              </w:rPr>
              <w:t>77</w:t>
            </w:r>
          </w:p>
        </w:tc>
        <w:tc>
          <w:tcPr>
            <w:tcW w:w="1583"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eastAsia="宋体" w:cs="Times New Roman"/>
                <w:sz w:val="21"/>
                <w:szCs w:val="21"/>
              </w:rPr>
            </w:pPr>
            <w:r>
              <w:rPr>
                <w:rFonts w:eastAsia="宋体" w:cs="Times New Roman"/>
                <w:sz w:val="21"/>
                <w:szCs w:val="21"/>
              </w:rPr>
              <w:t>27.50%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97" w:hRule="atLeast"/>
        </w:trPr>
        <w:tc>
          <w:tcPr>
            <w:tcW w:w="2325" w:type="dxa"/>
            <w:vMerge w:val="continue"/>
            <w:tcBorders>
              <w:left w:val="single" w:color="auto" w:sz="4" w:space="0"/>
              <w:right w:val="single" w:color="auto" w:sz="4" w:space="0"/>
            </w:tcBorders>
            <w:vAlign w:val="center"/>
          </w:tcPr>
          <w:p>
            <w:pPr>
              <w:spacing w:before="120" w:after="120"/>
              <w:rPr>
                <w:rFonts w:cs="Times New Roman"/>
                <w:sz w:val="21"/>
                <w:szCs w:val="21"/>
                <w:lang w:val="en-MY"/>
              </w:rPr>
            </w:pPr>
          </w:p>
        </w:tc>
        <w:tc>
          <w:tcPr>
            <w:tcW w:w="2638" w:type="dxa"/>
            <w:tcBorders>
              <w:top w:val="single" w:color="auto" w:sz="4" w:space="0"/>
              <w:left w:val="single" w:color="auto" w:sz="4" w:space="0"/>
              <w:bottom w:val="single" w:color="auto" w:sz="4" w:space="0"/>
              <w:right w:val="single" w:color="auto" w:sz="4" w:space="0"/>
            </w:tcBorders>
            <w:shd w:val="clear" w:color="auto" w:fill="E0E0E0"/>
          </w:tcPr>
          <w:p>
            <w:pPr>
              <w:autoSpaceDE w:val="0"/>
              <w:autoSpaceDN w:val="0"/>
              <w:adjustRightInd w:val="0"/>
              <w:spacing w:before="120" w:after="120"/>
              <w:ind w:left="60" w:right="60"/>
              <w:rPr>
                <w:rFonts w:eastAsia="宋体" w:cs="Times New Roman"/>
                <w:sz w:val="21"/>
                <w:szCs w:val="21"/>
              </w:rPr>
            </w:pPr>
            <w:r>
              <w:rPr>
                <w:rFonts w:eastAsia="宋体" w:cs="Times New Roman"/>
                <w:sz w:val="21"/>
                <w:szCs w:val="21"/>
              </w:rPr>
              <w:t>3-5 years</w:t>
            </w:r>
          </w:p>
        </w:tc>
        <w:tc>
          <w:tcPr>
            <w:tcW w:w="171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eastAsia="宋体" w:cs="Times New Roman"/>
                <w:sz w:val="21"/>
                <w:szCs w:val="21"/>
              </w:rPr>
            </w:pPr>
            <w:r>
              <w:rPr>
                <w:rFonts w:eastAsia="宋体" w:cs="Times New Roman"/>
                <w:sz w:val="21"/>
                <w:szCs w:val="21"/>
              </w:rPr>
              <w:t>70</w:t>
            </w:r>
          </w:p>
        </w:tc>
        <w:tc>
          <w:tcPr>
            <w:tcW w:w="1583"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cs="Times New Roman"/>
                <w:sz w:val="21"/>
                <w:szCs w:val="21"/>
              </w:rPr>
            </w:pPr>
            <w:r>
              <w:rPr>
                <w:rFonts w:eastAsia="宋体" w:cs="Times New Roman"/>
                <w:sz w:val="21"/>
                <w:szCs w:val="21"/>
              </w:rPr>
              <w:t>25</w:t>
            </w:r>
            <w:r>
              <w:rPr>
                <w:rFonts w:cs="Times New Roman"/>
                <w:sz w:val="21"/>
                <w:szCs w:val="21"/>
              </w:rPr>
              <w:t>.00%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97" w:hRule="atLeast"/>
        </w:trPr>
        <w:tc>
          <w:tcPr>
            <w:tcW w:w="2325" w:type="dxa"/>
            <w:vMerge w:val="continue"/>
            <w:tcBorders>
              <w:left w:val="single" w:color="auto" w:sz="4" w:space="0"/>
              <w:right w:val="single" w:color="auto" w:sz="4" w:space="0"/>
            </w:tcBorders>
            <w:vAlign w:val="center"/>
          </w:tcPr>
          <w:p>
            <w:pPr>
              <w:spacing w:before="120" w:after="120"/>
              <w:rPr>
                <w:rFonts w:cs="Times New Roman"/>
                <w:sz w:val="21"/>
                <w:szCs w:val="21"/>
                <w:lang w:val="en-MY"/>
              </w:rPr>
            </w:pPr>
          </w:p>
        </w:tc>
        <w:tc>
          <w:tcPr>
            <w:tcW w:w="2638" w:type="dxa"/>
            <w:tcBorders>
              <w:top w:val="single" w:color="auto" w:sz="4" w:space="0"/>
              <w:left w:val="single" w:color="auto" w:sz="4" w:space="0"/>
              <w:bottom w:val="single" w:color="auto" w:sz="4" w:space="0"/>
              <w:right w:val="single" w:color="auto" w:sz="4" w:space="0"/>
            </w:tcBorders>
            <w:shd w:val="clear" w:color="auto" w:fill="E0E0E0"/>
          </w:tcPr>
          <w:p>
            <w:pPr>
              <w:autoSpaceDE w:val="0"/>
              <w:autoSpaceDN w:val="0"/>
              <w:adjustRightInd w:val="0"/>
              <w:spacing w:before="120" w:after="120"/>
              <w:ind w:left="60" w:right="60"/>
              <w:rPr>
                <w:rFonts w:eastAsia="宋体" w:cs="Times New Roman"/>
                <w:sz w:val="21"/>
                <w:szCs w:val="21"/>
              </w:rPr>
            </w:pPr>
            <w:r>
              <w:rPr>
                <w:rFonts w:eastAsia="宋体" w:cs="Times New Roman"/>
                <w:sz w:val="21"/>
                <w:szCs w:val="21"/>
              </w:rPr>
              <w:t>5-10 years</w:t>
            </w:r>
          </w:p>
        </w:tc>
        <w:tc>
          <w:tcPr>
            <w:tcW w:w="171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eastAsia="宋体" w:cs="Times New Roman"/>
                <w:sz w:val="21"/>
                <w:szCs w:val="21"/>
              </w:rPr>
            </w:pPr>
            <w:r>
              <w:rPr>
                <w:rFonts w:eastAsia="宋体" w:cs="Times New Roman"/>
                <w:sz w:val="21"/>
                <w:szCs w:val="21"/>
              </w:rPr>
              <w:t>42</w:t>
            </w:r>
          </w:p>
        </w:tc>
        <w:tc>
          <w:tcPr>
            <w:tcW w:w="1583"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cs="Times New Roman"/>
                <w:sz w:val="21"/>
                <w:szCs w:val="21"/>
              </w:rPr>
            </w:pPr>
            <w:r>
              <w:rPr>
                <w:rFonts w:eastAsia="宋体" w:cs="Times New Roman"/>
                <w:sz w:val="21"/>
                <w:szCs w:val="21"/>
              </w:rPr>
              <w:t>15</w:t>
            </w:r>
            <w:r>
              <w:rPr>
                <w:rFonts w:cs="Times New Roman"/>
                <w:sz w:val="21"/>
                <w:szCs w:val="21"/>
              </w:rPr>
              <w:t>.00%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612" w:hRule="atLeast"/>
        </w:trPr>
        <w:tc>
          <w:tcPr>
            <w:tcW w:w="2325" w:type="dxa"/>
            <w:vMerge w:val="continue"/>
            <w:tcBorders>
              <w:left w:val="single" w:color="auto" w:sz="4" w:space="0"/>
              <w:bottom w:val="single" w:color="auto" w:sz="4" w:space="0"/>
              <w:right w:val="single" w:color="auto" w:sz="4" w:space="0"/>
            </w:tcBorders>
            <w:vAlign w:val="center"/>
          </w:tcPr>
          <w:p>
            <w:pPr>
              <w:spacing w:before="120" w:after="120"/>
              <w:rPr>
                <w:rFonts w:cs="Times New Roman"/>
                <w:sz w:val="21"/>
                <w:szCs w:val="21"/>
                <w:lang w:val="en-MY"/>
              </w:rPr>
            </w:pPr>
          </w:p>
        </w:tc>
        <w:tc>
          <w:tcPr>
            <w:tcW w:w="2638" w:type="dxa"/>
            <w:tcBorders>
              <w:top w:val="single" w:color="auto" w:sz="4" w:space="0"/>
              <w:left w:val="single" w:color="auto" w:sz="4" w:space="0"/>
              <w:bottom w:val="single" w:color="auto" w:sz="4" w:space="0"/>
              <w:right w:val="single" w:color="auto" w:sz="4" w:space="0"/>
            </w:tcBorders>
            <w:shd w:val="clear" w:color="auto" w:fill="E0E0E0"/>
          </w:tcPr>
          <w:p>
            <w:pPr>
              <w:autoSpaceDE w:val="0"/>
              <w:autoSpaceDN w:val="0"/>
              <w:adjustRightInd w:val="0"/>
              <w:spacing w:before="120" w:after="120"/>
              <w:ind w:left="60" w:right="60"/>
              <w:rPr>
                <w:rFonts w:eastAsia="宋体" w:cs="Times New Roman"/>
                <w:sz w:val="21"/>
                <w:szCs w:val="21"/>
              </w:rPr>
            </w:pPr>
            <w:r>
              <w:rPr>
                <w:rFonts w:eastAsia="宋体" w:cs="Times New Roman"/>
                <w:sz w:val="21"/>
                <w:szCs w:val="21"/>
              </w:rPr>
              <w:t>Above 10 years</w:t>
            </w:r>
          </w:p>
        </w:tc>
        <w:tc>
          <w:tcPr>
            <w:tcW w:w="1714"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eastAsia="宋体" w:cs="Times New Roman"/>
                <w:sz w:val="21"/>
                <w:szCs w:val="21"/>
              </w:rPr>
            </w:pPr>
            <w:r>
              <w:rPr>
                <w:rFonts w:eastAsia="宋体" w:cs="Times New Roman"/>
                <w:sz w:val="21"/>
                <w:szCs w:val="21"/>
              </w:rPr>
              <w:t>42</w:t>
            </w:r>
          </w:p>
        </w:tc>
        <w:tc>
          <w:tcPr>
            <w:tcW w:w="1583" w:type="dxa"/>
            <w:tcBorders>
              <w:top w:val="single" w:color="auto" w:sz="4" w:space="0"/>
              <w:left w:val="single" w:color="auto" w:sz="4" w:space="0"/>
              <w:bottom w:val="single" w:color="auto" w:sz="4" w:space="0"/>
              <w:right w:val="single" w:color="auto" w:sz="4" w:space="0"/>
            </w:tcBorders>
            <w:shd w:val="clear" w:color="auto" w:fill="FFFFFF"/>
          </w:tcPr>
          <w:p>
            <w:pPr>
              <w:autoSpaceDE w:val="0"/>
              <w:autoSpaceDN w:val="0"/>
              <w:adjustRightInd w:val="0"/>
              <w:spacing w:before="120" w:after="120"/>
              <w:ind w:left="60" w:right="60"/>
              <w:jc w:val="right"/>
              <w:rPr>
                <w:rFonts w:cs="Times New Roman"/>
                <w:sz w:val="21"/>
                <w:szCs w:val="21"/>
              </w:rPr>
            </w:pPr>
            <w:r>
              <w:rPr>
                <w:rFonts w:eastAsia="宋体" w:cs="Times New Roman"/>
                <w:sz w:val="21"/>
                <w:szCs w:val="21"/>
              </w:rPr>
              <w:t>15</w:t>
            </w:r>
            <w:r>
              <w:rPr>
                <w:rFonts w:cs="Times New Roman"/>
                <w:sz w:val="21"/>
                <w:szCs w:val="21"/>
              </w:rPr>
              <w:t>.00%</w:t>
            </w:r>
          </w:p>
        </w:tc>
      </w:tr>
    </w:tbl>
    <w:p>
      <w:pPr>
        <w:spacing w:before="120" w:after="120"/>
        <w:rPr>
          <w:rFonts w:cs="Times New Roman"/>
        </w:rPr>
      </w:pPr>
    </w:p>
    <w:p>
      <w:pPr>
        <w:spacing w:before="120" w:after="120"/>
        <w:rPr>
          <w:rFonts w:eastAsia="宋体" w:cs="Times New Roman"/>
          <w:color w:val="222222"/>
        </w:rPr>
      </w:pPr>
    </w:p>
    <w:p>
      <w:pPr>
        <w:spacing w:before="120" w:after="120"/>
        <w:rPr>
          <w:rFonts w:eastAsia="宋体" w:cs="Times New Roman"/>
          <w:color w:val="222222"/>
        </w:rPr>
      </w:pPr>
    </w:p>
    <w:p>
      <w:pPr>
        <w:spacing w:before="120" w:after="120"/>
        <w:rPr>
          <w:rFonts w:eastAsia="宋体" w:cs="Times New Roman"/>
          <w:color w:val="222222"/>
        </w:rPr>
      </w:pPr>
    </w:p>
    <w:p>
      <w:pPr>
        <w:spacing w:before="120" w:after="120"/>
        <w:rPr>
          <w:rFonts w:eastAsia="宋体" w:cs="Times New Roman"/>
          <w:color w:val="222222"/>
        </w:rPr>
      </w:pPr>
    </w:p>
    <w:p>
      <w:pPr>
        <w:spacing w:before="120" w:after="120"/>
        <w:rPr>
          <w:rFonts w:eastAsia="宋体" w:cs="Times New Roman"/>
          <w:color w:val="222222"/>
        </w:rPr>
      </w:pPr>
    </w:p>
    <w:p>
      <w:pPr>
        <w:spacing w:before="120" w:after="120"/>
        <w:rPr>
          <w:rFonts w:eastAsia="宋体" w:cs="Times New Roman"/>
          <w:color w:val="222222"/>
        </w:rPr>
      </w:pPr>
    </w:p>
    <w:p>
      <w:pPr>
        <w:spacing w:before="120" w:after="120"/>
        <w:rPr>
          <w:rFonts w:eastAsia="宋体" w:cs="Times New Roman"/>
          <w:color w:val="222222"/>
        </w:rPr>
      </w:pPr>
    </w:p>
    <w:p>
      <w:pPr>
        <w:spacing w:before="120" w:after="120"/>
        <w:rPr>
          <w:rFonts w:eastAsia="宋体" w:cs="Times New Roman"/>
          <w:color w:val="222222"/>
        </w:rPr>
      </w:pPr>
    </w:p>
    <w:p>
      <w:pPr>
        <w:spacing w:before="120" w:after="120"/>
        <w:rPr>
          <w:rFonts w:eastAsia="宋体" w:cs="Times New Roman"/>
          <w:color w:val="222222"/>
        </w:rPr>
      </w:pPr>
    </w:p>
    <w:p>
      <w:pPr>
        <w:spacing w:before="120" w:after="120"/>
        <w:rPr>
          <w:rFonts w:eastAsia="宋体" w:cs="Times New Roman"/>
          <w:color w:val="222222"/>
        </w:rPr>
      </w:pPr>
    </w:p>
    <w:p>
      <w:pPr>
        <w:spacing w:before="120" w:after="120"/>
        <w:rPr>
          <w:rFonts w:eastAsia="宋体" w:cs="Times New Roman"/>
          <w:color w:val="222222"/>
        </w:rPr>
      </w:pPr>
    </w:p>
    <w:p>
      <w:pPr>
        <w:spacing w:before="120" w:after="120"/>
        <w:rPr>
          <w:rFonts w:eastAsia="宋体" w:cs="Times New Roman"/>
          <w:color w:val="222222"/>
        </w:rPr>
      </w:pPr>
    </w:p>
    <w:p>
      <w:pPr>
        <w:spacing w:before="120" w:after="120"/>
        <w:rPr>
          <w:rFonts w:eastAsia="宋体" w:cs="Times New Roman"/>
          <w:color w:val="222222"/>
        </w:rPr>
      </w:pPr>
    </w:p>
    <w:p>
      <w:pPr>
        <w:spacing w:before="120" w:after="120"/>
        <w:rPr>
          <w:rFonts w:eastAsia="宋体" w:cs="Times New Roman"/>
          <w:color w:val="222222"/>
        </w:rPr>
      </w:pPr>
    </w:p>
    <w:p>
      <w:pPr>
        <w:spacing w:before="120" w:after="120"/>
        <w:rPr>
          <w:rFonts w:eastAsia="宋体" w:cs="Times New Roman"/>
          <w:color w:val="222222"/>
        </w:rPr>
      </w:pPr>
    </w:p>
    <w:p>
      <w:pPr>
        <w:spacing w:before="120" w:after="120"/>
        <w:rPr>
          <w:rFonts w:eastAsia="宋体" w:cs="Times New Roman"/>
          <w:color w:val="222222"/>
        </w:rPr>
      </w:pPr>
    </w:p>
    <w:p>
      <w:pPr>
        <w:spacing w:before="120" w:after="120"/>
        <w:rPr>
          <w:rFonts w:hint="eastAsia" w:eastAsia="宋体" w:cs="Times New Roman"/>
          <w:color w:val="222222"/>
        </w:rPr>
      </w:pPr>
      <w:r>
        <w:rPr>
          <w:rFonts w:hint="eastAsia" w:eastAsia="宋体" w:cs="Times New Roman"/>
          <w:color w:val="222222"/>
        </w:rPr>
        <w:t>T</w:t>
      </w:r>
      <w:r>
        <w:rPr>
          <w:rFonts w:eastAsia="Times New Roman" w:cs="Times New Roman"/>
          <w:color w:val="222222"/>
          <w:lang w:eastAsia="en-GB"/>
        </w:rPr>
        <w:t>he T</w:t>
      </w:r>
      <w:r>
        <w:rPr>
          <w:rFonts w:eastAsia="Times New Roman" w:cs="Times New Roman"/>
          <w:color w:val="000000" w:themeColor="text1"/>
          <w:lang w:eastAsia="en-GB"/>
          <w14:textFill>
            <w14:solidFill>
              <w14:schemeClr w14:val="tx1"/>
            </w14:solidFill>
          </w14:textFill>
        </w:rPr>
        <w:t xml:space="preserve">able </w:t>
      </w:r>
      <w:r>
        <w:rPr>
          <w:rFonts w:hint="eastAsia" w:eastAsia="宋体" w:cs="Times New Roman"/>
          <w:color w:val="000000" w:themeColor="text1"/>
          <w14:textFill>
            <w14:solidFill>
              <w14:schemeClr w14:val="tx1"/>
            </w14:solidFill>
          </w14:textFill>
        </w:rPr>
        <w:t>4.7</w:t>
      </w:r>
      <w:r>
        <w:rPr>
          <w:rFonts w:eastAsia="Times New Roman" w:cs="Times New Roman"/>
          <w:color w:val="000000" w:themeColor="text1"/>
          <w:lang w:eastAsia="en-GB"/>
          <w14:textFill>
            <w14:solidFill>
              <w14:schemeClr w14:val="tx1"/>
            </w14:solidFill>
          </w14:textFill>
        </w:rPr>
        <w:t xml:space="preserve"> above</w:t>
      </w:r>
      <w:r>
        <w:rPr>
          <w:rFonts w:hint="eastAsia" w:eastAsia="宋体" w:cs="Times New Roman"/>
          <w:color w:val="000000" w:themeColor="text1"/>
          <w14:textFill>
            <w14:solidFill>
              <w14:schemeClr w14:val="tx1"/>
            </w14:solidFill>
          </w14:textFill>
        </w:rPr>
        <w:t xml:space="preserve"> sh</w:t>
      </w:r>
      <w:r>
        <w:rPr>
          <w:rFonts w:eastAsia="宋体" w:cs="Times New Roman"/>
          <w:color w:val="000000" w:themeColor="text1"/>
          <w14:textFill>
            <w14:solidFill>
              <w14:schemeClr w14:val="tx1"/>
            </w14:solidFill>
          </w14:textFill>
        </w:rPr>
        <w:t xml:space="preserve">ows </w:t>
      </w:r>
      <w:r>
        <w:rPr>
          <w:rFonts w:hint="eastAsia" w:eastAsia="宋体" w:cs="Times New Roman"/>
          <w:color w:val="000000" w:themeColor="text1"/>
          <w14:textFill>
            <w14:solidFill>
              <w14:schemeClr w14:val="tx1"/>
            </w14:solidFill>
          </w14:textFill>
        </w:rPr>
        <w:t>t</w:t>
      </w:r>
      <w:r>
        <w:rPr>
          <w:rFonts w:eastAsia="宋体" w:cs="Times New Roman"/>
          <w:color w:val="000000" w:themeColor="text1"/>
          <w14:textFill>
            <w14:solidFill>
              <w14:schemeClr w14:val="tx1"/>
            </w14:solidFill>
          </w14:textFill>
        </w:rPr>
        <w:t>he distribution of male to female ratio, women in this survey significantly more than men.</w:t>
      </w:r>
      <w:r>
        <w:rPr>
          <w:rFonts w:hint="eastAsia" w:eastAsia="宋体" w:cs="Times New Roman"/>
          <w:color w:val="000000" w:themeColor="text1"/>
          <w14:textFill>
            <w14:solidFill>
              <w14:schemeClr w14:val="tx1"/>
            </w14:solidFill>
          </w14:textFill>
        </w:rPr>
        <w:t xml:space="preserve"> </w:t>
      </w:r>
      <w:r>
        <w:rPr>
          <w:rFonts w:eastAsia="Times New Roman" w:cs="Times New Roman"/>
          <w:color w:val="222222"/>
          <w:lang w:eastAsia="en-GB"/>
        </w:rPr>
        <w:t xml:space="preserve">Based on the usable questionnaires, almost </w:t>
      </w:r>
      <w:r>
        <w:rPr>
          <w:rFonts w:hint="eastAsia" w:eastAsia="宋体" w:cs="Times New Roman"/>
          <w:color w:val="222222"/>
        </w:rPr>
        <w:t>70.00</w:t>
      </w:r>
      <w:r>
        <w:rPr>
          <w:rFonts w:eastAsia="Times New Roman" w:cs="Times New Roman"/>
          <w:color w:val="222222"/>
          <w:lang w:eastAsia="en-GB"/>
        </w:rPr>
        <w:t xml:space="preserve">% of </w:t>
      </w:r>
      <w:r>
        <w:rPr>
          <w:rFonts w:hint="eastAsia" w:eastAsia="宋体" w:cs="Times New Roman"/>
          <w:color w:val="222222"/>
        </w:rPr>
        <w:t>people who is among 20-30 has participated this survey. And most of the participants have worked within 1-5 years in this industry.</w:t>
      </w:r>
    </w:p>
    <w:p>
      <w:pPr>
        <w:spacing w:before="120" w:after="120"/>
        <w:rPr>
          <w:rFonts w:hint="eastAsia" w:eastAsia="宋体" w:cs="Times New Roman"/>
          <w:color w:val="222222"/>
        </w:rPr>
      </w:pPr>
    </w:p>
    <w:p>
      <w:pPr>
        <w:pStyle w:val="2"/>
        <w:spacing w:before="360" w:after="120"/>
        <w:rPr>
          <w:lang w:eastAsia="en-GB"/>
        </w:rPr>
      </w:pPr>
      <w:bookmarkStart w:id="233" w:name="_Toc530662038"/>
      <w:bookmarkStart w:id="234" w:name="_Toc30911_WPSOffice_Level2"/>
      <w:bookmarkStart w:id="235" w:name="_Toc276_WPSOffice_Level2"/>
      <w:r>
        <w:rPr>
          <w:rFonts w:cs="Times New Roman"/>
          <w:lang w:eastAsia="en-GB"/>
        </w:rPr>
        <w:t>4.4 Preliminary Test</w:t>
      </w:r>
      <w:bookmarkEnd w:id="233"/>
      <w:bookmarkEnd w:id="234"/>
      <w:bookmarkEnd w:id="235"/>
    </w:p>
    <w:p>
      <w:pPr>
        <w:spacing w:before="120" w:after="120"/>
        <w:rPr>
          <w:rFonts w:cs="Times New Roman"/>
          <w:lang w:eastAsia="en-GB"/>
        </w:rPr>
      </w:pPr>
      <w:r>
        <w:rPr>
          <w:rFonts w:eastAsia="宋体" w:cs="Times New Roman"/>
        </w:rPr>
        <w:t>T</w:t>
      </w:r>
      <w:r>
        <w:rPr>
          <w:rFonts w:cs="Times New Roman"/>
          <w:lang w:eastAsia="en-GB"/>
        </w:rPr>
        <w:t>he SPSS software was involved to analyse</w:t>
      </w:r>
      <w:r>
        <w:rPr>
          <w:rFonts w:eastAsia="宋体" w:cs="Times New Roman"/>
        </w:rPr>
        <w:t xml:space="preserve"> in the following study</w:t>
      </w:r>
      <w:r>
        <w:rPr>
          <w:rFonts w:cs="Times New Roman"/>
          <w:lang w:eastAsia="en-GB"/>
        </w:rPr>
        <w:t xml:space="preserve">, examine and interpret result of the questionnaires data collected from </w:t>
      </w:r>
      <w:r>
        <w:rPr>
          <w:rFonts w:eastAsia="宋体" w:cs="Times New Roman"/>
        </w:rPr>
        <w:t>education industry in China</w:t>
      </w:r>
      <w:r>
        <w:rPr>
          <w:rFonts w:cs="Times New Roman"/>
          <w:lang w:eastAsia="en-GB"/>
        </w:rPr>
        <w:t xml:space="preserve">. The Factor Analysis and Reliability Test are part of the preliminary data analysis of this study. </w:t>
      </w:r>
    </w:p>
    <w:p>
      <w:pPr>
        <w:spacing w:before="120" w:after="120"/>
        <w:rPr>
          <w:rFonts w:cs="Times New Roman"/>
          <w:lang w:eastAsia="en-GB"/>
        </w:rPr>
      </w:pPr>
    </w:p>
    <w:p>
      <w:pPr>
        <w:pStyle w:val="4"/>
        <w:spacing w:before="120" w:after="120"/>
        <w:rPr>
          <w:lang w:eastAsia="en-GB"/>
        </w:rPr>
      </w:pPr>
      <w:bookmarkStart w:id="236" w:name="_Toc530662039"/>
      <w:bookmarkStart w:id="237" w:name="_Toc8687_WPSOffice_Level3"/>
      <w:bookmarkStart w:id="238" w:name="_Toc15444_WPSOffice_Level3"/>
      <w:r>
        <w:rPr>
          <w:rFonts w:cs="Times New Roman"/>
        </w:rPr>
        <w:t>4.4.1 Factor Analysis</w:t>
      </w:r>
      <w:bookmarkEnd w:id="236"/>
      <w:bookmarkEnd w:id="237"/>
      <w:bookmarkEnd w:id="238"/>
      <w:r>
        <w:rPr>
          <w:rFonts w:cs="Times New Roman"/>
        </w:rPr>
        <w:t xml:space="preserve"> </w:t>
      </w:r>
    </w:p>
    <w:p>
      <w:pPr>
        <w:spacing w:before="120" w:after="120"/>
        <w:rPr>
          <w:rFonts w:eastAsia="宋体" w:cs="Times New Roman"/>
        </w:rPr>
      </w:pPr>
      <w:r>
        <w:rPr>
          <w:rFonts w:cs="Times New Roman"/>
        </w:rPr>
        <w:t xml:space="preserve">Table </w:t>
      </w:r>
      <w:r>
        <w:rPr>
          <w:rFonts w:eastAsia="宋体" w:cs="Times New Roman"/>
        </w:rPr>
        <w:t xml:space="preserve">4.8 </w:t>
      </w:r>
      <w:r>
        <w:rPr>
          <w:rFonts w:cs="Times New Roman"/>
        </w:rPr>
        <w:t>: Full Scale of Data – KMO and Bartlett’s Test</w:t>
      </w:r>
      <w:r>
        <w:rPr>
          <w:rFonts w:hint="eastAsia" w:eastAsia="宋体" w:cs="Times New Roman"/>
        </w:rPr>
        <w:t xml:space="preserve"> - DV &amp; IVs</w:t>
      </w:r>
    </w:p>
    <w:p>
      <w:pPr>
        <w:spacing w:before="120" w:after="120"/>
        <w:rPr>
          <w:rFonts w:eastAsia="宋体" w:cs="Times New Roman"/>
        </w:rPr>
      </w:pPr>
    </w:p>
    <w:tbl>
      <w:tblPr>
        <w:tblStyle w:val="14"/>
        <w:tblW w:w="76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184"/>
        <w:gridCol w:w="3004"/>
        <w:gridCol w:w="14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74" w:hRule="atLeast"/>
        </w:trPr>
        <w:tc>
          <w:tcPr>
            <w:tcW w:w="7600" w:type="dxa"/>
            <w:gridSpan w:val="3"/>
            <w:tcBorders>
              <w:top w:val="nil"/>
              <w:left w:val="nil"/>
              <w:bottom w:val="nil"/>
              <w:right w:val="nil"/>
              <w:tl2br w:val="nil"/>
              <w:tr2bl w:val="nil"/>
            </w:tcBorders>
            <w:shd w:val="clear" w:color="auto" w:fill="FFFFFF"/>
            <w:vAlign w:val="center"/>
          </w:tcPr>
          <w:p>
            <w:pPr>
              <w:spacing w:beforeLines="0" w:afterLines="0" w:line="320" w:lineRule="atLeast"/>
              <w:ind w:left="60" w:right="60"/>
              <w:jc w:val="center"/>
              <w:rPr>
                <w:rFonts w:eastAsia="宋体" w:cs="Times New Roman"/>
                <w:sz w:val="21"/>
                <w:szCs w:val="21"/>
              </w:rPr>
            </w:pPr>
            <w:r>
              <w:rPr>
                <w:rFonts w:cs="Times New Roman"/>
                <w:b/>
                <w:sz w:val="21"/>
                <w:szCs w:val="21"/>
              </w:rPr>
              <w:t>KMO and Bartlett's Test</w:t>
            </w:r>
            <w:r>
              <w:rPr>
                <w:rFonts w:eastAsia="宋体" w:cs="Times New Roman"/>
                <w:b/>
                <w:sz w:val="21"/>
                <w:szCs w:val="21"/>
              </w:rPr>
              <w:t xml:space="preserve"> - DV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21" w:hRule="atLeast"/>
        </w:trPr>
        <w:tc>
          <w:tcPr>
            <w:tcW w:w="6188" w:type="dxa"/>
            <w:gridSpan w:val="2"/>
            <w:tcBorders>
              <w:top w:val="single" w:color="000000" w:sz="16" w:space="0"/>
              <w:left w:val="single" w:color="000000" w:sz="16" w:space="0"/>
              <w:bottom w:val="nil"/>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Kaiser-Meyer-Olkin Measure of Sampling Adequacy.</w:t>
            </w:r>
          </w:p>
        </w:tc>
        <w:tc>
          <w:tcPr>
            <w:tcW w:w="1412" w:type="dxa"/>
            <w:tcBorders>
              <w:top w:val="single" w:color="000000" w:sz="16" w:space="0"/>
              <w:left w:val="single" w:color="000000" w:sz="16"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74" w:hRule="atLeast"/>
        </w:trPr>
        <w:tc>
          <w:tcPr>
            <w:tcW w:w="3184" w:type="dxa"/>
            <w:vMerge w:val="restart"/>
            <w:tcBorders>
              <w:top w:val="nil"/>
              <w:left w:val="single" w:color="000000" w:sz="16" w:space="0"/>
              <w:bottom w:val="single" w:color="000000" w:sz="16"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Bartlett's Test of Sphericity</w:t>
            </w:r>
          </w:p>
        </w:tc>
        <w:tc>
          <w:tcPr>
            <w:tcW w:w="3004"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Approx. Chi-Square</w:t>
            </w:r>
          </w:p>
        </w:tc>
        <w:tc>
          <w:tcPr>
            <w:tcW w:w="1412" w:type="dxa"/>
            <w:tcBorders>
              <w:top w:val="nil"/>
              <w:left w:val="single" w:color="000000" w:sz="16"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1034.235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PrEx>
        <w:trPr>
          <w:cantSplit/>
          <w:trHeight w:val="421" w:hRule="atLeast"/>
        </w:trPr>
        <w:tc>
          <w:tcPr>
            <w:tcW w:w="3184" w:type="dxa"/>
            <w:vMerge w:val="continue"/>
            <w:tcBorders>
              <w:top w:val="nil"/>
              <w:left w:val="single" w:color="000000" w:sz="16" w:space="0"/>
              <w:bottom w:val="single" w:color="000000" w:sz="16" w:space="0"/>
              <w:right w:val="nil"/>
              <w:tl2br w:val="nil"/>
              <w:tr2bl w:val="nil"/>
            </w:tcBorders>
            <w:shd w:val="clear" w:color="auto" w:fill="FFFFFF"/>
          </w:tcPr>
          <w:p>
            <w:pPr>
              <w:spacing w:beforeLines="0" w:afterLines="0"/>
              <w:rPr>
                <w:rFonts w:cs="Times New Roman"/>
                <w:sz w:val="21"/>
                <w:szCs w:val="21"/>
              </w:rPr>
            </w:pPr>
          </w:p>
        </w:tc>
        <w:tc>
          <w:tcPr>
            <w:tcW w:w="3004"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df</w:t>
            </w:r>
          </w:p>
        </w:tc>
        <w:tc>
          <w:tcPr>
            <w:tcW w:w="1412" w:type="dxa"/>
            <w:tcBorders>
              <w:top w:val="nil"/>
              <w:left w:val="single" w:color="000000" w:sz="16"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68" w:hRule="atLeast"/>
        </w:trPr>
        <w:tc>
          <w:tcPr>
            <w:tcW w:w="3184" w:type="dxa"/>
            <w:vMerge w:val="continue"/>
            <w:tcBorders>
              <w:top w:val="nil"/>
              <w:left w:val="single" w:color="000000" w:sz="16" w:space="0"/>
              <w:bottom w:val="single" w:color="000000" w:sz="16" w:space="0"/>
              <w:right w:val="nil"/>
              <w:tl2br w:val="nil"/>
              <w:tr2bl w:val="nil"/>
            </w:tcBorders>
            <w:shd w:val="clear" w:color="auto" w:fill="FFFFFF"/>
          </w:tcPr>
          <w:p>
            <w:pPr>
              <w:spacing w:beforeLines="0" w:afterLines="0"/>
              <w:rPr>
                <w:rFonts w:cs="Times New Roman"/>
                <w:sz w:val="21"/>
                <w:szCs w:val="21"/>
              </w:rPr>
            </w:pPr>
          </w:p>
        </w:tc>
        <w:tc>
          <w:tcPr>
            <w:tcW w:w="3004" w:type="dxa"/>
            <w:tcBorders>
              <w:top w:val="nil"/>
              <w:left w:val="nil"/>
              <w:bottom w:val="single" w:color="000000" w:sz="16"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w:t>
            </w:r>
          </w:p>
        </w:tc>
        <w:tc>
          <w:tcPr>
            <w:tcW w:w="1412" w:type="dxa"/>
            <w:tcBorders>
              <w:top w:val="nil"/>
              <w:left w:val="single" w:color="000000" w:sz="16" w:space="0"/>
              <w:bottom w:val="single" w:color="000000" w:sz="16"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r>
    </w:tbl>
    <w:p>
      <w:pPr>
        <w:spacing w:before="120" w:after="120"/>
        <w:rPr>
          <w:rFonts w:cs="Times New Roman"/>
          <w:sz w:val="21"/>
          <w:szCs w:val="21"/>
          <w:lang w:eastAsia="en-GB"/>
        </w:rPr>
      </w:pPr>
    </w:p>
    <w:tbl>
      <w:tblPr>
        <w:tblStyle w:val="14"/>
        <w:tblW w:w="76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184"/>
        <w:gridCol w:w="3004"/>
        <w:gridCol w:w="14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42" w:hRule="atLeast"/>
        </w:trPr>
        <w:tc>
          <w:tcPr>
            <w:tcW w:w="7600" w:type="dxa"/>
            <w:gridSpan w:val="3"/>
            <w:tcBorders>
              <w:top w:val="nil"/>
              <w:left w:val="nil"/>
              <w:bottom w:val="nil"/>
              <w:right w:val="nil"/>
              <w:tl2br w:val="nil"/>
              <w:tr2bl w:val="nil"/>
            </w:tcBorders>
            <w:shd w:val="clear" w:color="auto" w:fill="FFFFFF"/>
            <w:vAlign w:val="center"/>
          </w:tcPr>
          <w:p>
            <w:pPr>
              <w:spacing w:beforeLines="0" w:afterLines="0" w:line="320" w:lineRule="atLeast"/>
              <w:ind w:left="60" w:right="60"/>
              <w:jc w:val="center"/>
              <w:rPr>
                <w:rFonts w:eastAsia="宋体" w:cs="Times New Roman"/>
                <w:sz w:val="21"/>
                <w:szCs w:val="21"/>
              </w:rPr>
            </w:pPr>
            <w:r>
              <w:rPr>
                <w:rFonts w:cs="Times New Roman"/>
                <w:b/>
                <w:sz w:val="21"/>
                <w:szCs w:val="21"/>
              </w:rPr>
              <w:t>KMO and Bartlett's Test</w:t>
            </w:r>
            <w:r>
              <w:rPr>
                <w:rFonts w:eastAsia="宋体" w:cs="Times New Roman"/>
                <w:b/>
                <w:sz w:val="21"/>
                <w:szCs w:val="21"/>
              </w:rPr>
              <w:t xml:space="preserve"> - IVs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84" w:hRule="atLeast"/>
        </w:trPr>
        <w:tc>
          <w:tcPr>
            <w:tcW w:w="6188" w:type="dxa"/>
            <w:gridSpan w:val="2"/>
            <w:tcBorders>
              <w:top w:val="single" w:color="000000" w:sz="16" w:space="0"/>
              <w:left w:val="single" w:color="000000" w:sz="16" w:space="0"/>
              <w:bottom w:val="nil"/>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Kaiser-Meyer-Olkin Measure of Sampling Adequacy.</w:t>
            </w:r>
          </w:p>
        </w:tc>
        <w:tc>
          <w:tcPr>
            <w:tcW w:w="1412" w:type="dxa"/>
            <w:tcBorders>
              <w:top w:val="single" w:color="000000" w:sz="16" w:space="0"/>
              <w:left w:val="single" w:color="000000" w:sz="16"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42" w:hRule="atLeast"/>
        </w:trPr>
        <w:tc>
          <w:tcPr>
            <w:tcW w:w="3184" w:type="dxa"/>
            <w:vMerge w:val="restart"/>
            <w:tcBorders>
              <w:top w:val="nil"/>
              <w:left w:val="single" w:color="000000" w:sz="16" w:space="0"/>
              <w:bottom w:val="single" w:color="000000" w:sz="16"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Bartlett's Test of Sphericity</w:t>
            </w:r>
          </w:p>
        </w:tc>
        <w:tc>
          <w:tcPr>
            <w:tcW w:w="3004"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Approx. Chi-Square</w:t>
            </w:r>
          </w:p>
        </w:tc>
        <w:tc>
          <w:tcPr>
            <w:tcW w:w="1412" w:type="dxa"/>
            <w:tcBorders>
              <w:top w:val="nil"/>
              <w:left w:val="single" w:color="000000" w:sz="16"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2684.490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84" w:hRule="atLeast"/>
        </w:trPr>
        <w:tc>
          <w:tcPr>
            <w:tcW w:w="3184" w:type="dxa"/>
            <w:vMerge w:val="continue"/>
            <w:tcBorders>
              <w:top w:val="nil"/>
              <w:left w:val="single" w:color="000000" w:sz="16" w:space="0"/>
              <w:bottom w:val="single" w:color="000000" w:sz="16" w:space="0"/>
              <w:right w:val="nil"/>
              <w:tl2br w:val="nil"/>
              <w:tr2bl w:val="nil"/>
            </w:tcBorders>
            <w:shd w:val="clear" w:color="auto" w:fill="FFFFFF"/>
          </w:tcPr>
          <w:p>
            <w:pPr>
              <w:spacing w:beforeLines="0" w:afterLines="0"/>
              <w:rPr>
                <w:rFonts w:cs="Times New Roman"/>
                <w:sz w:val="21"/>
                <w:szCs w:val="21"/>
              </w:rPr>
            </w:pPr>
          </w:p>
        </w:tc>
        <w:tc>
          <w:tcPr>
            <w:tcW w:w="3004"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df</w:t>
            </w:r>
          </w:p>
        </w:tc>
        <w:tc>
          <w:tcPr>
            <w:tcW w:w="1412" w:type="dxa"/>
            <w:tcBorders>
              <w:top w:val="nil"/>
              <w:left w:val="single" w:color="000000" w:sz="16"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27" w:hRule="atLeast"/>
        </w:trPr>
        <w:tc>
          <w:tcPr>
            <w:tcW w:w="3184" w:type="dxa"/>
            <w:vMerge w:val="continue"/>
            <w:tcBorders>
              <w:top w:val="nil"/>
              <w:left w:val="single" w:color="000000" w:sz="16" w:space="0"/>
              <w:bottom w:val="single" w:color="000000" w:sz="16" w:space="0"/>
              <w:right w:val="nil"/>
              <w:tl2br w:val="nil"/>
              <w:tr2bl w:val="nil"/>
            </w:tcBorders>
            <w:shd w:val="clear" w:color="auto" w:fill="FFFFFF"/>
          </w:tcPr>
          <w:p>
            <w:pPr>
              <w:spacing w:beforeLines="0" w:afterLines="0"/>
              <w:rPr>
                <w:rFonts w:cs="Times New Roman"/>
                <w:sz w:val="21"/>
                <w:szCs w:val="21"/>
              </w:rPr>
            </w:pPr>
          </w:p>
        </w:tc>
        <w:tc>
          <w:tcPr>
            <w:tcW w:w="3004" w:type="dxa"/>
            <w:tcBorders>
              <w:top w:val="nil"/>
              <w:left w:val="nil"/>
              <w:bottom w:val="single" w:color="000000" w:sz="16"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w:t>
            </w:r>
          </w:p>
        </w:tc>
        <w:tc>
          <w:tcPr>
            <w:tcW w:w="1412" w:type="dxa"/>
            <w:tcBorders>
              <w:top w:val="nil"/>
              <w:left w:val="single" w:color="000000" w:sz="16" w:space="0"/>
              <w:bottom w:val="single" w:color="000000" w:sz="16"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r>
    </w:tbl>
    <w:p>
      <w:pPr>
        <w:spacing w:before="120" w:after="120"/>
        <w:rPr>
          <w:rFonts w:cs="Times New Roman"/>
          <w:lang w:eastAsia="en-GB"/>
        </w:rPr>
      </w:pPr>
    </w:p>
    <w:p>
      <w:pPr>
        <w:spacing w:before="120" w:after="120"/>
        <w:rPr>
          <w:rFonts w:cs="Times New Roman"/>
          <w:lang w:eastAsia="en-GB"/>
        </w:rPr>
      </w:pPr>
    </w:p>
    <w:p>
      <w:pPr>
        <w:spacing w:before="120" w:after="120"/>
        <w:rPr>
          <w:rFonts w:cs="Times New Roman"/>
          <w:lang w:eastAsia="en-GB"/>
        </w:rPr>
      </w:pPr>
    </w:p>
    <w:p>
      <w:pPr>
        <w:spacing w:before="120" w:after="120"/>
        <w:rPr>
          <w:rFonts w:cs="Times New Roman"/>
          <w:lang w:eastAsia="en-GB"/>
        </w:rPr>
      </w:pPr>
    </w:p>
    <w:p>
      <w:pPr>
        <w:spacing w:before="120" w:after="120"/>
        <w:rPr>
          <w:rFonts w:eastAsia="宋体" w:cs="Times New Roman"/>
          <w:lang w:eastAsia="en-GB"/>
        </w:rPr>
      </w:pPr>
      <w:r>
        <w:rPr>
          <w:rFonts w:cs="Times New Roman"/>
        </w:rPr>
        <w:t xml:space="preserve">Table </w:t>
      </w:r>
      <w:r>
        <w:rPr>
          <w:rFonts w:eastAsia="宋体" w:cs="Times New Roman"/>
        </w:rPr>
        <w:t xml:space="preserve">4.9 </w:t>
      </w:r>
      <w:r>
        <w:rPr>
          <w:rFonts w:cs="Times New Roman"/>
        </w:rPr>
        <w:t>: Full Scale of Data - Communalities Table</w:t>
      </w:r>
      <w:r>
        <w:rPr>
          <w:rFonts w:hint="eastAsia" w:eastAsia="宋体" w:cs="Times New Roman"/>
        </w:rPr>
        <w:t xml:space="preserve"> - DV&amp; IVs</w:t>
      </w:r>
    </w:p>
    <w:tbl>
      <w:tblPr>
        <w:tblStyle w:val="14"/>
        <w:tblW w:w="688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65"/>
        <w:gridCol w:w="2465"/>
        <w:gridCol w:w="26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23" w:hRule="atLeast"/>
        </w:trPr>
        <w:tc>
          <w:tcPr>
            <w:tcW w:w="6880" w:type="dxa"/>
            <w:gridSpan w:val="3"/>
            <w:tcBorders>
              <w:top w:val="nil"/>
              <w:left w:val="nil"/>
              <w:bottom w:val="nil"/>
              <w:right w:val="nil"/>
              <w:tl2br w:val="nil"/>
              <w:tr2bl w:val="nil"/>
            </w:tcBorders>
            <w:shd w:val="clear" w:color="auto" w:fill="FFFFFF"/>
            <w:vAlign w:val="center"/>
          </w:tcPr>
          <w:p>
            <w:pPr>
              <w:spacing w:beforeLines="0" w:afterLines="0" w:line="320" w:lineRule="atLeast"/>
              <w:ind w:left="60" w:right="60"/>
              <w:jc w:val="center"/>
              <w:rPr>
                <w:rFonts w:eastAsia="宋体" w:cs="Times New Roman"/>
                <w:sz w:val="21"/>
                <w:szCs w:val="21"/>
              </w:rPr>
            </w:pPr>
            <w:r>
              <w:rPr>
                <w:rFonts w:cs="Times New Roman"/>
                <w:b/>
                <w:sz w:val="21"/>
                <w:szCs w:val="21"/>
              </w:rPr>
              <w:t>Communalities</w:t>
            </w:r>
            <w:r>
              <w:rPr>
                <w:rFonts w:eastAsia="宋体" w:cs="Times New Roman"/>
                <w:b/>
                <w:sz w:val="21"/>
                <w:szCs w:val="21"/>
              </w:rPr>
              <w:t xml:space="preserve"> - DV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80" w:hRule="atLeast"/>
        </w:trPr>
        <w:tc>
          <w:tcPr>
            <w:tcW w:w="1765" w:type="dxa"/>
            <w:tcBorders>
              <w:top w:val="single" w:color="000000" w:sz="16" w:space="0"/>
              <w:left w:val="single" w:color="000000" w:sz="16" w:space="0"/>
              <w:bottom w:val="single" w:color="000000" w:sz="16" w:space="0"/>
              <w:right w:val="single" w:color="000000" w:sz="16" w:space="0"/>
              <w:tl2br w:val="nil"/>
              <w:tr2bl w:val="nil"/>
            </w:tcBorders>
            <w:shd w:val="clear" w:color="auto" w:fill="FFFFFF"/>
            <w:vAlign w:val="bottom"/>
          </w:tcPr>
          <w:p>
            <w:pPr>
              <w:spacing w:beforeLines="0" w:afterLines="0"/>
              <w:rPr>
                <w:rFonts w:cs="Times New Roman"/>
                <w:sz w:val="21"/>
                <w:szCs w:val="21"/>
              </w:rPr>
            </w:pPr>
          </w:p>
        </w:tc>
        <w:tc>
          <w:tcPr>
            <w:tcW w:w="2465" w:type="dxa"/>
            <w:tcBorders>
              <w:top w:val="single" w:color="000000" w:sz="16" w:space="0"/>
              <w:left w:val="single" w:color="000000" w:sz="16"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Initial</w:t>
            </w:r>
          </w:p>
        </w:tc>
        <w:tc>
          <w:tcPr>
            <w:tcW w:w="2650" w:type="dxa"/>
            <w:tcBorders>
              <w:top w:val="single" w:color="000000" w:sz="16" w:space="0"/>
              <w:left w:val="single" w:color="000000" w:sz="8" w:space="0"/>
              <w:bottom w:val="single" w:color="000000" w:sz="16" w:space="0"/>
              <w:right w:val="single" w:color="000000" w:sz="16"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Extraction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64" w:hRule="atLeast"/>
        </w:trPr>
        <w:tc>
          <w:tcPr>
            <w:tcW w:w="1765" w:type="dxa"/>
            <w:tcBorders>
              <w:top w:val="single" w:color="000000" w:sz="16" w:space="0"/>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P1</w:t>
            </w:r>
          </w:p>
        </w:tc>
        <w:tc>
          <w:tcPr>
            <w:tcW w:w="2465" w:type="dxa"/>
            <w:tcBorders>
              <w:top w:val="single" w:color="000000" w:sz="16" w:space="0"/>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2650" w:type="dxa"/>
            <w:tcBorders>
              <w:top w:val="single" w:color="000000" w:sz="16" w:space="0"/>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23" w:hRule="atLeast"/>
        </w:trPr>
        <w:tc>
          <w:tcPr>
            <w:tcW w:w="1765"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P2</w:t>
            </w:r>
          </w:p>
        </w:tc>
        <w:tc>
          <w:tcPr>
            <w:tcW w:w="246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2650"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23" w:hRule="atLeast"/>
        </w:trPr>
        <w:tc>
          <w:tcPr>
            <w:tcW w:w="1765"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P3</w:t>
            </w:r>
          </w:p>
        </w:tc>
        <w:tc>
          <w:tcPr>
            <w:tcW w:w="246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2650"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23" w:hRule="atLeast"/>
        </w:trPr>
        <w:tc>
          <w:tcPr>
            <w:tcW w:w="1765"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P4</w:t>
            </w:r>
          </w:p>
        </w:tc>
        <w:tc>
          <w:tcPr>
            <w:tcW w:w="2465"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2650"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.778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23" w:hRule="atLeast"/>
        </w:trPr>
        <w:tc>
          <w:tcPr>
            <w:tcW w:w="1765" w:type="dxa"/>
            <w:tcBorders>
              <w:top w:val="nil"/>
              <w:left w:val="single" w:color="000000" w:sz="16" w:space="0"/>
              <w:bottom w:val="single" w:color="000000" w:sz="16"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P5</w:t>
            </w:r>
          </w:p>
        </w:tc>
        <w:tc>
          <w:tcPr>
            <w:tcW w:w="2465" w:type="dxa"/>
            <w:tcBorders>
              <w:top w:val="nil"/>
              <w:left w:val="single" w:color="000000" w:sz="16"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2650" w:type="dxa"/>
            <w:tcBorders>
              <w:top w:val="nil"/>
              <w:left w:val="single" w:color="000000" w:sz="8" w:space="0"/>
              <w:bottom w:val="single" w:color="000000" w:sz="16"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01" w:hRule="atLeast"/>
        </w:trPr>
        <w:tc>
          <w:tcPr>
            <w:tcW w:w="6880" w:type="dxa"/>
            <w:gridSpan w:val="3"/>
            <w:tcBorders>
              <w:top w:val="nil"/>
              <w:left w:val="nil"/>
              <w:bottom w:val="nil"/>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Extraction Method: Principal Component Analysis.</w:t>
            </w:r>
          </w:p>
        </w:tc>
      </w:tr>
    </w:tbl>
    <w:p>
      <w:pPr>
        <w:spacing w:before="120" w:after="120"/>
        <w:rPr>
          <w:rFonts w:cs="Times New Roman"/>
          <w:sz w:val="21"/>
          <w:szCs w:val="21"/>
          <w:lang w:eastAsia="en-GB"/>
        </w:rPr>
      </w:pPr>
    </w:p>
    <w:tbl>
      <w:tblPr>
        <w:tblStyle w:val="14"/>
        <w:tblW w:w="698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91"/>
        <w:gridCol w:w="2500"/>
        <w:gridCol w:w="268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68" w:hRule="atLeast"/>
        </w:trPr>
        <w:tc>
          <w:tcPr>
            <w:tcW w:w="6980" w:type="dxa"/>
            <w:gridSpan w:val="3"/>
            <w:tcBorders>
              <w:top w:val="nil"/>
              <w:left w:val="nil"/>
              <w:bottom w:val="nil"/>
              <w:right w:val="nil"/>
              <w:tl2br w:val="nil"/>
              <w:tr2bl w:val="nil"/>
            </w:tcBorders>
            <w:shd w:val="clear" w:color="auto" w:fill="FFFFFF"/>
            <w:vAlign w:val="center"/>
          </w:tcPr>
          <w:p>
            <w:pPr>
              <w:spacing w:beforeLines="0" w:afterLines="0" w:line="320" w:lineRule="atLeast"/>
              <w:ind w:left="60" w:right="60"/>
              <w:jc w:val="center"/>
              <w:rPr>
                <w:rFonts w:eastAsia="宋体" w:cs="Times New Roman"/>
                <w:sz w:val="21"/>
                <w:szCs w:val="21"/>
              </w:rPr>
            </w:pPr>
            <w:r>
              <w:rPr>
                <w:rFonts w:cs="Times New Roman"/>
                <w:b/>
                <w:sz w:val="21"/>
                <w:szCs w:val="21"/>
              </w:rPr>
              <w:t>Communalities</w:t>
            </w:r>
            <w:r>
              <w:rPr>
                <w:rFonts w:eastAsia="宋体" w:cs="Times New Roman"/>
                <w:b/>
                <w:sz w:val="21"/>
                <w:szCs w:val="21"/>
              </w:rPr>
              <w:t xml:space="preserve"> - IVs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15" w:hRule="atLeast"/>
        </w:trPr>
        <w:tc>
          <w:tcPr>
            <w:tcW w:w="1791" w:type="dxa"/>
            <w:tcBorders>
              <w:top w:val="single" w:color="000000" w:sz="16" w:space="0"/>
              <w:left w:val="single" w:color="000000" w:sz="16" w:space="0"/>
              <w:bottom w:val="single" w:color="000000" w:sz="16" w:space="0"/>
              <w:right w:val="single" w:color="000000" w:sz="16" w:space="0"/>
              <w:tl2br w:val="nil"/>
              <w:tr2bl w:val="nil"/>
            </w:tcBorders>
            <w:shd w:val="clear" w:color="auto" w:fill="FFFFFF"/>
            <w:vAlign w:val="bottom"/>
          </w:tcPr>
          <w:p>
            <w:pPr>
              <w:spacing w:beforeLines="0" w:afterLines="0"/>
              <w:rPr>
                <w:rFonts w:cs="Times New Roman"/>
                <w:sz w:val="21"/>
                <w:szCs w:val="21"/>
              </w:rPr>
            </w:pPr>
          </w:p>
        </w:tc>
        <w:tc>
          <w:tcPr>
            <w:tcW w:w="2500" w:type="dxa"/>
            <w:tcBorders>
              <w:top w:val="single" w:color="000000" w:sz="16" w:space="0"/>
              <w:left w:val="single" w:color="000000" w:sz="16"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Initial</w:t>
            </w:r>
          </w:p>
        </w:tc>
        <w:tc>
          <w:tcPr>
            <w:tcW w:w="2689" w:type="dxa"/>
            <w:tcBorders>
              <w:top w:val="single" w:color="000000" w:sz="16" w:space="0"/>
              <w:left w:val="single" w:color="000000" w:sz="8" w:space="0"/>
              <w:bottom w:val="single" w:color="000000" w:sz="16" w:space="0"/>
              <w:right w:val="single" w:color="000000" w:sz="16"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Extraction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02" w:hRule="atLeast"/>
        </w:trPr>
        <w:tc>
          <w:tcPr>
            <w:tcW w:w="1791" w:type="dxa"/>
            <w:tcBorders>
              <w:top w:val="single" w:color="000000" w:sz="16" w:space="0"/>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DK1</w:t>
            </w:r>
          </w:p>
        </w:tc>
        <w:tc>
          <w:tcPr>
            <w:tcW w:w="2500" w:type="dxa"/>
            <w:tcBorders>
              <w:top w:val="single" w:color="000000" w:sz="16" w:space="0"/>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2689" w:type="dxa"/>
            <w:tcBorders>
              <w:top w:val="single" w:color="000000" w:sz="16" w:space="0"/>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68" w:hRule="atLeast"/>
        </w:trPr>
        <w:tc>
          <w:tcPr>
            <w:tcW w:w="1791"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DK2</w:t>
            </w:r>
          </w:p>
        </w:tc>
        <w:tc>
          <w:tcPr>
            <w:tcW w:w="2500"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2689"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68" w:hRule="atLeast"/>
        </w:trPr>
        <w:tc>
          <w:tcPr>
            <w:tcW w:w="1791"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DK3</w:t>
            </w:r>
          </w:p>
        </w:tc>
        <w:tc>
          <w:tcPr>
            <w:tcW w:w="2500"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2689"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68" w:hRule="atLeast"/>
        </w:trPr>
        <w:tc>
          <w:tcPr>
            <w:tcW w:w="1791"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DK4</w:t>
            </w:r>
          </w:p>
        </w:tc>
        <w:tc>
          <w:tcPr>
            <w:tcW w:w="2500"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2689"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68" w:hRule="atLeast"/>
        </w:trPr>
        <w:tc>
          <w:tcPr>
            <w:tcW w:w="1791"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DK5</w:t>
            </w:r>
          </w:p>
        </w:tc>
        <w:tc>
          <w:tcPr>
            <w:tcW w:w="2500"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2689"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68" w:hRule="atLeast"/>
        </w:trPr>
        <w:tc>
          <w:tcPr>
            <w:tcW w:w="1791"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TP1</w:t>
            </w:r>
          </w:p>
        </w:tc>
        <w:tc>
          <w:tcPr>
            <w:tcW w:w="2500"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2689"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68" w:hRule="atLeast"/>
        </w:trPr>
        <w:tc>
          <w:tcPr>
            <w:tcW w:w="1791"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TP2</w:t>
            </w:r>
          </w:p>
        </w:tc>
        <w:tc>
          <w:tcPr>
            <w:tcW w:w="2500"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2689"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68" w:hRule="atLeast"/>
        </w:trPr>
        <w:tc>
          <w:tcPr>
            <w:tcW w:w="1791"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TP3</w:t>
            </w:r>
          </w:p>
        </w:tc>
        <w:tc>
          <w:tcPr>
            <w:tcW w:w="2500"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2689"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.879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68" w:hRule="atLeast"/>
        </w:trPr>
        <w:tc>
          <w:tcPr>
            <w:tcW w:w="1791"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TP4</w:t>
            </w:r>
          </w:p>
        </w:tc>
        <w:tc>
          <w:tcPr>
            <w:tcW w:w="2500"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2689"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68" w:hRule="atLeast"/>
        </w:trPr>
        <w:tc>
          <w:tcPr>
            <w:tcW w:w="1791" w:type="dxa"/>
            <w:tcBorders>
              <w:top w:val="nil"/>
              <w:left w:val="single" w:color="000000" w:sz="16" w:space="0"/>
              <w:bottom w:val="single" w:color="000000" w:sz="16"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TP5</w:t>
            </w:r>
          </w:p>
        </w:tc>
        <w:tc>
          <w:tcPr>
            <w:tcW w:w="2500" w:type="dxa"/>
            <w:tcBorders>
              <w:top w:val="nil"/>
              <w:left w:val="single" w:color="000000" w:sz="16"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w:t>
            </w:r>
          </w:p>
        </w:tc>
        <w:tc>
          <w:tcPr>
            <w:tcW w:w="2689" w:type="dxa"/>
            <w:tcBorders>
              <w:top w:val="nil"/>
              <w:left w:val="single" w:color="000000" w:sz="8" w:space="0"/>
              <w:bottom w:val="single" w:color="000000" w:sz="16"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.839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02" w:hRule="atLeast"/>
        </w:trPr>
        <w:tc>
          <w:tcPr>
            <w:tcW w:w="6980" w:type="dxa"/>
            <w:gridSpan w:val="3"/>
            <w:tcBorders>
              <w:top w:val="nil"/>
              <w:left w:val="nil"/>
              <w:bottom w:val="nil"/>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Extraction Method: Principal Component Analysis.</w:t>
            </w:r>
          </w:p>
        </w:tc>
      </w:tr>
    </w:tbl>
    <w:p>
      <w:pPr>
        <w:spacing w:before="120" w:after="120"/>
        <w:rPr>
          <w:lang w:eastAsia="en-GB"/>
        </w:rPr>
      </w:pPr>
    </w:p>
    <w:p>
      <w:pPr>
        <w:spacing w:before="120" w:after="120"/>
        <w:rPr>
          <w:lang w:eastAsia="en-GB"/>
        </w:rPr>
      </w:pPr>
    </w:p>
    <w:p>
      <w:pPr>
        <w:spacing w:before="120" w:after="120"/>
        <w:rPr>
          <w:lang w:eastAsia="en-GB"/>
        </w:rPr>
      </w:pPr>
    </w:p>
    <w:p>
      <w:pPr>
        <w:spacing w:before="120" w:after="120"/>
        <w:rPr>
          <w:rFonts w:eastAsia="宋体" w:cs="Times New Roman"/>
        </w:rPr>
      </w:pPr>
      <w:r>
        <w:rPr>
          <w:rFonts w:cs="Times New Roman"/>
        </w:rPr>
        <w:t>Table 4.10 : Full Scale of Data - Total Variance Table</w:t>
      </w:r>
      <w:r>
        <w:rPr>
          <w:rFonts w:hint="eastAsia" w:eastAsia="宋体" w:cs="Times New Roman"/>
        </w:rPr>
        <w:t xml:space="preserve"> - DV&amp; IVs</w:t>
      </w:r>
    </w:p>
    <w:tbl>
      <w:tblPr>
        <w:tblStyle w:val="14"/>
        <w:tblW w:w="838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63"/>
        <w:gridCol w:w="928"/>
        <w:gridCol w:w="1302"/>
        <w:gridCol w:w="1317"/>
        <w:gridCol w:w="1053"/>
        <w:gridCol w:w="1302"/>
        <w:gridCol w:w="13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07" w:hRule="atLeast"/>
        </w:trPr>
        <w:tc>
          <w:tcPr>
            <w:tcW w:w="8380" w:type="dxa"/>
            <w:gridSpan w:val="7"/>
            <w:tcBorders>
              <w:top w:val="nil"/>
              <w:left w:val="nil"/>
              <w:bottom w:val="nil"/>
              <w:right w:val="nil"/>
              <w:tl2br w:val="nil"/>
              <w:tr2bl w:val="nil"/>
            </w:tcBorders>
            <w:shd w:val="clear" w:color="auto" w:fill="FFFFFF"/>
            <w:vAlign w:val="center"/>
          </w:tcPr>
          <w:p>
            <w:pPr>
              <w:spacing w:beforeLines="0" w:afterLines="0" w:line="320" w:lineRule="atLeast"/>
              <w:ind w:left="60" w:right="60"/>
              <w:jc w:val="center"/>
              <w:rPr>
                <w:rFonts w:eastAsia="宋体" w:cs="Times New Roman"/>
                <w:sz w:val="21"/>
                <w:szCs w:val="21"/>
              </w:rPr>
            </w:pPr>
            <w:r>
              <w:rPr>
                <w:rFonts w:cs="Times New Roman"/>
                <w:b/>
                <w:sz w:val="21"/>
                <w:szCs w:val="21"/>
              </w:rPr>
              <w:t>Total Variance Explained</w:t>
            </w:r>
            <w:r>
              <w:rPr>
                <w:rFonts w:eastAsia="宋体" w:cs="Times New Roman"/>
                <w:b/>
                <w:sz w:val="21"/>
                <w:szCs w:val="21"/>
              </w:rPr>
              <w:t xml:space="preserve"> - DV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6" w:hRule="atLeast"/>
        </w:trPr>
        <w:tc>
          <w:tcPr>
            <w:tcW w:w="1163" w:type="dxa"/>
            <w:vMerge w:val="restart"/>
            <w:tcBorders>
              <w:top w:val="single" w:color="000000" w:sz="16" w:space="0"/>
              <w:left w:val="single" w:color="000000" w:sz="16" w:space="0"/>
              <w:bottom w:val="nil"/>
              <w:right w:val="single" w:color="000000" w:sz="16" w:space="0"/>
              <w:tl2br w:val="nil"/>
              <w:tr2bl w:val="nil"/>
            </w:tcBorders>
            <w:shd w:val="clear" w:color="auto" w:fill="FFFFFF"/>
            <w:vAlign w:val="bottom"/>
          </w:tcPr>
          <w:p>
            <w:pPr>
              <w:spacing w:beforeLines="0" w:afterLines="0" w:line="320" w:lineRule="atLeast"/>
              <w:ind w:left="60" w:right="60"/>
              <w:rPr>
                <w:rFonts w:cs="Times New Roman"/>
                <w:sz w:val="21"/>
                <w:szCs w:val="21"/>
              </w:rPr>
            </w:pPr>
            <w:r>
              <w:rPr>
                <w:rFonts w:cs="Times New Roman"/>
                <w:sz w:val="21"/>
                <w:szCs w:val="21"/>
              </w:rPr>
              <w:t>Component</w:t>
            </w:r>
          </w:p>
        </w:tc>
        <w:tc>
          <w:tcPr>
            <w:tcW w:w="3547" w:type="dxa"/>
            <w:gridSpan w:val="3"/>
            <w:tcBorders>
              <w:top w:val="single" w:color="000000" w:sz="16" w:space="0"/>
              <w:left w:val="single" w:color="000000" w:sz="16" w:space="0"/>
              <w:bottom w:val="single" w:color="000000" w:sz="8"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Initial Eigenvalues</w:t>
            </w:r>
          </w:p>
        </w:tc>
        <w:tc>
          <w:tcPr>
            <w:tcW w:w="3670" w:type="dxa"/>
            <w:gridSpan w:val="3"/>
            <w:tcBorders>
              <w:top w:val="single" w:color="000000" w:sz="16" w:space="0"/>
              <w:left w:val="single" w:color="000000" w:sz="8" w:space="0"/>
              <w:bottom w:val="single" w:color="000000" w:sz="8" w:space="0"/>
              <w:right w:val="single" w:color="000000" w:sz="16"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Extraction Sums of Squared Loadings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6" w:hRule="atLeast"/>
        </w:trPr>
        <w:tc>
          <w:tcPr>
            <w:tcW w:w="1163" w:type="dxa"/>
            <w:vMerge w:val="continue"/>
            <w:tcBorders>
              <w:top w:val="single" w:color="000000" w:sz="16" w:space="0"/>
              <w:left w:val="single" w:color="000000" w:sz="16" w:space="0"/>
              <w:bottom w:val="nil"/>
              <w:right w:val="single" w:color="000000" w:sz="16" w:space="0"/>
              <w:tl2br w:val="nil"/>
              <w:tr2bl w:val="nil"/>
            </w:tcBorders>
            <w:shd w:val="clear" w:color="auto" w:fill="FFFFFF"/>
            <w:vAlign w:val="bottom"/>
          </w:tcPr>
          <w:p>
            <w:pPr>
              <w:spacing w:beforeLines="0" w:afterLines="0"/>
              <w:rPr>
                <w:rFonts w:cs="Times New Roman"/>
                <w:sz w:val="21"/>
                <w:szCs w:val="21"/>
              </w:rPr>
            </w:pPr>
          </w:p>
        </w:tc>
        <w:tc>
          <w:tcPr>
            <w:tcW w:w="928" w:type="dxa"/>
            <w:tcBorders>
              <w:top w:val="single" w:color="000000" w:sz="8" w:space="0"/>
              <w:left w:val="single" w:color="000000" w:sz="16"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Total</w:t>
            </w:r>
          </w:p>
        </w:tc>
        <w:tc>
          <w:tcPr>
            <w:tcW w:w="1302"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 of Variance</w:t>
            </w:r>
          </w:p>
        </w:tc>
        <w:tc>
          <w:tcPr>
            <w:tcW w:w="1317"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Cumulative %</w:t>
            </w:r>
          </w:p>
        </w:tc>
        <w:tc>
          <w:tcPr>
            <w:tcW w:w="1053"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Total</w:t>
            </w:r>
          </w:p>
        </w:tc>
        <w:tc>
          <w:tcPr>
            <w:tcW w:w="1302"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 of Variance</w:t>
            </w:r>
          </w:p>
        </w:tc>
        <w:tc>
          <w:tcPr>
            <w:tcW w:w="1315" w:type="dxa"/>
            <w:tcBorders>
              <w:top w:val="single" w:color="000000" w:sz="8" w:space="0"/>
              <w:left w:val="single" w:color="000000" w:sz="8" w:space="0"/>
              <w:bottom w:val="single" w:color="000000" w:sz="16" w:space="0"/>
              <w:right w:val="single" w:color="000000" w:sz="16"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Cumulative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6" w:hRule="atLeast"/>
        </w:trPr>
        <w:tc>
          <w:tcPr>
            <w:tcW w:w="1163" w:type="dxa"/>
            <w:tcBorders>
              <w:top w:val="single" w:color="000000" w:sz="16" w:space="0"/>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1</w:t>
            </w:r>
          </w:p>
        </w:tc>
        <w:tc>
          <w:tcPr>
            <w:tcW w:w="928" w:type="dxa"/>
            <w:tcBorders>
              <w:top w:val="single" w:color="000000" w:sz="16" w:space="0"/>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3.707</w:t>
            </w:r>
          </w:p>
        </w:tc>
        <w:tc>
          <w:tcPr>
            <w:tcW w:w="1302"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74.150</w:t>
            </w:r>
          </w:p>
        </w:tc>
        <w:tc>
          <w:tcPr>
            <w:tcW w:w="1317"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74.150</w:t>
            </w:r>
          </w:p>
        </w:tc>
        <w:tc>
          <w:tcPr>
            <w:tcW w:w="1053"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3.707</w:t>
            </w:r>
          </w:p>
        </w:tc>
        <w:tc>
          <w:tcPr>
            <w:tcW w:w="1302"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74.150</w:t>
            </w:r>
          </w:p>
        </w:tc>
        <w:tc>
          <w:tcPr>
            <w:tcW w:w="1315" w:type="dxa"/>
            <w:tcBorders>
              <w:top w:val="single" w:color="000000" w:sz="16" w:space="0"/>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74.150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15" w:hRule="atLeast"/>
        </w:trPr>
        <w:tc>
          <w:tcPr>
            <w:tcW w:w="1163"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2</w:t>
            </w:r>
          </w:p>
        </w:tc>
        <w:tc>
          <w:tcPr>
            <w:tcW w:w="928"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.607</w:t>
            </w:r>
          </w:p>
        </w:tc>
        <w:tc>
          <w:tcPr>
            <w:tcW w:w="130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12.140</w:t>
            </w:r>
          </w:p>
        </w:tc>
        <w:tc>
          <w:tcPr>
            <w:tcW w:w="1317"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86.290</w:t>
            </w:r>
          </w:p>
        </w:tc>
        <w:tc>
          <w:tcPr>
            <w:tcW w:w="105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0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15"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15" w:hRule="atLeast"/>
        </w:trPr>
        <w:tc>
          <w:tcPr>
            <w:tcW w:w="1163"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3</w:t>
            </w:r>
          </w:p>
        </w:tc>
        <w:tc>
          <w:tcPr>
            <w:tcW w:w="928"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.275</w:t>
            </w:r>
          </w:p>
        </w:tc>
        <w:tc>
          <w:tcPr>
            <w:tcW w:w="130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5.500</w:t>
            </w:r>
          </w:p>
        </w:tc>
        <w:tc>
          <w:tcPr>
            <w:tcW w:w="1317"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91.790</w:t>
            </w:r>
          </w:p>
        </w:tc>
        <w:tc>
          <w:tcPr>
            <w:tcW w:w="105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0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15"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15" w:hRule="atLeast"/>
        </w:trPr>
        <w:tc>
          <w:tcPr>
            <w:tcW w:w="1163" w:type="dxa"/>
            <w:tcBorders>
              <w:top w:val="nil"/>
              <w:left w:val="single" w:color="000000" w:sz="16" w:space="0"/>
              <w:bottom w:val="single" w:color="000000" w:sz="8"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4</w:t>
            </w:r>
          </w:p>
        </w:tc>
        <w:tc>
          <w:tcPr>
            <w:tcW w:w="928" w:type="dxa"/>
            <w:tcBorders>
              <w:top w:val="nil"/>
              <w:left w:val="single" w:color="000000" w:sz="16"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.267</w:t>
            </w:r>
          </w:p>
        </w:tc>
        <w:tc>
          <w:tcPr>
            <w:tcW w:w="1302"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5.332</w:t>
            </w:r>
          </w:p>
        </w:tc>
        <w:tc>
          <w:tcPr>
            <w:tcW w:w="1317"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97.122</w:t>
            </w:r>
          </w:p>
        </w:tc>
        <w:tc>
          <w:tcPr>
            <w:tcW w:w="105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02"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15" w:type="dxa"/>
            <w:tcBorders>
              <w:top w:val="nil"/>
              <w:left w:val="single" w:color="000000" w:sz="8" w:space="0"/>
              <w:bottom w:val="single" w:color="000000" w:sz="8" w:space="0"/>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30" w:hRule="atLeast"/>
        </w:trPr>
        <w:tc>
          <w:tcPr>
            <w:tcW w:w="1163" w:type="dxa"/>
            <w:tcBorders>
              <w:top w:val="nil"/>
              <w:left w:val="single" w:color="000000" w:sz="16" w:space="0"/>
              <w:bottom w:val="single" w:color="000000" w:sz="16"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5</w:t>
            </w:r>
          </w:p>
        </w:tc>
        <w:tc>
          <w:tcPr>
            <w:tcW w:w="928" w:type="dxa"/>
            <w:tcBorders>
              <w:top w:val="nil"/>
              <w:left w:val="single" w:color="000000" w:sz="16"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.144</w:t>
            </w:r>
          </w:p>
        </w:tc>
        <w:tc>
          <w:tcPr>
            <w:tcW w:w="1302"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2.878</w:t>
            </w:r>
          </w:p>
        </w:tc>
        <w:tc>
          <w:tcPr>
            <w:tcW w:w="1317"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100.000</w:t>
            </w:r>
          </w:p>
        </w:tc>
        <w:tc>
          <w:tcPr>
            <w:tcW w:w="1053"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02"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15" w:type="dxa"/>
            <w:tcBorders>
              <w:top w:val="nil"/>
              <w:left w:val="single" w:color="000000" w:sz="8" w:space="0"/>
              <w:bottom w:val="single" w:color="000000" w:sz="16" w:space="0"/>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6" w:hRule="atLeast"/>
        </w:trPr>
        <w:tc>
          <w:tcPr>
            <w:tcW w:w="8380" w:type="dxa"/>
            <w:gridSpan w:val="7"/>
            <w:tcBorders>
              <w:top w:val="nil"/>
              <w:left w:val="nil"/>
              <w:bottom w:val="nil"/>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Extraction Method: Principal Component Analysis.</w:t>
            </w:r>
          </w:p>
        </w:tc>
      </w:tr>
    </w:tbl>
    <w:p>
      <w:pPr>
        <w:spacing w:before="120" w:after="120"/>
        <w:rPr>
          <w:rFonts w:eastAsia="宋体" w:cs="Times New Roman"/>
          <w:sz w:val="21"/>
          <w:szCs w:val="21"/>
        </w:rPr>
      </w:pPr>
    </w:p>
    <w:tbl>
      <w:tblPr>
        <w:tblStyle w:val="14"/>
        <w:tblW w:w="828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50"/>
        <w:gridCol w:w="917"/>
        <w:gridCol w:w="1286"/>
        <w:gridCol w:w="1300"/>
        <w:gridCol w:w="1040"/>
        <w:gridCol w:w="1286"/>
        <w:gridCol w:w="13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06" w:hRule="atLeast"/>
        </w:trPr>
        <w:tc>
          <w:tcPr>
            <w:tcW w:w="8280" w:type="dxa"/>
            <w:gridSpan w:val="7"/>
            <w:tcBorders>
              <w:top w:val="nil"/>
              <w:left w:val="nil"/>
              <w:bottom w:val="nil"/>
              <w:right w:val="nil"/>
              <w:tl2br w:val="nil"/>
              <w:tr2bl w:val="nil"/>
            </w:tcBorders>
            <w:shd w:val="clear" w:color="auto" w:fill="FFFFFF"/>
            <w:vAlign w:val="center"/>
          </w:tcPr>
          <w:p>
            <w:pPr>
              <w:spacing w:beforeLines="0" w:afterLines="0" w:line="320" w:lineRule="atLeast"/>
              <w:ind w:left="60" w:right="60"/>
              <w:jc w:val="center"/>
              <w:rPr>
                <w:rFonts w:eastAsia="宋体" w:cs="Times New Roman"/>
                <w:sz w:val="21"/>
                <w:szCs w:val="21"/>
              </w:rPr>
            </w:pPr>
            <w:r>
              <w:rPr>
                <w:rFonts w:cs="Times New Roman"/>
                <w:b/>
                <w:sz w:val="21"/>
                <w:szCs w:val="21"/>
              </w:rPr>
              <w:t>Total Variance Explained</w:t>
            </w:r>
            <w:r>
              <w:rPr>
                <w:rFonts w:eastAsia="宋体" w:cs="Times New Roman"/>
                <w:b/>
                <w:sz w:val="21"/>
                <w:szCs w:val="21"/>
              </w:rPr>
              <w:t xml:space="preserve"> - IVs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5" w:hRule="atLeast"/>
        </w:trPr>
        <w:tc>
          <w:tcPr>
            <w:tcW w:w="1150" w:type="dxa"/>
            <w:vMerge w:val="restart"/>
            <w:tcBorders>
              <w:top w:val="single" w:color="000000" w:sz="16" w:space="0"/>
              <w:left w:val="single" w:color="000000" w:sz="16" w:space="0"/>
              <w:bottom w:val="nil"/>
              <w:right w:val="single" w:color="000000" w:sz="16" w:space="0"/>
              <w:tl2br w:val="nil"/>
              <w:tr2bl w:val="nil"/>
            </w:tcBorders>
            <w:shd w:val="clear" w:color="auto" w:fill="FFFFFF"/>
            <w:vAlign w:val="bottom"/>
          </w:tcPr>
          <w:p>
            <w:pPr>
              <w:spacing w:beforeLines="0" w:afterLines="0" w:line="320" w:lineRule="atLeast"/>
              <w:ind w:left="60" w:right="60"/>
              <w:rPr>
                <w:rFonts w:cs="Times New Roman"/>
                <w:sz w:val="21"/>
                <w:szCs w:val="21"/>
              </w:rPr>
            </w:pPr>
            <w:r>
              <w:rPr>
                <w:rFonts w:cs="Times New Roman"/>
                <w:sz w:val="21"/>
                <w:szCs w:val="21"/>
              </w:rPr>
              <w:t>Component</w:t>
            </w:r>
          </w:p>
        </w:tc>
        <w:tc>
          <w:tcPr>
            <w:tcW w:w="3503" w:type="dxa"/>
            <w:gridSpan w:val="3"/>
            <w:tcBorders>
              <w:top w:val="single" w:color="000000" w:sz="16" w:space="0"/>
              <w:left w:val="single" w:color="000000" w:sz="16" w:space="0"/>
              <w:bottom w:val="single" w:color="000000" w:sz="8"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Initial Eigenvalues</w:t>
            </w:r>
          </w:p>
        </w:tc>
        <w:tc>
          <w:tcPr>
            <w:tcW w:w="3627" w:type="dxa"/>
            <w:gridSpan w:val="3"/>
            <w:tcBorders>
              <w:top w:val="single" w:color="000000" w:sz="16" w:space="0"/>
              <w:left w:val="single" w:color="000000" w:sz="8" w:space="0"/>
              <w:bottom w:val="single" w:color="000000" w:sz="8" w:space="0"/>
              <w:right w:val="single" w:color="000000" w:sz="16"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Extraction Sums of Squared Loadings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5" w:hRule="atLeast"/>
        </w:trPr>
        <w:tc>
          <w:tcPr>
            <w:tcW w:w="1150" w:type="dxa"/>
            <w:vMerge w:val="continue"/>
            <w:tcBorders>
              <w:top w:val="single" w:color="000000" w:sz="16" w:space="0"/>
              <w:left w:val="single" w:color="000000" w:sz="16" w:space="0"/>
              <w:bottom w:val="nil"/>
              <w:right w:val="single" w:color="000000" w:sz="16" w:space="0"/>
              <w:tl2br w:val="nil"/>
              <w:tr2bl w:val="nil"/>
            </w:tcBorders>
            <w:shd w:val="clear" w:color="auto" w:fill="FFFFFF"/>
            <w:vAlign w:val="bottom"/>
          </w:tcPr>
          <w:p>
            <w:pPr>
              <w:spacing w:beforeLines="0" w:afterLines="0"/>
              <w:rPr>
                <w:rFonts w:cs="Times New Roman"/>
                <w:sz w:val="21"/>
                <w:szCs w:val="21"/>
              </w:rPr>
            </w:pPr>
          </w:p>
        </w:tc>
        <w:tc>
          <w:tcPr>
            <w:tcW w:w="917" w:type="dxa"/>
            <w:tcBorders>
              <w:top w:val="single" w:color="000000" w:sz="8" w:space="0"/>
              <w:left w:val="single" w:color="000000" w:sz="16"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Total</w:t>
            </w:r>
          </w:p>
        </w:tc>
        <w:tc>
          <w:tcPr>
            <w:tcW w:w="1286"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 of Variance</w:t>
            </w:r>
          </w:p>
        </w:tc>
        <w:tc>
          <w:tcPr>
            <w:tcW w:w="1300"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Cumulative %</w:t>
            </w:r>
          </w:p>
        </w:tc>
        <w:tc>
          <w:tcPr>
            <w:tcW w:w="1040"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Total</w:t>
            </w:r>
          </w:p>
        </w:tc>
        <w:tc>
          <w:tcPr>
            <w:tcW w:w="1286"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 of Variance</w:t>
            </w:r>
          </w:p>
        </w:tc>
        <w:tc>
          <w:tcPr>
            <w:tcW w:w="1301" w:type="dxa"/>
            <w:tcBorders>
              <w:top w:val="single" w:color="000000" w:sz="8" w:space="0"/>
              <w:left w:val="single" w:color="000000" w:sz="8" w:space="0"/>
              <w:bottom w:val="single" w:color="000000" w:sz="16" w:space="0"/>
              <w:right w:val="single" w:color="000000" w:sz="16"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Cumulative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5" w:hRule="atLeast"/>
        </w:trPr>
        <w:tc>
          <w:tcPr>
            <w:tcW w:w="1150" w:type="dxa"/>
            <w:tcBorders>
              <w:top w:val="single" w:color="000000" w:sz="16" w:space="0"/>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1</w:t>
            </w:r>
          </w:p>
        </w:tc>
        <w:tc>
          <w:tcPr>
            <w:tcW w:w="917" w:type="dxa"/>
            <w:tcBorders>
              <w:top w:val="single" w:color="000000" w:sz="16" w:space="0"/>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4.328</w:t>
            </w:r>
          </w:p>
        </w:tc>
        <w:tc>
          <w:tcPr>
            <w:tcW w:w="1286"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43.283</w:t>
            </w:r>
          </w:p>
        </w:tc>
        <w:tc>
          <w:tcPr>
            <w:tcW w:w="1300"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43.283</w:t>
            </w:r>
          </w:p>
        </w:tc>
        <w:tc>
          <w:tcPr>
            <w:tcW w:w="1040"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4.328</w:t>
            </w:r>
          </w:p>
        </w:tc>
        <w:tc>
          <w:tcPr>
            <w:tcW w:w="1286"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43.283</w:t>
            </w:r>
          </w:p>
        </w:tc>
        <w:tc>
          <w:tcPr>
            <w:tcW w:w="1301" w:type="dxa"/>
            <w:tcBorders>
              <w:top w:val="single" w:color="000000" w:sz="16" w:space="0"/>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43.283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06" w:hRule="atLeast"/>
        </w:trPr>
        <w:tc>
          <w:tcPr>
            <w:tcW w:w="1150"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2</w:t>
            </w:r>
          </w:p>
        </w:tc>
        <w:tc>
          <w:tcPr>
            <w:tcW w:w="917"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3.534</w:t>
            </w:r>
          </w:p>
        </w:tc>
        <w:tc>
          <w:tcPr>
            <w:tcW w:w="128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35.338</w:t>
            </w:r>
          </w:p>
        </w:tc>
        <w:tc>
          <w:tcPr>
            <w:tcW w:w="1300"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78.621</w:t>
            </w:r>
          </w:p>
        </w:tc>
        <w:tc>
          <w:tcPr>
            <w:tcW w:w="1040"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3.534</w:t>
            </w:r>
          </w:p>
        </w:tc>
        <w:tc>
          <w:tcPr>
            <w:tcW w:w="128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35.338</w:t>
            </w:r>
          </w:p>
        </w:tc>
        <w:tc>
          <w:tcPr>
            <w:tcW w:w="130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78.621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14" w:hRule="atLeast"/>
        </w:trPr>
        <w:tc>
          <w:tcPr>
            <w:tcW w:w="1150"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3</w:t>
            </w:r>
          </w:p>
        </w:tc>
        <w:tc>
          <w:tcPr>
            <w:tcW w:w="917"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.576</w:t>
            </w:r>
          </w:p>
        </w:tc>
        <w:tc>
          <w:tcPr>
            <w:tcW w:w="128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5.757</w:t>
            </w:r>
          </w:p>
        </w:tc>
        <w:tc>
          <w:tcPr>
            <w:tcW w:w="1300"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84.378</w:t>
            </w:r>
          </w:p>
        </w:tc>
        <w:tc>
          <w:tcPr>
            <w:tcW w:w="1040"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28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0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14" w:hRule="atLeast"/>
        </w:trPr>
        <w:tc>
          <w:tcPr>
            <w:tcW w:w="1150"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4</w:t>
            </w:r>
          </w:p>
        </w:tc>
        <w:tc>
          <w:tcPr>
            <w:tcW w:w="917"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.542</w:t>
            </w:r>
          </w:p>
        </w:tc>
        <w:tc>
          <w:tcPr>
            <w:tcW w:w="128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5.420</w:t>
            </w:r>
          </w:p>
        </w:tc>
        <w:tc>
          <w:tcPr>
            <w:tcW w:w="1300"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89.798</w:t>
            </w:r>
          </w:p>
        </w:tc>
        <w:tc>
          <w:tcPr>
            <w:tcW w:w="1040"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28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0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14" w:hRule="atLeast"/>
        </w:trPr>
        <w:tc>
          <w:tcPr>
            <w:tcW w:w="1150"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5</w:t>
            </w:r>
          </w:p>
        </w:tc>
        <w:tc>
          <w:tcPr>
            <w:tcW w:w="917"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.327</w:t>
            </w:r>
          </w:p>
        </w:tc>
        <w:tc>
          <w:tcPr>
            <w:tcW w:w="128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3.266</w:t>
            </w:r>
          </w:p>
        </w:tc>
        <w:tc>
          <w:tcPr>
            <w:tcW w:w="1300"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93.064</w:t>
            </w:r>
          </w:p>
        </w:tc>
        <w:tc>
          <w:tcPr>
            <w:tcW w:w="1040"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28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0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14" w:hRule="atLeast"/>
        </w:trPr>
        <w:tc>
          <w:tcPr>
            <w:tcW w:w="1150"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6</w:t>
            </w:r>
          </w:p>
        </w:tc>
        <w:tc>
          <w:tcPr>
            <w:tcW w:w="917"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.197</w:t>
            </w:r>
          </w:p>
        </w:tc>
        <w:tc>
          <w:tcPr>
            <w:tcW w:w="128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1.969</w:t>
            </w:r>
          </w:p>
        </w:tc>
        <w:tc>
          <w:tcPr>
            <w:tcW w:w="1300"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95.033</w:t>
            </w:r>
          </w:p>
        </w:tc>
        <w:tc>
          <w:tcPr>
            <w:tcW w:w="1040"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28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0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14" w:hRule="atLeast"/>
        </w:trPr>
        <w:tc>
          <w:tcPr>
            <w:tcW w:w="1150"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7</w:t>
            </w:r>
          </w:p>
        </w:tc>
        <w:tc>
          <w:tcPr>
            <w:tcW w:w="917"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.174</w:t>
            </w:r>
          </w:p>
        </w:tc>
        <w:tc>
          <w:tcPr>
            <w:tcW w:w="128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1.739</w:t>
            </w:r>
          </w:p>
        </w:tc>
        <w:tc>
          <w:tcPr>
            <w:tcW w:w="1300"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96.773</w:t>
            </w:r>
          </w:p>
        </w:tc>
        <w:tc>
          <w:tcPr>
            <w:tcW w:w="1040"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28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0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14" w:hRule="atLeast"/>
        </w:trPr>
        <w:tc>
          <w:tcPr>
            <w:tcW w:w="1150"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8</w:t>
            </w:r>
          </w:p>
        </w:tc>
        <w:tc>
          <w:tcPr>
            <w:tcW w:w="917"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.157</w:t>
            </w:r>
          </w:p>
        </w:tc>
        <w:tc>
          <w:tcPr>
            <w:tcW w:w="128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1.565</w:t>
            </w:r>
          </w:p>
        </w:tc>
        <w:tc>
          <w:tcPr>
            <w:tcW w:w="1300"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98.338</w:t>
            </w:r>
          </w:p>
        </w:tc>
        <w:tc>
          <w:tcPr>
            <w:tcW w:w="1040"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28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0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14" w:hRule="atLeast"/>
        </w:trPr>
        <w:tc>
          <w:tcPr>
            <w:tcW w:w="1150" w:type="dxa"/>
            <w:tcBorders>
              <w:top w:val="nil"/>
              <w:left w:val="single" w:color="000000" w:sz="16" w:space="0"/>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9</w:t>
            </w:r>
          </w:p>
        </w:tc>
        <w:tc>
          <w:tcPr>
            <w:tcW w:w="917"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.091</w:t>
            </w:r>
          </w:p>
        </w:tc>
        <w:tc>
          <w:tcPr>
            <w:tcW w:w="128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.905</w:t>
            </w:r>
          </w:p>
        </w:tc>
        <w:tc>
          <w:tcPr>
            <w:tcW w:w="1300"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99.243</w:t>
            </w:r>
          </w:p>
        </w:tc>
        <w:tc>
          <w:tcPr>
            <w:tcW w:w="1040"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286"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0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14" w:hRule="atLeast"/>
        </w:trPr>
        <w:tc>
          <w:tcPr>
            <w:tcW w:w="1150" w:type="dxa"/>
            <w:tcBorders>
              <w:top w:val="nil"/>
              <w:left w:val="single" w:color="000000" w:sz="16" w:space="0"/>
              <w:bottom w:val="single" w:color="000000" w:sz="16"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10</w:t>
            </w:r>
          </w:p>
        </w:tc>
        <w:tc>
          <w:tcPr>
            <w:tcW w:w="917" w:type="dxa"/>
            <w:tcBorders>
              <w:top w:val="nil"/>
              <w:left w:val="single" w:color="000000" w:sz="16"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.076</w:t>
            </w:r>
          </w:p>
        </w:tc>
        <w:tc>
          <w:tcPr>
            <w:tcW w:w="1286"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.757</w:t>
            </w:r>
          </w:p>
        </w:tc>
        <w:tc>
          <w:tcPr>
            <w:tcW w:w="1300"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100.000</w:t>
            </w:r>
          </w:p>
        </w:tc>
        <w:tc>
          <w:tcPr>
            <w:tcW w:w="1040"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286"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1301" w:type="dxa"/>
            <w:tcBorders>
              <w:top w:val="nil"/>
              <w:left w:val="single" w:color="000000" w:sz="8" w:space="0"/>
              <w:bottom w:val="single" w:color="000000" w:sz="16" w:space="0"/>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5" w:hRule="atLeast"/>
        </w:trPr>
        <w:tc>
          <w:tcPr>
            <w:tcW w:w="8280" w:type="dxa"/>
            <w:gridSpan w:val="7"/>
            <w:tcBorders>
              <w:top w:val="nil"/>
              <w:left w:val="nil"/>
              <w:bottom w:val="nil"/>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Extraction Method: Principal Component Analysis.</w:t>
            </w:r>
          </w:p>
        </w:tc>
      </w:tr>
    </w:tbl>
    <w:p>
      <w:pPr>
        <w:spacing w:before="120" w:after="120"/>
        <w:rPr>
          <w:rFonts w:cs="Times New Roman"/>
        </w:rPr>
      </w:pPr>
    </w:p>
    <w:p>
      <w:pPr>
        <w:spacing w:before="120" w:after="120"/>
        <w:rPr>
          <w:rFonts w:cs="Times New Roman"/>
        </w:rPr>
      </w:pPr>
      <w:r>
        <w:rPr>
          <w:rFonts w:cs="Times New Roman"/>
        </w:rPr>
        <w:t xml:space="preserve">The </w:t>
      </w:r>
      <w:r>
        <w:rPr>
          <w:rFonts w:hint="eastAsia" w:eastAsia="宋体" w:cs="Times New Roman"/>
        </w:rPr>
        <w:t xml:space="preserve">above </w:t>
      </w:r>
      <w:r>
        <w:rPr>
          <w:rFonts w:cs="Times New Roman"/>
        </w:rPr>
        <w:t>both tables displayed the result of KMO value is 0.</w:t>
      </w:r>
      <w:r>
        <w:rPr>
          <w:rFonts w:hint="eastAsia" w:eastAsia="宋体" w:cs="Times New Roman"/>
        </w:rPr>
        <w:t>82 and 0.80</w:t>
      </w:r>
      <w:r>
        <w:rPr>
          <w:rFonts w:cs="Times New Roman"/>
        </w:rPr>
        <w:t xml:space="preserve">, which </w:t>
      </w:r>
      <w:r>
        <w:rPr>
          <w:rFonts w:hint="eastAsia" w:eastAsia="宋体" w:cs="Times New Roman"/>
        </w:rPr>
        <w:t xml:space="preserve">are </w:t>
      </w:r>
      <w:r>
        <w:rPr>
          <w:rFonts w:cs="Times New Roman"/>
        </w:rPr>
        <w:t xml:space="preserve">above 0.70 and the result of </w:t>
      </w:r>
      <w:r>
        <w:rPr>
          <w:rFonts w:hint="eastAsia" w:eastAsia="宋体" w:cs="Times New Roman"/>
        </w:rPr>
        <w:t>c</w:t>
      </w:r>
      <w:r>
        <w:rPr>
          <w:rFonts w:cs="Times New Roman"/>
        </w:rPr>
        <w:t xml:space="preserve">ommunalities </w:t>
      </w:r>
      <w:r>
        <w:rPr>
          <w:rFonts w:eastAsia="宋体" w:cs="Times New Roman"/>
        </w:rPr>
        <w:t>t</w:t>
      </w:r>
      <w:r>
        <w:rPr>
          <w:rFonts w:cs="Times New Roman"/>
        </w:rPr>
        <w:t xml:space="preserve">able </w:t>
      </w:r>
      <w:r>
        <w:rPr>
          <w:rFonts w:eastAsia="宋体" w:cs="Times New Roman"/>
        </w:rPr>
        <w:t xml:space="preserve">and </w:t>
      </w:r>
      <w:r>
        <w:rPr>
          <w:rFonts w:hint="eastAsia" w:eastAsia="宋体" w:cs="Times New Roman"/>
        </w:rPr>
        <w:t>t</w:t>
      </w:r>
      <w:r>
        <w:rPr>
          <w:rFonts w:cs="Times New Roman"/>
        </w:rPr>
        <w:t xml:space="preserve">otal </w:t>
      </w:r>
      <w:r>
        <w:rPr>
          <w:rFonts w:hint="eastAsia" w:eastAsia="宋体" w:cs="Times New Roman"/>
        </w:rPr>
        <w:t>v</w:t>
      </w:r>
      <w:r>
        <w:rPr>
          <w:rFonts w:cs="Times New Roman"/>
        </w:rPr>
        <w:t xml:space="preserve">ariance </w:t>
      </w:r>
      <w:r>
        <w:rPr>
          <w:rFonts w:hint="eastAsia" w:eastAsia="宋体" w:cs="Times New Roman"/>
        </w:rPr>
        <w:t>t</w:t>
      </w:r>
      <w:r>
        <w:rPr>
          <w:rFonts w:cs="Times New Roman"/>
        </w:rPr>
        <w:t>able</w:t>
      </w:r>
      <w:r>
        <w:rPr>
          <w:rFonts w:eastAsia="宋体" w:cs="Times New Roman"/>
        </w:rPr>
        <w:t xml:space="preserve"> </w:t>
      </w:r>
      <w:r>
        <w:rPr>
          <w:rFonts w:cs="Times New Roman"/>
        </w:rPr>
        <w:t>that indicated all the items are exceeded the principle, which means 2 constructs in the study are</w:t>
      </w:r>
      <w:r>
        <w:rPr>
          <w:rFonts w:eastAsia="宋体" w:cs="Times New Roman"/>
        </w:rPr>
        <w:t xml:space="preserve"> </w:t>
      </w:r>
      <w:r>
        <w:rPr>
          <w:rFonts w:cs="Times New Roman"/>
        </w:rPr>
        <w:t>considered as applicable and suitable. Eigenvalue has been observed as well through factor analysis. Eigenvalue should have value more than 1 for each construct in this research therefore the table below showed the Eigenvalues for all construct and based on the requirement which is value &gt; 1 thus it fulfilled the requirement.</w:t>
      </w:r>
    </w:p>
    <w:p>
      <w:pPr>
        <w:spacing w:before="120" w:after="120"/>
        <w:rPr>
          <w:rFonts w:cs="Times New Roman"/>
        </w:rPr>
      </w:pPr>
    </w:p>
    <w:p>
      <w:pPr>
        <w:spacing w:before="120" w:after="120"/>
        <w:rPr>
          <w:rFonts w:cs="Times New Roman"/>
        </w:rPr>
      </w:pPr>
    </w:p>
    <w:p>
      <w:pPr>
        <w:pStyle w:val="4"/>
        <w:spacing w:before="120" w:after="120"/>
        <w:rPr>
          <w:rFonts w:cs="Times New Roman"/>
        </w:rPr>
      </w:pPr>
      <w:bookmarkStart w:id="239" w:name="_Toc530662040"/>
      <w:bookmarkStart w:id="240" w:name="_Toc14624_WPSOffice_Level3"/>
      <w:bookmarkStart w:id="241" w:name="_Toc953_WPSOffice_Level3"/>
      <w:r>
        <w:rPr>
          <w:rFonts w:cs="Times New Roman"/>
        </w:rPr>
        <w:t>4.4.2 Reliability Analysis</w:t>
      </w:r>
      <w:bookmarkEnd w:id="239"/>
      <w:bookmarkEnd w:id="240"/>
      <w:bookmarkEnd w:id="241"/>
      <w:r>
        <w:rPr>
          <w:rFonts w:cs="Times New Roman"/>
        </w:rPr>
        <w:t xml:space="preserve"> </w:t>
      </w:r>
    </w:p>
    <w:p>
      <w:pPr>
        <w:spacing w:before="120" w:after="120"/>
        <w:rPr>
          <w:rFonts w:cs="Times New Roman"/>
        </w:rPr>
      </w:pPr>
    </w:p>
    <w:p>
      <w:pPr>
        <w:spacing w:before="120" w:after="120"/>
        <w:rPr>
          <w:rFonts w:eastAsia="宋体" w:cs="Times New Roman"/>
        </w:rPr>
      </w:pPr>
      <w:r>
        <w:rPr>
          <w:rFonts w:cs="Times New Roman"/>
        </w:rPr>
        <w:t xml:space="preserve">Table </w:t>
      </w:r>
      <w:r>
        <w:rPr>
          <w:rFonts w:eastAsia="宋体" w:cs="Times New Roman"/>
        </w:rPr>
        <w:t xml:space="preserve">4.11 </w:t>
      </w:r>
      <w:r>
        <w:rPr>
          <w:rFonts w:cs="Times New Roman"/>
        </w:rPr>
        <w:t>: Full Scale of Data – Reliability Test</w:t>
      </w:r>
    </w:p>
    <w:tbl>
      <w:tblPr>
        <w:tblStyle w:val="14"/>
        <w:tblW w:w="8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08"/>
        <w:gridCol w:w="3004"/>
        <w:gridCol w:w="2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89" w:hRule="atLeast"/>
        </w:trPr>
        <w:tc>
          <w:tcPr>
            <w:tcW w:w="8360" w:type="dxa"/>
            <w:gridSpan w:val="3"/>
            <w:shd w:val="clear" w:color="auto" w:fill="FFFFFF"/>
            <w:vAlign w:val="center"/>
          </w:tcPr>
          <w:p>
            <w:pPr>
              <w:autoSpaceDE w:val="0"/>
              <w:autoSpaceDN w:val="0"/>
              <w:adjustRightInd w:val="0"/>
              <w:spacing w:before="120" w:after="120"/>
              <w:ind w:left="60" w:right="60"/>
              <w:jc w:val="center"/>
              <w:rPr>
                <w:rFonts w:cs="Arial"/>
                <w:color w:val="000000"/>
                <w:sz w:val="20"/>
                <w:szCs w:val="20"/>
              </w:rPr>
            </w:pPr>
            <w:r>
              <w:rPr>
                <w:rFonts w:cs="Arial"/>
                <w:b/>
                <w:bCs/>
                <w:color w:val="000000"/>
                <w:sz w:val="20"/>
                <w:szCs w:val="20"/>
              </w:rPr>
              <w:t>Reliability 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770" w:hRule="atLeast"/>
        </w:trPr>
        <w:tc>
          <w:tcPr>
            <w:tcW w:w="3008" w:type="dxa"/>
            <w:shd w:val="clear" w:color="auto" w:fill="FFFFFF"/>
            <w:vAlign w:val="bottom"/>
          </w:tcPr>
          <w:p>
            <w:pPr>
              <w:autoSpaceDE w:val="0"/>
              <w:autoSpaceDN w:val="0"/>
              <w:adjustRightInd w:val="0"/>
              <w:spacing w:before="120" w:after="120"/>
              <w:ind w:left="60" w:right="60"/>
              <w:jc w:val="center"/>
              <w:rPr>
                <w:rFonts w:cs="Arial"/>
                <w:color w:val="000000"/>
                <w:sz w:val="18"/>
                <w:szCs w:val="18"/>
              </w:rPr>
            </w:pPr>
            <w:r>
              <w:rPr>
                <w:rFonts w:cs="Arial"/>
                <w:color w:val="000000"/>
                <w:sz w:val="18"/>
                <w:szCs w:val="18"/>
              </w:rPr>
              <w:t>Cronbach's Alpha</w:t>
            </w:r>
          </w:p>
        </w:tc>
        <w:tc>
          <w:tcPr>
            <w:tcW w:w="3004" w:type="dxa"/>
            <w:shd w:val="clear" w:color="auto" w:fill="FFFFFF"/>
            <w:vAlign w:val="bottom"/>
          </w:tcPr>
          <w:p>
            <w:pPr>
              <w:autoSpaceDE w:val="0"/>
              <w:autoSpaceDN w:val="0"/>
              <w:adjustRightInd w:val="0"/>
              <w:spacing w:before="120" w:after="120"/>
              <w:ind w:left="60" w:right="60"/>
              <w:jc w:val="center"/>
              <w:rPr>
                <w:rFonts w:cs="Arial"/>
                <w:color w:val="000000"/>
                <w:sz w:val="18"/>
                <w:szCs w:val="18"/>
              </w:rPr>
            </w:pPr>
            <w:r>
              <w:rPr>
                <w:rFonts w:cs="Arial"/>
                <w:color w:val="000000"/>
                <w:sz w:val="18"/>
                <w:szCs w:val="18"/>
              </w:rPr>
              <w:t>Cronbach's Alpha Based on Standardized Items</w:t>
            </w:r>
          </w:p>
        </w:tc>
        <w:tc>
          <w:tcPr>
            <w:tcW w:w="2348" w:type="dxa"/>
            <w:shd w:val="clear" w:color="auto" w:fill="FFFFFF"/>
            <w:vAlign w:val="bottom"/>
          </w:tcPr>
          <w:p>
            <w:pPr>
              <w:autoSpaceDE w:val="0"/>
              <w:autoSpaceDN w:val="0"/>
              <w:adjustRightInd w:val="0"/>
              <w:spacing w:before="120" w:after="120"/>
              <w:ind w:left="60" w:right="60"/>
              <w:jc w:val="center"/>
              <w:rPr>
                <w:rFonts w:cs="Arial"/>
                <w:color w:val="000000"/>
                <w:sz w:val="18"/>
                <w:szCs w:val="18"/>
              </w:rPr>
            </w:pPr>
            <w:r>
              <w:rPr>
                <w:rFonts w:cs="Arial"/>
                <w:color w:val="000000"/>
                <w:sz w:val="18"/>
                <w:szCs w:val="18"/>
              </w:rPr>
              <w:t>N of Items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98" w:hRule="atLeast"/>
        </w:trPr>
        <w:tc>
          <w:tcPr>
            <w:tcW w:w="3008" w:type="dxa"/>
            <w:shd w:val="clear" w:color="auto" w:fill="FFFFFF"/>
          </w:tcPr>
          <w:p>
            <w:pPr>
              <w:autoSpaceDE w:val="0"/>
              <w:autoSpaceDN w:val="0"/>
              <w:adjustRightInd w:val="0"/>
              <w:spacing w:before="120" w:after="120"/>
              <w:ind w:left="60" w:right="60"/>
              <w:jc w:val="right"/>
              <w:rPr>
                <w:rFonts w:cs="Arial"/>
                <w:color w:val="000000"/>
                <w:sz w:val="18"/>
                <w:szCs w:val="18"/>
              </w:rPr>
            </w:pPr>
            <w:r>
              <w:rPr>
                <w:rFonts w:ascii="Arial" w:hAnsi="Arial"/>
                <w:sz w:val="18"/>
                <w:szCs w:val="18"/>
              </w:rPr>
              <w:t>.845</w:t>
            </w:r>
          </w:p>
        </w:tc>
        <w:tc>
          <w:tcPr>
            <w:tcW w:w="3004" w:type="dxa"/>
            <w:shd w:val="clear" w:color="auto" w:fill="FFFFFF"/>
          </w:tcPr>
          <w:p>
            <w:pPr>
              <w:autoSpaceDE w:val="0"/>
              <w:autoSpaceDN w:val="0"/>
              <w:adjustRightInd w:val="0"/>
              <w:spacing w:before="120" w:after="120"/>
              <w:ind w:left="60" w:right="60"/>
              <w:jc w:val="right"/>
              <w:rPr>
                <w:rFonts w:eastAsia="宋体" w:cs="Arial"/>
                <w:color w:val="000000"/>
                <w:sz w:val="18"/>
                <w:szCs w:val="18"/>
              </w:rPr>
            </w:pPr>
            <w:r>
              <w:rPr>
                <w:rFonts w:ascii="Arial" w:hAnsi="Arial"/>
                <w:sz w:val="18"/>
                <w:szCs w:val="18"/>
              </w:rPr>
              <w:t>.84</w:t>
            </w:r>
            <w:r>
              <w:rPr>
                <w:rFonts w:hint="eastAsia" w:eastAsia="宋体"/>
                <w:sz w:val="18"/>
                <w:szCs w:val="18"/>
              </w:rPr>
              <w:t>6</w:t>
            </w:r>
          </w:p>
        </w:tc>
        <w:tc>
          <w:tcPr>
            <w:tcW w:w="2348" w:type="dxa"/>
            <w:shd w:val="clear" w:color="auto" w:fill="FFFFFF"/>
          </w:tcPr>
          <w:p>
            <w:pPr>
              <w:autoSpaceDE w:val="0"/>
              <w:autoSpaceDN w:val="0"/>
              <w:adjustRightInd w:val="0"/>
              <w:spacing w:before="120" w:after="120"/>
              <w:ind w:left="60" w:right="60"/>
              <w:jc w:val="right"/>
              <w:rPr>
                <w:rFonts w:eastAsia="宋体" w:cs="Arial"/>
                <w:color w:val="000000"/>
                <w:sz w:val="18"/>
                <w:szCs w:val="18"/>
              </w:rPr>
            </w:pPr>
            <w:r>
              <w:rPr>
                <w:rFonts w:cs="Arial"/>
                <w:color w:val="000000"/>
                <w:sz w:val="18"/>
                <w:szCs w:val="18"/>
              </w:rPr>
              <w:t>1</w:t>
            </w:r>
            <w:r>
              <w:rPr>
                <w:rFonts w:hint="eastAsia" w:eastAsia="宋体" w:cs="Arial"/>
                <w:color w:val="000000"/>
                <w:sz w:val="18"/>
                <w:szCs w:val="18"/>
              </w:rPr>
              <w:t>5</w:t>
            </w:r>
          </w:p>
        </w:tc>
      </w:tr>
    </w:tbl>
    <w:p>
      <w:pPr>
        <w:spacing w:before="120" w:after="120"/>
        <w:rPr>
          <w:rFonts w:eastAsia="宋体" w:cs="Times New Roman"/>
        </w:rPr>
      </w:pPr>
    </w:p>
    <w:p>
      <w:pPr>
        <w:spacing w:before="120" w:after="120"/>
        <w:rPr>
          <w:rFonts w:cs="Times New Roman"/>
        </w:rPr>
      </w:pPr>
    </w:p>
    <w:p>
      <w:pPr>
        <w:spacing w:before="120" w:after="120"/>
        <w:rPr>
          <w:rFonts w:cs="Times New Roman"/>
        </w:rPr>
      </w:pPr>
    </w:p>
    <w:p>
      <w:pPr>
        <w:spacing w:before="120" w:after="120"/>
        <w:rPr>
          <w:rFonts w:cs="Times New Roman"/>
        </w:rPr>
      </w:pPr>
    </w:p>
    <w:p>
      <w:pPr>
        <w:spacing w:before="120" w:after="120"/>
        <w:rPr>
          <w:rFonts w:cs="Times New Roman"/>
        </w:rPr>
      </w:pPr>
    </w:p>
    <w:p>
      <w:pPr>
        <w:spacing w:before="120" w:after="120"/>
        <w:rPr>
          <w:rFonts w:cs="Times New Roman"/>
        </w:rPr>
      </w:pPr>
    </w:p>
    <w:p>
      <w:pPr>
        <w:spacing w:before="120" w:after="120"/>
        <w:rPr>
          <w:rFonts w:cs="Times New Roman"/>
        </w:rPr>
      </w:pPr>
    </w:p>
    <w:p>
      <w:pPr>
        <w:spacing w:before="120" w:after="120"/>
        <w:rPr>
          <w:rFonts w:cs="Times New Roman"/>
        </w:rPr>
      </w:pPr>
      <w:r>
        <w:rPr>
          <w:rFonts w:cs="Times New Roman"/>
        </w:rPr>
        <w:t xml:space="preserve">Table </w:t>
      </w:r>
      <w:r>
        <w:rPr>
          <w:rFonts w:eastAsia="宋体" w:cs="Times New Roman"/>
        </w:rPr>
        <w:t xml:space="preserve">4.12 </w:t>
      </w:r>
      <w:r>
        <w:rPr>
          <w:rFonts w:cs="Times New Roman"/>
        </w:rPr>
        <w:t>: Full Scale of Data - Cronbach Alpha if Specific Items were Deleted</w:t>
      </w:r>
    </w:p>
    <w:p>
      <w:pPr>
        <w:spacing w:before="120" w:after="120"/>
        <w:rPr>
          <w:rFonts w:cs="Times New Roman"/>
        </w:rPr>
      </w:pPr>
    </w:p>
    <w:tbl>
      <w:tblPr>
        <w:tblStyle w:val="14"/>
        <w:tblW w:w="8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54"/>
        <w:gridCol w:w="1315"/>
        <w:gridCol w:w="1519"/>
        <w:gridCol w:w="1189"/>
        <w:gridCol w:w="1189"/>
        <w:gridCol w:w="1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40" w:hRule="atLeast"/>
        </w:trPr>
        <w:tc>
          <w:tcPr>
            <w:tcW w:w="8320" w:type="dxa"/>
            <w:gridSpan w:val="6"/>
            <w:shd w:val="clear" w:color="auto" w:fill="FFFFFF"/>
            <w:vAlign w:val="center"/>
          </w:tcPr>
          <w:p>
            <w:pPr>
              <w:autoSpaceDE w:val="0"/>
              <w:autoSpaceDN w:val="0"/>
              <w:adjustRightInd w:val="0"/>
              <w:spacing w:before="120" w:after="120"/>
              <w:ind w:left="60" w:right="60"/>
              <w:jc w:val="center"/>
              <w:rPr>
                <w:rFonts w:cs="Times New Roman"/>
                <w:color w:val="000000"/>
                <w:sz w:val="21"/>
                <w:szCs w:val="21"/>
              </w:rPr>
            </w:pPr>
            <w:r>
              <w:rPr>
                <w:rFonts w:cs="Times New Roman"/>
                <w:b/>
                <w:bCs/>
                <w:color w:val="000000"/>
                <w:sz w:val="21"/>
                <w:szCs w:val="21"/>
              </w:rPr>
              <w:t>Item-Total Statistics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956" w:hRule="atLeast"/>
        </w:trPr>
        <w:tc>
          <w:tcPr>
            <w:tcW w:w="1654" w:type="dxa"/>
            <w:shd w:val="clear" w:color="auto" w:fill="FFFFFF"/>
            <w:vAlign w:val="bottom"/>
          </w:tcPr>
          <w:p>
            <w:pPr>
              <w:autoSpaceDE w:val="0"/>
              <w:autoSpaceDN w:val="0"/>
              <w:adjustRightInd w:val="0"/>
              <w:spacing w:before="120" w:after="120"/>
              <w:jc w:val="left"/>
              <w:rPr>
                <w:rFonts w:cs="Times New Roman"/>
                <w:sz w:val="21"/>
                <w:szCs w:val="21"/>
              </w:rPr>
            </w:pPr>
          </w:p>
        </w:tc>
        <w:tc>
          <w:tcPr>
            <w:tcW w:w="1315" w:type="dxa"/>
            <w:shd w:val="clear" w:color="auto" w:fill="FFFFFF"/>
            <w:vAlign w:val="bottom"/>
          </w:tcPr>
          <w:p>
            <w:pPr>
              <w:autoSpaceDE w:val="0"/>
              <w:autoSpaceDN w:val="0"/>
              <w:adjustRightInd w:val="0"/>
              <w:spacing w:before="120" w:after="120"/>
              <w:ind w:left="60" w:right="60"/>
              <w:rPr>
                <w:rFonts w:cs="Times New Roman"/>
                <w:color w:val="000000"/>
                <w:sz w:val="21"/>
                <w:szCs w:val="21"/>
              </w:rPr>
            </w:pPr>
            <w:r>
              <w:rPr>
                <w:rFonts w:cs="Times New Roman"/>
                <w:color w:val="000000"/>
                <w:sz w:val="21"/>
                <w:szCs w:val="21"/>
              </w:rPr>
              <w:t>Scale Mean if Item Deleted</w:t>
            </w:r>
          </w:p>
        </w:tc>
        <w:tc>
          <w:tcPr>
            <w:tcW w:w="1519" w:type="dxa"/>
            <w:shd w:val="clear" w:color="auto" w:fill="FFFFFF"/>
            <w:vAlign w:val="bottom"/>
          </w:tcPr>
          <w:p>
            <w:pPr>
              <w:autoSpaceDE w:val="0"/>
              <w:autoSpaceDN w:val="0"/>
              <w:adjustRightInd w:val="0"/>
              <w:spacing w:before="120" w:after="120"/>
              <w:ind w:left="60" w:right="60"/>
              <w:jc w:val="center"/>
              <w:rPr>
                <w:rFonts w:cs="Times New Roman"/>
                <w:color w:val="000000"/>
                <w:sz w:val="21"/>
                <w:szCs w:val="21"/>
              </w:rPr>
            </w:pPr>
            <w:r>
              <w:rPr>
                <w:rFonts w:cs="Times New Roman"/>
                <w:color w:val="000000"/>
                <w:sz w:val="21"/>
                <w:szCs w:val="21"/>
              </w:rPr>
              <w:t>Scale Variance if Item Deleted</w:t>
            </w:r>
          </w:p>
        </w:tc>
        <w:tc>
          <w:tcPr>
            <w:tcW w:w="1189" w:type="dxa"/>
            <w:shd w:val="clear" w:color="auto" w:fill="FFFFFF"/>
            <w:vAlign w:val="bottom"/>
          </w:tcPr>
          <w:p>
            <w:pPr>
              <w:autoSpaceDE w:val="0"/>
              <w:autoSpaceDN w:val="0"/>
              <w:adjustRightInd w:val="0"/>
              <w:spacing w:before="120" w:after="120"/>
              <w:ind w:left="60" w:right="60"/>
              <w:jc w:val="center"/>
              <w:rPr>
                <w:rFonts w:cs="Times New Roman"/>
                <w:color w:val="FF0000"/>
                <w:sz w:val="21"/>
                <w:szCs w:val="21"/>
              </w:rPr>
            </w:pPr>
            <w:r>
              <w:rPr>
                <w:rFonts w:cs="Times New Roman"/>
                <w:color w:val="FF0000"/>
                <w:sz w:val="21"/>
                <w:szCs w:val="21"/>
              </w:rPr>
              <w:t>Corrected Item-Total Correlation</w:t>
            </w:r>
          </w:p>
          <w:p>
            <w:pPr>
              <w:autoSpaceDE w:val="0"/>
              <w:autoSpaceDN w:val="0"/>
              <w:adjustRightInd w:val="0"/>
              <w:spacing w:before="120" w:after="120"/>
              <w:ind w:left="60" w:right="60"/>
              <w:jc w:val="center"/>
              <w:rPr>
                <w:rFonts w:cs="Times New Roman"/>
                <w:color w:val="000000"/>
                <w:sz w:val="21"/>
                <w:szCs w:val="21"/>
              </w:rPr>
            </w:pPr>
            <w:r>
              <w:rPr>
                <w:rFonts w:cs="Times New Roman"/>
                <w:color w:val="FF0000"/>
                <w:sz w:val="21"/>
                <w:szCs w:val="21"/>
              </w:rPr>
              <w:t>(follow the pilot test)</w:t>
            </w:r>
          </w:p>
        </w:tc>
        <w:tc>
          <w:tcPr>
            <w:tcW w:w="1189" w:type="dxa"/>
            <w:shd w:val="clear" w:color="auto" w:fill="FFFFFF"/>
            <w:vAlign w:val="bottom"/>
          </w:tcPr>
          <w:p>
            <w:pPr>
              <w:autoSpaceDE w:val="0"/>
              <w:autoSpaceDN w:val="0"/>
              <w:adjustRightInd w:val="0"/>
              <w:spacing w:before="120" w:after="120"/>
              <w:ind w:left="60" w:right="60"/>
              <w:jc w:val="center"/>
              <w:rPr>
                <w:rFonts w:cs="Times New Roman"/>
                <w:color w:val="FF0000"/>
                <w:sz w:val="21"/>
                <w:szCs w:val="21"/>
              </w:rPr>
            </w:pPr>
            <w:r>
              <w:rPr>
                <w:rFonts w:cs="Times New Roman"/>
                <w:color w:val="FF0000"/>
                <w:sz w:val="21"/>
                <w:szCs w:val="21"/>
              </w:rPr>
              <w:t>Squared Multiple Correlation (DELETE – as per pilot)</w:t>
            </w:r>
          </w:p>
        </w:tc>
        <w:tc>
          <w:tcPr>
            <w:tcW w:w="1454" w:type="dxa"/>
            <w:shd w:val="clear" w:color="auto" w:fill="FFFFFF"/>
            <w:vAlign w:val="bottom"/>
          </w:tcPr>
          <w:p>
            <w:pPr>
              <w:autoSpaceDE w:val="0"/>
              <w:autoSpaceDN w:val="0"/>
              <w:adjustRightInd w:val="0"/>
              <w:spacing w:before="120" w:after="120"/>
              <w:ind w:left="60" w:right="60"/>
              <w:jc w:val="center"/>
              <w:rPr>
                <w:rFonts w:cs="Times New Roman"/>
                <w:color w:val="000000"/>
                <w:sz w:val="21"/>
                <w:szCs w:val="21"/>
              </w:rPr>
            </w:pPr>
            <w:r>
              <w:rPr>
                <w:rFonts w:cs="Times New Roman"/>
                <w:color w:val="000000"/>
                <w:sz w:val="21"/>
                <w:szCs w:val="21"/>
              </w:rPr>
              <w:t>Cronbach's Alpha if Item Deleted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4" w:hRule="atLeast"/>
        </w:trPr>
        <w:tc>
          <w:tcPr>
            <w:tcW w:w="1654" w:type="dxa"/>
            <w:shd w:val="clear" w:color="auto" w:fill="D8D8D8" w:themeFill="background1" w:themeFillShade="D9"/>
          </w:tcPr>
          <w:p>
            <w:pPr>
              <w:autoSpaceDE w:val="0"/>
              <w:autoSpaceDN w:val="0"/>
              <w:adjustRightInd w:val="0"/>
              <w:spacing w:before="120" w:after="120"/>
              <w:ind w:left="60" w:right="60"/>
              <w:jc w:val="left"/>
              <w:rPr>
                <w:rFonts w:eastAsia="宋体" w:cs="Times New Roman"/>
                <w:color w:val="000000"/>
                <w:sz w:val="21"/>
                <w:szCs w:val="21"/>
              </w:rPr>
            </w:pPr>
            <w:r>
              <w:rPr>
                <w:rFonts w:eastAsia="宋体" w:cs="Times New Roman"/>
                <w:sz w:val="21"/>
                <w:szCs w:val="21"/>
              </w:rPr>
              <w:t>DV1</w:t>
            </w:r>
          </w:p>
        </w:tc>
        <w:tc>
          <w:tcPr>
            <w:tcW w:w="13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15.25</w:t>
            </w:r>
          </w:p>
        </w:tc>
        <w:tc>
          <w:tcPr>
            <w:tcW w:w="151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11.629</w:t>
            </w:r>
          </w:p>
        </w:tc>
        <w:tc>
          <w:tcPr>
            <w:tcW w:w="118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.813</w:t>
            </w:r>
          </w:p>
        </w:tc>
        <w:tc>
          <w:tcPr>
            <w:tcW w:w="1189"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4"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4" w:hRule="atLeast"/>
        </w:trPr>
        <w:tc>
          <w:tcPr>
            <w:tcW w:w="1654" w:type="dxa"/>
            <w:shd w:val="clear" w:color="auto" w:fill="D8D8D8" w:themeFill="background1" w:themeFillShade="D9"/>
          </w:tcPr>
          <w:p>
            <w:pPr>
              <w:autoSpaceDE w:val="0"/>
              <w:autoSpaceDN w:val="0"/>
              <w:adjustRightInd w:val="0"/>
              <w:spacing w:before="120" w:after="120"/>
              <w:ind w:left="60" w:right="60"/>
              <w:jc w:val="left"/>
              <w:rPr>
                <w:rFonts w:eastAsia="宋体" w:cs="Times New Roman"/>
                <w:color w:val="000000"/>
                <w:sz w:val="21"/>
                <w:szCs w:val="21"/>
              </w:rPr>
            </w:pPr>
            <w:r>
              <w:rPr>
                <w:rFonts w:eastAsia="宋体" w:cs="Times New Roman"/>
                <w:sz w:val="21"/>
                <w:szCs w:val="21"/>
              </w:rPr>
              <w:t>DV2</w:t>
            </w:r>
          </w:p>
        </w:tc>
        <w:tc>
          <w:tcPr>
            <w:tcW w:w="13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11.629</w:t>
            </w:r>
          </w:p>
        </w:tc>
        <w:tc>
          <w:tcPr>
            <w:tcW w:w="151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11.378</w:t>
            </w:r>
          </w:p>
        </w:tc>
        <w:tc>
          <w:tcPr>
            <w:tcW w:w="118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.672</w:t>
            </w:r>
          </w:p>
        </w:tc>
        <w:tc>
          <w:tcPr>
            <w:tcW w:w="1189"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4"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4" w:hRule="atLeast"/>
        </w:trPr>
        <w:tc>
          <w:tcPr>
            <w:tcW w:w="1654" w:type="dxa"/>
            <w:shd w:val="clear" w:color="auto" w:fill="D8D8D8" w:themeFill="background1" w:themeFillShade="D9"/>
          </w:tcPr>
          <w:p>
            <w:pPr>
              <w:autoSpaceDE w:val="0"/>
              <w:autoSpaceDN w:val="0"/>
              <w:adjustRightInd w:val="0"/>
              <w:spacing w:before="120" w:after="120"/>
              <w:ind w:left="60" w:right="60"/>
              <w:jc w:val="left"/>
              <w:rPr>
                <w:rFonts w:eastAsia="宋体" w:cs="Times New Roman"/>
                <w:color w:val="000000"/>
                <w:sz w:val="21"/>
                <w:szCs w:val="21"/>
              </w:rPr>
            </w:pPr>
            <w:r>
              <w:rPr>
                <w:rFonts w:eastAsia="宋体" w:cs="Times New Roman"/>
                <w:sz w:val="21"/>
                <w:szCs w:val="21"/>
              </w:rPr>
              <w:t>DV3</w:t>
            </w:r>
          </w:p>
        </w:tc>
        <w:tc>
          <w:tcPr>
            <w:tcW w:w="13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.813</w:t>
            </w:r>
          </w:p>
        </w:tc>
        <w:tc>
          <w:tcPr>
            <w:tcW w:w="151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11.134</w:t>
            </w:r>
          </w:p>
        </w:tc>
        <w:tc>
          <w:tcPr>
            <w:tcW w:w="118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.819</w:t>
            </w:r>
          </w:p>
        </w:tc>
        <w:tc>
          <w:tcPr>
            <w:tcW w:w="1189"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4"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4" w:hRule="atLeast"/>
        </w:trPr>
        <w:tc>
          <w:tcPr>
            <w:tcW w:w="1654" w:type="dxa"/>
            <w:shd w:val="clear" w:color="auto" w:fill="D8D8D8" w:themeFill="background1" w:themeFillShade="D9"/>
          </w:tcPr>
          <w:p>
            <w:pPr>
              <w:autoSpaceDE w:val="0"/>
              <w:autoSpaceDN w:val="0"/>
              <w:adjustRightInd w:val="0"/>
              <w:spacing w:before="120" w:after="120"/>
              <w:ind w:left="60" w:right="60"/>
              <w:jc w:val="left"/>
              <w:rPr>
                <w:rFonts w:cs="Times New Roman"/>
                <w:color w:val="000000"/>
                <w:sz w:val="21"/>
                <w:szCs w:val="21"/>
              </w:rPr>
            </w:pPr>
            <w:r>
              <w:rPr>
                <w:rFonts w:eastAsia="宋体" w:cs="Times New Roman"/>
                <w:sz w:val="21"/>
                <w:szCs w:val="21"/>
              </w:rPr>
              <w:t>DV</w:t>
            </w:r>
            <w:r>
              <w:rPr>
                <w:rFonts w:cs="Times New Roman"/>
                <w:sz w:val="21"/>
                <w:szCs w:val="21"/>
              </w:rPr>
              <w:t>4</w:t>
            </w:r>
          </w:p>
        </w:tc>
        <w:tc>
          <w:tcPr>
            <w:tcW w:w="13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15.25</w:t>
            </w:r>
          </w:p>
        </w:tc>
        <w:tc>
          <w:tcPr>
            <w:tcW w:w="151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11.214</w:t>
            </w:r>
          </w:p>
        </w:tc>
        <w:tc>
          <w:tcPr>
            <w:tcW w:w="118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.800</w:t>
            </w:r>
          </w:p>
        </w:tc>
        <w:tc>
          <w:tcPr>
            <w:tcW w:w="1189"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4"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4" w:hRule="atLeast"/>
        </w:trPr>
        <w:tc>
          <w:tcPr>
            <w:tcW w:w="1654" w:type="dxa"/>
            <w:shd w:val="clear" w:color="auto" w:fill="D8D8D8" w:themeFill="background1" w:themeFillShade="D9"/>
          </w:tcPr>
          <w:p>
            <w:pPr>
              <w:autoSpaceDE w:val="0"/>
              <w:autoSpaceDN w:val="0"/>
              <w:adjustRightInd w:val="0"/>
              <w:spacing w:before="120" w:after="120"/>
              <w:ind w:left="60" w:right="60"/>
              <w:jc w:val="left"/>
              <w:rPr>
                <w:rFonts w:cs="Times New Roman"/>
                <w:color w:val="000000"/>
                <w:sz w:val="21"/>
                <w:szCs w:val="21"/>
              </w:rPr>
            </w:pPr>
            <w:r>
              <w:rPr>
                <w:rFonts w:eastAsia="宋体" w:cs="Times New Roman"/>
                <w:sz w:val="21"/>
                <w:szCs w:val="21"/>
              </w:rPr>
              <w:t>DV</w:t>
            </w:r>
            <w:r>
              <w:rPr>
                <w:rFonts w:cs="Times New Roman"/>
                <w:sz w:val="21"/>
                <w:szCs w:val="21"/>
              </w:rPr>
              <w:t>5</w:t>
            </w:r>
          </w:p>
        </w:tc>
        <w:tc>
          <w:tcPr>
            <w:tcW w:w="13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11.378</w:t>
            </w:r>
          </w:p>
        </w:tc>
        <w:tc>
          <w:tcPr>
            <w:tcW w:w="151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11.581</w:t>
            </w:r>
          </w:p>
        </w:tc>
        <w:tc>
          <w:tcPr>
            <w:tcW w:w="118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.773</w:t>
            </w:r>
          </w:p>
        </w:tc>
        <w:tc>
          <w:tcPr>
            <w:tcW w:w="1189"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4"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4" w:hRule="atLeast"/>
        </w:trPr>
        <w:tc>
          <w:tcPr>
            <w:tcW w:w="1654" w:type="dxa"/>
            <w:shd w:val="clear" w:color="auto" w:fill="D8D8D8" w:themeFill="background1" w:themeFillShade="D9"/>
          </w:tcPr>
          <w:p>
            <w:pPr>
              <w:autoSpaceDE w:val="0"/>
              <w:autoSpaceDN w:val="0"/>
              <w:adjustRightInd w:val="0"/>
              <w:spacing w:before="120" w:after="120"/>
              <w:ind w:left="60" w:right="60"/>
              <w:jc w:val="left"/>
              <w:rPr>
                <w:rFonts w:eastAsia="宋体" w:cs="Times New Roman"/>
                <w:color w:val="000000"/>
                <w:sz w:val="21"/>
                <w:szCs w:val="21"/>
              </w:rPr>
            </w:pPr>
            <w:r>
              <w:rPr>
                <w:rFonts w:eastAsia="宋体" w:cs="Times New Roman"/>
                <w:color w:val="000000"/>
                <w:sz w:val="21"/>
                <w:szCs w:val="21"/>
              </w:rPr>
              <w:t>IV1-1</w:t>
            </w:r>
          </w:p>
        </w:tc>
        <w:tc>
          <w:tcPr>
            <w:tcW w:w="13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35.93</w:t>
            </w:r>
          </w:p>
        </w:tc>
        <w:tc>
          <w:tcPr>
            <w:tcW w:w="151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36.901</w:t>
            </w:r>
          </w:p>
        </w:tc>
        <w:tc>
          <w:tcPr>
            <w:tcW w:w="118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w:t>
            </w:r>
            <w:r>
              <w:rPr>
                <w:rFonts w:eastAsia="宋体" w:cs="Times New Roman"/>
                <w:sz w:val="21"/>
                <w:szCs w:val="21"/>
              </w:rPr>
              <w:t>6</w:t>
            </w:r>
            <w:r>
              <w:rPr>
                <w:rFonts w:cs="Times New Roman"/>
                <w:sz w:val="21"/>
                <w:szCs w:val="21"/>
              </w:rPr>
              <w:t>55</w:t>
            </w:r>
          </w:p>
        </w:tc>
        <w:tc>
          <w:tcPr>
            <w:tcW w:w="1189"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4"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4" w:hRule="atLeast"/>
        </w:trPr>
        <w:tc>
          <w:tcPr>
            <w:tcW w:w="1654" w:type="dxa"/>
            <w:shd w:val="clear" w:color="auto" w:fill="D8D8D8" w:themeFill="background1" w:themeFillShade="D9"/>
          </w:tcPr>
          <w:p>
            <w:pPr>
              <w:autoSpaceDE w:val="0"/>
              <w:autoSpaceDN w:val="0"/>
              <w:adjustRightInd w:val="0"/>
              <w:spacing w:before="120" w:after="120"/>
              <w:ind w:left="60" w:right="60"/>
              <w:jc w:val="left"/>
              <w:rPr>
                <w:rFonts w:cs="Times New Roman"/>
                <w:color w:val="000000"/>
                <w:sz w:val="21"/>
                <w:szCs w:val="21"/>
              </w:rPr>
            </w:pPr>
            <w:r>
              <w:rPr>
                <w:rFonts w:eastAsia="宋体" w:cs="Times New Roman"/>
                <w:color w:val="000000"/>
                <w:sz w:val="21"/>
                <w:szCs w:val="21"/>
              </w:rPr>
              <w:t>IV1-2</w:t>
            </w:r>
          </w:p>
        </w:tc>
        <w:tc>
          <w:tcPr>
            <w:tcW w:w="13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36.10</w:t>
            </w:r>
          </w:p>
        </w:tc>
        <w:tc>
          <w:tcPr>
            <w:tcW w:w="151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36.972</w:t>
            </w:r>
          </w:p>
        </w:tc>
        <w:tc>
          <w:tcPr>
            <w:tcW w:w="118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w:t>
            </w:r>
            <w:r>
              <w:rPr>
                <w:rFonts w:eastAsia="宋体" w:cs="Times New Roman"/>
                <w:sz w:val="21"/>
                <w:szCs w:val="21"/>
              </w:rPr>
              <w:t>6</w:t>
            </w:r>
            <w:r>
              <w:rPr>
                <w:rFonts w:cs="Times New Roman"/>
                <w:sz w:val="21"/>
                <w:szCs w:val="21"/>
              </w:rPr>
              <w:t>22</w:t>
            </w:r>
          </w:p>
        </w:tc>
        <w:tc>
          <w:tcPr>
            <w:tcW w:w="1189"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4"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4" w:hRule="atLeast"/>
        </w:trPr>
        <w:tc>
          <w:tcPr>
            <w:tcW w:w="1654" w:type="dxa"/>
            <w:shd w:val="clear" w:color="auto" w:fill="D8D8D8" w:themeFill="background1" w:themeFillShade="D9"/>
          </w:tcPr>
          <w:p>
            <w:pPr>
              <w:autoSpaceDE w:val="0"/>
              <w:autoSpaceDN w:val="0"/>
              <w:adjustRightInd w:val="0"/>
              <w:spacing w:before="120" w:after="120"/>
              <w:ind w:left="60" w:right="60"/>
              <w:jc w:val="left"/>
              <w:rPr>
                <w:rFonts w:cs="Times New Roman"/>
                <w:color w:val="000000"/>
                <w:sz w:val="21"/>
                <w:szCs w:val="21"/>
              </w:rPr>
            </w:pPr>
            <w:r>
              <w:rPr>
                <w:rFonts w:eastAsia="宋体" w:cs="Times New Roman"/>
                <w:color w:val="000000"/>
                <w:sz w:val="21"/>
                <w:szCs w:val="21"/>
              </w:rPr>
              <w:t>IV1-3</w:t>
            </w:r>
          </w:p>
        </w:tc>
        <w:tc>
          <w:tcPr>
            <w:tcW w:w="13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36.33</w:t>
            </w:r>
          </w:p>
        </w:tc>
        <w:tc>
          <w:tcPr>
            <w:tcW w:w="151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35.747</w:t>
            </w:r>
          </w:p>
        </w:tc>
        <w:tc>
          <w:tcPr>
            <w:tcW w:w="118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w:t>
            </w:r>
            <w:r>
              <w:rPr>
                <w:rFonts w:eastAsia="宋体" w:cs="Times New Roman"/>
                <w:sz w:val="21"/>
                <w:szCs w:val="21"/>
              </w:rPr>
              <w:t>6</w:t>
            </w:r>
            <w:r>
              <w:rPr>
                <w:rFonts w:cs="Times New Roman"/>
                <w:sz w:val="21"/>
                <w:szCs w:val="21"/>
              </w:rPr>
              <w:t>49</w:t>
            </w:r>
          </w:p>
        </w:tc>
        <w:tc>
          <w:tcPr>
            <w:tcW w:w="1189"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4"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4" w:hRule="atLeast"/>
        </w:trPr>
        <w:tc>
          <w:tcPr>
            <w:tcW w:w="1654" w:type="dxa"/>
            <w:shd w:val="clear" w:color="auto" w:fill="D8D8D8" w:themeFill="background1" w:themeFillShade="D9"/>
          </w:tcPr>
          <w:p>
            <w:pPr>
              <w:autoSpaceDE w:val="0"/>
              <w:autoSpaceDN w:val="0"/>
              <w:adjustRightInd w:val="0"/>
              <w:spacing w:before="120" w:after="120"/>
              <w:ind w:left="60" w:right="60"/>
              <w:jc w:val="left"/>
              <w:rPr>
                <w:rFonts w:cs="Times New Roman"/>
                <w:color w:val="000000"/>
                <w:sz w:val="21"/>
                <w:szCs w:val="21"/>
              </w:rPr>
            </w:pPr>
            <w:r>
              <w:rPr>
                <w:rFonts w:eastAsia="宋体" w:cs="Times New Roman"/>
                <w:color w:val="000000"/>
                <w:sz w:val="21"/>
                <w:szCs w:val="21"/>
              </w:rPr>
              <w:t>IV1-4</w:t>
            </w:r>
          </w:p>
        </w:tc>
        <w:tc>
          <w:tcPr>
            <w:tcW w:w="13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36.30</w:t>
            </w:r>
          </w:p>
        </w:tc>
        <w:tc>
          <w:tcPr>
            <w:tcW w:w="151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36.641</w:t>
            </w:r>
          </w:p>
        </w:tc>
        <w:tc>
          <w:tcPr>
            <w:tcW w:w="118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w:t>
            </w:r>
            <w:r>
              <w:rPr>
                <w:rFonts w:eastAsia="宋体" w:cs="Times New Roman"/>
                <w:sz w:val="21"/>
                <w:szCs w:val="21"/>
              </w:rPr>
              <w:t>6</w:t>
            </w:r>
            <w:r>
              <w:rPr>
                <w:rFonts w:cs="Times New Roman"/>
                <w:sz w:val="21"/>
                <w:szCs w:val="21"/>
              </w:rPr>
              <w:t>13</w:t>
            </w:r>
          </w:p>
        </w:tc>
        <w:tc>
          <w:tcPr>
            <w:tcW w:w="1189"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4"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74" w:hRule="atLeast"/>
        </w:trPr>
        <w:tc>
          <w:tcPr>
            <w:tcW w:w="1654" w:type="dxa"/>
            <w:shd w:val="clear" w:color="auto" w:fill="D8D8D8" w:themeFill="background1" w:themeFillShade="D9"/>
          </w:tcPr>
          <w:p>
            <w:pPr>
              <w:autoSpaceDE w:val="0"/>
              <w:autoSpaceDN w:val="0"/>
              <w:adjustRightInd w:val="0"/>
              <w:spacing w:before="120" w:after="120"/>
              <w:ind w:left="60" w:right="60"/>
              <w:jc w:val="left"/>
              <w:rPr>
                <w:rFonts w:cs="Times New Roman"/>
                <w:color w:val="000000"/>
                <w:sz w:val="21"/>
                <w:szCs w:val="21"/>
              </w:rPr>
            </w:pPr>
            <w:r>
              <w:rPr>
                <w:rFonts w:eastAsia="宋体" w:cs="Times New Roman"/>
                <w:color w:val="000000"/>
                <w:sz w:val="21"/>
                <w:szCs w:val="21"/>
              </w:rPr>
              <w:t>IV1-5</w:t>
            </w:r>
          </w:p>
        </w:tc>
        <w:tc>
          <w:tcPr>
            <w:tcW w:w="13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36.50</w:t>
            </w:r>
          </w:p>
        </w:tc>
        <w:tc>
          <w:tcPr>
            <w:tcW w:w="151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36.932</w:t>
            </w:r>
          </w:p>
        </w:tc>
        <w:tc>
          <w:tcPr>
            <w:tcW w:w="118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w:t>
            </w:r>
            <w:r>
              <w:rPr>
                <w:rFonts w:eastAsia="宋体" w:cs="Times New Roman"/>
                <w:sz w:val="21"/>
                <w:szCs w:val="21"/>
              </w:rPr>
              <w:t>6</w:t>
            </w:r>
            <w:r>
              <w:rPr>
                <w:rFonts w:cs="Times New Roman"/>
                <w:sz w:val="21"/>
                <w:szCs w:val="21"/>
              </w:rPr>
              <w:t>25</w:t>
            </w:r>
          </w:p>
        </w:tc>
        <w:tc>
          <w:tcPr>
            <w:tcW w:w="1189"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4"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4" w:hRule="atLeast"/>
        </w:trPr>
        <w:tc>
          <w:tcPr>
            <w:tcW w:w="1654" w:type="dxa"/>
            <w:shd w:val="clear" w:color="auto" w:fill="D8D8D8" w:themeFill="background1" w:themeFillShade="D9"/>
          </w:tcPr>
          <w:p>
            <w:pPr>
              <w:autoSpaceDE w:val="0"/>
              <w:autoSpaceDN w:val="0"/>
              <w:adjustRightInd w:val="0"/>
              <w:spacing w:before="120" w:after="120"/>
              <w:ind w:left="60" w:right="60"/>
              <w:jc w:val="left"/>
              <w:rPr>
                <w:rFonts w:cs="Times New Roman"/>
                <w:color w:val="000000"/>
                <w:sz w:val="21"/>
                <w:szCs w:val="21"/>
              </w:rPr>
            </w:pPr>
            <w:r>
              <w:rPr>
                <w:rFonts w:eastAsia="宋体" w:cs="Times New Roman"/>
                <w:color w:val="000000"/>
                <w:sz w:val="21"/>
                <w:szCs w:val="21"/>
              </w:rPr>
              <w:t>IV2-1</w:t>
            </w:r>
          </w:p>
        </w:tc>
        <w:tc>
          <w:tcPr>
            <w:tcW w:w="13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36.40</w:t>
            </w:r>
          </w:p>
        </w:tc>
        <w:tc>
          <w:tcPr>
            <w:tcW w:w="151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30.549</w:t>
            </w:r>
          </w:p>
        </w:tc>
        <w:tc>
          <w:tcPr>
            <w:tcW w:w="118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.779</w:t>
            </w:r>
          </w:p>
        </w:tc>
        <w:tc>
          <w:tcPr>
            <w:tcW w:w="1189"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4"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4" w:hRule="atLeast"/>
        </w:trPr>
        <w:tc>
          <w:tcPr>
            <w:tcW w:w="1654" w:type="dxa"/>
            <w:shd w:val="clear" w:color="auto" w:fill="D8D8D8" w:themeFill="background1" w:themeFillShade="D9"/>
          </w:tcPr>
          <w:p>
            <w:pPr>
              <w:autoSpaceDE w:val="0"/>
              <w:autoSpaceDN w:val="0"/>
              <w:adjustRightInd w:val="0"/>
              <w:spacing w:before="120" w:after="120"/>
              <w:ind w:left="60" w:right="60"/>
              <w:jc w:val="left"/>
              <w:rPr>
                <w:rFonts w:cs="Times New Roman"/>
                <w:color w:val="000000"/>
                <w:sz w:val="21"/>
                <w:szCs w:val="21"/>
              </w:rPr>
            </w:pPr>
            <w:r>
              <w:rPr>
                <w:rFonts w:eastAsia="宋体" w:cs="Times New Roman"/>
                <w:color w:val="000000"/>
                <w:sz w:val="21"/>
                <w:szCs w:val="21"/>
              </w:rPr>
              <w:t>IV2-2</w:t>
            </w:r>
          </w:p>
        </w:tc>
        <w:tc>
          <w:tcPr>
            <w:tcW w:w="13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36.25</w:t>
            </w:r>
          </w:p>
        </w:tc>
        <w:tc>
          <w:tcPr>
            <w:tcW w:w="151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33.357</w:t>
            </w:r>
          </w:p>
        </w:tc>
        <w:tc>
          <w:tcPr>
            <w:tcW w:w="118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w:t>
            </w:r>
            <w:r>
              <w:rPr>
                <w:rFonts w:eastAsia="宋体" w:cs="Times New Roman"/>
                <w:sz w:val="21"/>
                <w:szCs w:val="21"/>
              </w:rPr>
              <w:t>7</w:t>
            </w:r>
            <w:r>
              <w:rPr>
                <w:rFonts w:cs="Times New Roman"/>
                <w:sz w:val="21"/>
                <w:szCs w:val="21"/>
              </w:rPr>
              <w:t>10</w:t>
            </w:r>
          </w:p>
        </w:tc>
        <w:tc>
          <w:tcPr>
            <w:tcW w:w="1189"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4"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4" w:hRule="atLeast"/>
        </w:trPr>
        <w:tc>
          <w:tcPr>
            <w:tcW w:w="1654" w:type="dxa"/>
            <w:shd w:val="clear" w:color="auto" w:fill="D8D8D8" w:themeFill="background1" w:themeFillShade="D9"/>
          </w:tcPr>
          <w:p>
            <w:pPr>
              <w:autoSpaceDE w:val="0"/>
              <w:autoSpaceDN w:val="0"/>
              <w:adjustRightInd w:val="0"/>
              <w:spacing w:before="120" w:after="120"/>
              <w:ind w:left="60" w:right="60"/>
              <w:jc w:val="left"/>
              <w:rPr>
                <w:rFonts w:cs="Times New Roman"/>
                <w:color w:val="000000"/>
                <w:sz w:val="21"/>
                <w:szCs w:val="21"/>
              </w:rPr>
            </w:pPr>
            <w:r>
              <w:rPr>
                <w:rFonts w:eastAsia="宋体" w:cs="Times New Roman"/>
                <w:color w:val="000000"/>
                <w:sz w:val="21"/>
                <w:szCs w:val="21"/>
              </w:rPr>
              <w:t>IV2-3</w:t>
            </w:r>
          </w:p>
        </w:tc>
        <w:tc>
          <w:tcPr>
            <w:tcW w:w="13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36.25</w:t>
            </w:r>
          </w:p>
        </w:tc>
        <w:tc>
          <w:tcPr>
            <w:tcW w:w="151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33.708</w:t>
            </w:r>
          </w:p>
        </w:tc>
        <w:tc>
          <w:tcPr>
            <w:tcW w:w="118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w:t>
            </w:r>
            <w:r>
              <w:rPr>
                <w:rFonts w:eastAsia="宋体" w:cs="Times New Roman"/>
                <w:sz w:val="21"/>
                <w:szCs w:val="21"/>
              </w:rPr>
              <w:t>7</w:t>
            </w:r>
            <w:r>
              <w:rPr>
                <w:rFonts w:cs="Times New Roman"/>
                <w:sz w:val="21"/>
                <w:szCs w:val="21"/>
              </w:rPr>
              <w:t>13</w:t>
            </w:r>
          </w:p>
        </w:tc>
        <w:tc>
          <w:tcPr>
            <w:tcW w:w="1189" w:type="dxa"/>
            <w:shd w:val="clear" w:color="auto" w:fill="FFFFFF"/>
          </w:tcPr>
          <w:p>
            <w:pPr>
              <w:autoSpaceDE w:val="0"/>
              <w:autoSpaceDN w:val="0"/>
              <w:adjustRightInd w:val="0"/>
              <w:spacing w:before="120" w:after="120"/>
              <w:ind w:left="60" w:right="60"/>
              <w:jc w:val="right"/>
              <w:rPr>
                <w:rFonts w:cs="Times New Roman"/>
                <w:color w:val="000000"/>
                <w:sz w:val="21"/>
                <w:szCs w:val="21"/>
              </w:rPr>
            </w:pPr>
            <w:r>
              <w:rPr>
                <w:rFonts w:cs="Times New Roman"/>
                <w:color w:val="000000"/>
                <w:sz w:val="21"/>
                <w:szCs w:val="21"/>
              </w:rPr>
              <w:t>-</w:t>
            </w:r>
          </w:p>
        </w:tc>
        <w:tc>
          <w:tcPr>
            <w:tcW w:w="1454"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94" w:hRule="atLeast"/>
        </w:trPr>
        <w:tc>
          <w:tcPr>
            <w:tcW w:w="1654" w:type="dxa"/>
            <w:shd w:val="clear" w:color="auto" w:fill="D8D8D8" w:themeFill="background1" w:themeFillShade="D9"/>
          </w:tcPr>
          <w:p>
            <w:pPr>
              <w:autoSpaceDE w:val="0"/>
              <w:autoSpaceDN w:val="0"/>
              <w:adjustRightInd w:val="0"/>
              <w:spacing w:before="120" w:after="120"/>
              <w:ind w:left="60" w:right="60"/>
              <w:jc w:val="left"/>
              <w:rPr>
                <w:rFonts w:eastAsia="宋体" w:cs="Times New Roman"/>
                <w:color w:val="000000"/>
                <w:sz w:val="21"/>
                <w:szCs w:val="21"/>
              </w:rPr>
            </w:pPr>
            <w:r>
              <w:rPr>
                <w:rFonts w:eastAsia="宋体" w:cs="Times New Roman"/>
                <w:color w:val="000000"/>
                <w:sz w:val="21"/>
                <w:szCs w:val="21"/>
              </w:rPr>
              <w:t>IV2-4</w:t>
            </w:r>
          </w:p>
        </w:tc>
        <w:tc>
          <w:tcPr>
            <w:tcW w:w="13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36.10</w:t>
            </w:r>
          </w:p>
        </w:tc>
        <w:tc>
          <w:tcPr>
            <w:tcW w:w="151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33.811</w:t>
            </w:r>
          </w:p>
        </w:tc>
        <w:tc>
          <w:tcPr>
            <w:tcW w:w="118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.612</w:t>
            </w:r>
          </w:p>
        </w:tc>
        <w:tc>
          <w:tcPr>
            <w:tcW w:w="1189" w:type="dxa"/>
            <w:shd w:val="clear" w:color="auto" w:fill="FFFFFF"/>
          </w:tcPr>
          <w:p>
            <w:pPr>
              <w:autoSpaceDE w:val="0"/>
              <w:autoSpaceDN w:val="0"/>
              <w:adjustRightInd w:val="0"/>
              <w:spacing w:before="120" w:after="120"/>
              <w:ind w:left="60" w:right="60"/>
              <w:jc w:val="right"/>
              <w:rPr>
                <w:rFonts w:eastAsia="宋体" w:cs="Times New Roman"/>
                <w:color w:val="000000"/>
                <w:sz w:val="21"/>
                <w:szCs w:val="21"/>
              </w:rPr>
            </w:pPr>
            <w:r>
              <w:rPr>
                <w:rFonts w:eastAsia="宋体" w:cs="Times New Roman"/>
                <w:color w:val="000000"/>
                <w:sz w:val="21"/>
                <w:szCs w:val="21"/>
              </w:rPr>
              <w:t>-</w:t>
            </w:r>
          </w:p>
        </w:tc>
        <w:tc>
          <w:tcPr>
            <w:tcW w:w="1454"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04" w:hRule="atLeast"/>
        </w:trPr>
        <w:tc>
          <w:tcPr>
            <w:tcW w:w="1654" w:type="dxa"/>
            <w:shd w:val="clear" w:color="auto" w:fill="D8D8D8" w:themeFill="background1" w:themeFillShade="D9"/>
          </w:tcPr>
          <w:p>
            <w:pPr>
              <w:autoSpaceDE w:val="0"/>
              <w:autoSpaceDN w:val="0"/>
              <w:adjustRightInd w:val="0"/>
              <w:spacing w:before="120" w:after="120"/>
              <w:ind w:left="60" w:right="60"/>
              <w:jc w:val="left"/>
              <w:rPr>
                <w:rFonts w:eastAsia="宋体" w:cs="Times New Roman"/>
                <w:color w:val="000000"/>
                <w:sz w:val="21"/>
                <w:szCs w:val="21"/>
              </w:rPr>
            </w:pPr>
            <w:r>
              <w:rPr>
                <w:rFonts w:eastAsia="宋体" w:cs="Times New Roman"/>
                <w:color w:val="000000"/>
                <w:sz w:val="21"/>
                <w:szCs w:val="21"/>
              </w:rPr>
              <w:t>IV2-5</w:t>
            </w:r>
          </w:p>
        </w:tc>
        <w:tc>
          <w:tcPr>
            <w:tcW w:w="1315"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36.10</w:t>
            </w:r>
          </w:p>
        </w:tc>
        <w:tc>
          <w:tcPr>
            <w:tcW w:w="151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33.811</w:t>
            </w:r>
          </w:p>
        </w:tc>
        <w:tc>
          <w:tcPr>
            <w:tcW w:w="1189"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w:t>
            </w:r>
            <w:r>
              <w:rPr>
                <w:rFonts w:eastAsia="宋体" w:cs="Times New Roman"/>
                <w:sz w:val="21"/>
                <w:szCs w:val="21"/>
              </w:rPr>
              <w:t>6</w:t>
            </w:r>
            <w:r>
              <w:rPr>
                <w:rFonts w:cs="Times New Roman"/>
                <w:sz w:val="21"/>
                <w:szCs w:val="21"/>
              </w:rPr>
              <w:t>77</w:t>
            </w:r>
          </w:p>
        </w:tc>
        <w:tc>
          <w:tcPr>
            <w:tcW w:w="1189" w:type="dxa"/>
            <w:shd w:val="clear" w:color="auto" w:fill="FFFFFF"/>
          </w:tcPr>
          <w:p>
            <w:pPr>
              <w:autoSpaceDE w:val="0"/>
              <w:autoSpaceDN w:val="0"/>
              <w:adjustRightInd w:val="0"/>
              <w:spacing w:before="120" w:after="120"/>
              <w:ind w:left="60" w:right="60"/>
              <w:jc w:val="right"/>
              <w:rPr>
                <w:rFonts w:eastAsia="宋体" w:cs="Times New Roman"/>
                <w:color w:val="000000"/>
                <w:sz w:val="21"/>
                <w:szCs w:val="21"/>
              </w:rPr>
            </w:pPr>
            <w:r>
              <w:rPr>
                <w:rFonts w:eastAsia="宋体" w:cs="Times New Roman"/>
                <w:color w:val="000000"/>
                <w:sz w:val="21"/>
                <w:szCs w:val="21"/>
              </w:rPr>
              <w:t>-</w:t>
            </w:r>
          </w:p>
        </w:tc>
        <w:tc>
          <w:tcPr>
            <w:tcW w:w="1454" w:type="dxa"/>
            <w:shd w:val="clear" w:color="auto" w:fill="FFFFFF"/>
            <w:vAlign w:val="center"/>
          </w:tcPr>
          <w:p>
            <w:pPr>
              <w:spacing w:beforeLines="0" w:afterLines="0" w:line="320" w:lineRule="atLeast"/>
              <w:ind w:left="60" w:right="60"/>
              <w:jc w:val="right"/>
              <w:rPr>
                <w:rFonts w:cs="Times New Roman"/>
                <w:color w:val="000000"/>
                <w:sz w:val="21"/>
                <w:szCs w:val="21"/>
              </w:rPr>
            </w:pPr>
            <w:r>
              <w:rPr>
                <w:rFonts w:cs="Times New Roman"/>
                <w:sz w:val="21"/>
                <w:szCs w:val="21"/>
              </w:rPr>
              <w:t>.828</w:t>
            </w:r>
          </w:p>
        </w:tc>
      </w:tr>
    </w:tbl>
    <w:p>
      <w:pPr>
        <w:spacing w:before="120" w:after="120"/>
        <w:rPr>
          <w:rFonts w:cs="Times New Roman"/>
        </w:rPr>
      </w:pPr>
    </w:p>
    <w:p>
      <w:pPr>
        <w:spacing w:before="120" w:after="120"/>
        <w:rPr>
          <w:rFonts w:cs="Times New Roman"/>
        </w:rPr>
      </w:pPr>
      <w:r>
        <w:rPr>
          <w:rFonts w:cs="Times New Roman"/>
        </w:rPr>
        <w:t>As mentioned previously, the reliability test is to gauge the respondents’ understanding of the survey questions or items asked to provide further support on the feasibility of instrument used in the research (Pallant, 2011).</w:t>
      </w:r>
    </w:p>
    <w:p>
      <w:pPr>
        <w:spacing w:before="120" w:after="120"/>
        <w:rPr>
          <w:rFonts w:cs="Times New Roman"/>
        </w:rPr>
      </w:pPr>
      <w:r>
        <w:rPr>
          <w:rFonts w:cs="Times New Roman"/>
        </w:rPr>
        <w:t>Based on Table 4.1</w:t>
      </w:r>
      <w:r>
        <w:rPr>
          <w:rFonts w:hint="eastAsia" w:eastAsia="宋体" w:cs="Times New Roman"/>
        </w:rPr>
        <w:t>1 and 4.12</w:t>
      </w:r>
      <w:r>
        <w:rPr>
          <w:rFonts w:cs="Times New Roman"/>
        </w:rPr>
        <w:t>, the Cronbach’s alpha are all more than 0.7, which means a high level of internal consistency for the scale. The social cues variable reports the highest value of reliability at 0.9</w:t>
      </w:r>
      <w:r>
        <w:rPr>
          <w:rFonts w:hint="eastAsia" w:eastAsia="宋体" w:cs="Times New Roman"/>
        </w:rPr>
        <w:t>13</w:t>
      </w:r>
      <w:r>
        <w:rPr>
          <w:rFonts w:cs="Times New Roman"/>
        </w:rPr>
        <w:t>. Bland and Altman (1997) mentioned that Cronbach’s Alpha of 0.70 and above would show high internal consistency, and thus all the items are now considered to be relevant and appropriate for subsequent analysis.</w:t>
      </w:r>
    </w:p>
    <w:p>
      <w:pPr>
        <w:spacing w:before="120" w:after="120"/>
        <w:rPr>
          <w:rFonts w:cs="Times New Roman"/>
        </w:rPr>
      </w:pPr>
    </w:p>
    <w:p>
      <w:pPr>
        <w:pStyle w:val="4"/>
        <w:spacing w:before="120" w:after="120"/>
        <w:rPr>
          <w:rFonts w:cs="Times New Roman"/>
        </w:rPr>
      </w:pPr>
      <w:bookmarkStart w:id="242" w:name="_Toc25781_WPSOffice_Level3"/>
      <w:bookmarkStart w:id="243" w:name="_Toc4986_WPSOffice_Level3"/>
      <w:r>
        <w:rPr>
          <w:rFonts w:cs="Times New Roman"/>
        </w:rPr>
        <w:t>4.</w:t>
      </w:r>
      <w:r>
        <w:rPr>
          <w:rFonts w:hint="eastAsia" w:cs="Times New Roman"/>
        </w:rPr>
        <w:t>4.3</w:t>
      </w:r>
      <w:r>
        <w:rPr>
          <w:rFonts w:cs="Times New Roman"/>
        </w:rPr>
        <w:t xml:space="preserve"> </w:t>
      </w:r>
      <w:r>
        <w:rPr>
          <w:rFonts w:eastAsia="宋体" w:cs="Times New Roman"/>
          <w:color w:val="222222"/>
          <w:shd w:val="clear" w:color="auto" w:fill="FFFFFF"/>
        </w:rPr>
        <w:t>Correlation Matrix</w:t>
      </w:r>
      <w:bookmarkEnd w:id="242"/>
      <w:bookmarkEnd w:id="243"/>
    </w:p>
    <w:p>
      <w:pPr>
        <w:spacing w:before="120" w:after="120"/>
        <w:rPr>
          <w:rFonts w:cs="Times New Roman"/>
        </w:rPr>
      </w:pPr>
    </w:p>
    <w:p>
      <w:pPr>
        <w:spacing w:before="120" w:after="120"/>
        <w:rPr>
          <w:rFonts w:eastAsia="Times New Roman"/>
        </w:rPr>
      </w:pPr>
      <w:r>
        <w:rPr>
          <w:rFonts w:eastAsia="宋体" w:cs="Times New Roman"/>
        </w:rPr>
        <w:t xml:space="preserve">Table 4.13 : </w:t>
      </w:r>
      <w:r>
        <w:rPr>
          <w:rFonts w:cs="Times New Roman"/>
        </w:rPr>
        <w:t>Full Scale of Data</w:t>
      </w:r>
      <w:r>
        <w:rPr>
          <w:rFonts w:eastAsia="宋体" w:cs="Times New Roman"/>
        </w:rPr>
        <w:t xml:space="preserve"> - </w:t>
      </w:r>
      <w:r>
        <w:rPr>
          <w:rFonts w:cs="Times New Roman"/>
        </w:rPr>
        <w:t>Correlation</w:t>
      </w:r>
      <w:r>
        <w:rPr>
          <w:rFonts w:eastAsia="宋体" w:cs="Times New Roman"/>
        </w:rPr>
        <w:t xml:space="preserve"> tabl</w:t>
      </w:r>
      <w:bookmarkStart w:id="244" w:name="_Toc530662041"/>
      <w:r>
        <w:rPr>
          <w:rFonts w:hint="eastAsia" w:eastAsia="宋体" w:cs="Times New Roman"/>
        </w:rPr>
        <w:t>e</w:t>
      </w:r>
    </w:p>
    <w:tbl>
      <w:tblPr>
        <w:tblStyle w:val="14"/>
        <w:tblW w:w="1002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67"/>
        <w:gridCol w:w="1536"/>
        <w:gridCol w:w="792"/>
        <w:gridCol w:w="791"/>
        <w:gridCol w:w="791"/>
        <w:gridCol w:w="793"/>
        <w:gridCol w:w="791"/>
        <w:gridCol w:w="791"/>
        <w:gridCol w:w="793"/>
        <w:gridCol w:w="792"/>
        <w:gridCol w:w="792"/>
        <w:gridCol w:w="79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77" w:hRule="atLeast"/>
        </w:trPr>
        <w:tc>
          <w:tcPr>
            <w:tcW w:w="10020" w:type="dxa"/>
            <w:gridSpan w:val="12"/>
            <w:tcBorders>
              <w:top w:val="nil"/>
              <w:left w:val="nil"/>
              <w:bottom w:val="nil"/>
              <w:right w:val="nil"/>
              <w:tl2br w:val="nil"/>
              <w:tr2bl w:val="nil"/>
            </w:tcBorders>
            <w:shd w:val="clear" w:color="auto" w:fill="FFFFFF"/>
            <w:vAlign w:val="center"/>
          </w:tcPr>
          <w:p>
            <w:pPr>
              <w:spacing w:beforeLines="0" w:afterLines="0" w:line="320" w:lineRule="atLeast"/>
              <w:ind w:left="60" w:right="60"/>
              <w:jc w:val="center"/>
              <w:rPr>
                <w:rFonts w:cs="Times New Roman"/>
                <w:sz w:val="21"/>
                <w:szCs w:val="21"/>
              </w:rPr>
            </w:pPr>
            <w:r>
              <w:rPr>
                <w:rFonts w:cs="Times New Roman"/>
                <w:b/>
                <w:sz w:val="21"/>
                <w:szCs w:val="21"/>
              </w:rPr>
              <w:t>Correlations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1" w:hRule="atLeast"/>
        </w:trPr>
        <w:tc>
          <w:tcPr>
            <w:tcW w:w="2103" w:type="dxa"/>
            <w:gridSpan w:val="2"/>
            <w:tcBorders>
              <w:top w:val="single" w:color="000000" w:sz="16" w:space="0"/>
              <w:left w:val="single" w:color="000000" w:sz="16" w:space="0"/>
              <w:bottom w:val="single" w:color="000000" w:sz="16" w:space="0"/>
              <w:right w:val="nil"/>
              <w:tl2br w:val="nil"/>
              <w:tr2bl w:val="nil"/>
            </w:tcBorders>
            <w:shd w:val="clear" w:color="auto" w:fill="FFFFFF"/>
            <w:vAlign w:val="bottom"/>
          </w:tcPr>
          <w:p>
            <w:pPr>
              <w:spacing w:beforeLines="0" w:afterLines="0"/>
              <w:rPr>
                <w:rFonts w:cs="Times New Roman"/>
                <w:sz w:val="21"/>
                <w:szCs w:val="21"/>
              </w:rPr>
            </w:pPr>
          </w:p>
        </w:tc>
        <w:tc>
          <w:tcPr>
            <w:tcW w:w="792" w:type="dxa"/>
            <w:tcBorders>
              <w:top w:val="single" w:color="000000" w:sz="16" w:space="0"/>
              <w:left w:val="single" w:color="000000" w:sz="16"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DK1</w:t>
            </w:r>
          </w:p>
        </w:tc>
        <w:tc>
          <w:tcPr>
            <w:tcW w:w="791"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DK2</w:t>
            </w:r>
          </w:p>
        </w:tc>
        <w:tc>
          <w:tcPr>
            <w:tcW w:w="791"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DK3</w:t>
            </w:r>
          </w:p>
        </w:tc>
        <w:tc>
          <w:tcPr>
            <w:tcW w:w="793"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DK4</w:t>
            </w:r>
          </w:p>
        </w:tc>
        <w:tc>
          <w:tcPr>
            <w:tcW w:w="791"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DK5</w:t>
            </w:r>
          </w:p>
        </w:tc>
        <w:tc>
          <w:tcPr>
            <w:tcW w:w="791"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TP1</w:t>
            </w:r>
          </w:p>
        </w:tc>
        <w:tc>
          <w:tcPr>
            <w:tcW w:w="793"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TP2</w:t>
            </w:r>
          </w:p>
        </w:tc>
        <w:tc>
          <w:tcPr>
            <w:tcW w:w="792"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TP3</w:t>
            </w:r>
          </w:p>
        </w:tc>
        <w:tc>
          <w:tcPr>
            <w:tcW w:w="792"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TP4</w:t>
            </w:r>
          </w:p>
        </w:tc>
        <w:tc>
          <w:tcPr>
            <w:tcW w:w="791" w:type="dxa"/>
            <w:tcBorders>
              <w:top w:val="single" w:color="000000" w:sz="16" w:space="0"/>
              <w:left w:val="single" w:color="000000" w:sz="8" w:space="0"/>
              <w:bottom w:val="single" w:color="000000" w:sz="16" w:space="0"/>
              <w:right w:val="single" w:color="000000" w:sz="16" w:space="0"/>
              <w:tl2br w:val="nil"/>
              <w:tr2bl w:val="nil"/>
            </w:tcBorders>
            <w:shd w:val="clear" w:color="auto" w:fill="FFFFFF"/>
            <w:vAlign w:val="bottom"/>
          </w:tcPr>
          <w:p>
            <w:pPr>
              <w:spacing w:beforeLines="0" w:afterLines="0" w:line="320" w:lineRule="atLeast"/>
              <w:ind w:left="60" w:right="60"/>
              <w:jc w:val="center"/>
              <w:rPr>
                <w:rFonts w:cs="Times New Roman"/>
                <w:sz w:val="21"/>
                <w:szCs w:val="21"/>
              </w:rPr>
            </w:pPr>
            <w:r>
              <w:rPr>
                <w:rFonts w:cs="Times New Roman"/>
                <w:sz w:val="21"/>
                <w:szCs w:val="21"/>
              </w:rPr>
              <w:t>TP5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15" w:hRule="atLeast"/>
        </w:trPr>
        <w:tc>
          <w:tcPr>
            <w:tcW w:w="567" w:type="dxa"/>
            <w:vMerge w:val="restart"/>
            <w:tcBorders>
              <w:top w:val="single" w:color="000000" w:sz="16" w:space="0"/>
              <w:left w:val="single" w:color="000000" w:sz="16" w:space="0"/>
              <w:bottom w:val="single" w:color="000000" w:sz="8"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DK1</w:t>
            </w:r>
          </w:p>
        </w:tc>
        <w:tc>
          <w:tcPr>
            <w:tcW w:w="1536" w:type="dxa"/>
            <w:tcBorders>
              <w:top w:val="single" w:color="000000" w:sz="16" w:space="0"/>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Pearson Correlation</w:t>
            </w:r>
          </w:p>
        </w:tc>
        <w:tc>
          <w:tcPr>
            <w:tcW w:w="792" w:type="dxa"/>
            <w:tcBorders>
              <w:top w:val="single" w:color="000000" w:sz="16" w:space="0"/>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w:t>
            </w:r>
          </w:p>
        </w:tc>
        <w:tc>
          <w:tcPr>
            <w:tcW w:w="791"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.631</w:t>
            </w:r>
            <w:r>
              <w:rPr>
                <w:rFonts w:cs="Times New Roman"/>
                <w:sz w:val="21"/>
                <w:szCs w:val="21"/>
                <w:vertAlign w:val="superscript"/>
              </w:rPr>
              <w:t>**</w:t>
            </w:r>
          </w:p>
        </w:tc>
        <w:tc>
          <w:tcPr>
            <w:tcW w:w="791"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.553</w:t>
            </w:r>
            <w:r>
              <w:rPr>
                <w:rFonts w:cs="Times New Roman"/>
                <w:sz w:val="21"/>
                <w:szCs w:val="21"/>
                <w:vertAlign w:val="superscript"/>
              </w:rPr>
              <w:t>**</w:t>
            </w:r>
          </w:p>
        </w:tc>
        <w:tc>
          <w:tcPr>
            <w:tcW w:w="793"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.646</w:t>
            </w:r>
            <w:r>
              <w:rPr>
                <w:rFonts w:cs="Times New Roman"/>
                <w:sz w:val="21"/>
                <w:szCs w:val="21"/>
                <w:vertAlign w:val="superscript"/>
              </w:rPr>
              <w:t>**</w:t>
            </w:r>
          </w:p>
        </w:tc>
        <w:tc>
          <w:tcPr>
            <w:tcW w:w="791"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.496</w:t>
            </w:r>
            <w:r>
              <w:rPr>
                <w:rFonts w:cs="Times New Roman"/>
                <w:sz w:val="21"/>
                <w:szCs w:val="21"/>
                <w:vertAlign w:val="superscript"/>
              </w:rPr>
              <w:t>**</w:t>
            </w:r>
          </w:p>
        </w:tc>
        <w:tc>
          <w:tcPr>
            <w:tcW w:w="791"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.318</w:t>
            </w:r>
            <w:r>
              <w:rPr>
                <w:rFonts w:cs="Times New Roman"/>
                <w:sz w:val="21"/>
                <w:szCs w:val="21"/>
                <w:vertAlign w:val="superscript"/>
              </w:rPr>
              <w:t>**</w:t>
            </w:r>
          </w:p>
        </w:tc>
        <w:tc>
          <w:tcPr>
            <w:tcW w:w="793"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.190</w:t>
            </w:r>
            <w:r>
              <w:rPr>
                <w:rFonts w:cs="Times New Roman"/>
                <w:sz w:val="21"/>
                <w:szCs w:val="21"/>
                <w:vertAlign w:val="superscript"/>
              </w:rPr>
              <w:t>**</w:t>
            </w:r>
          </w:p>
        </w:tc>
        <w:tc>
          <w:tcPr>
            <w:tcW w:w="792"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.232</w:t>
            </w:r>
            <w:r>
              <w:rPr>
                <w:rFonts w:cs="Times New Roman"/>
                <w:sz w:val="21"/>
                <w:szCs w:val="21"/>
                <w:vertAlign w:val="superscript"/>
              </w:rPr>
              <w:t>**</w:t>
            </w:r>
          </w:p>
        </w:tc>
        <w:tc>
          <w:tcPr>
            <w:tcW w:w="792"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.236</w:t>
            </w:r>
            <w:r>
              <w:rPr>
                <w:rFonts w:cs="Times New Roman"/>
                <w:sz w:val="21"/>
                <w:szCs w:val="21"/>
                <w:vertAlign w:val="superscript"/>
              </w:rPr>
              <w:t>**</w:t>
            </w:r>
          </w:p>
        </w:tc>
        <w:tc>
          <w:tcPr>
            <w:tcW w:w="791" w:type="dxa"/>
            <w:tcBorders>
              <w:top w:val="single" w:color="000000" w:sz="16" w:space="0"/>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1" w:hRule="atLeast"/>
        </w:trPr>
        <w:tc>
          <w:tcPr>
            <w:tcW w:w="567" w:type="dxa"/>
            <w:vMerge w:val="continue"/>
            <w:tcBorders>
              <w:top w:val="single" w:color="000000" w:sz="16" w:space="0"/>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536"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 (2-tailed)</w:t>
            </w:r>
          </w:p>
        </w:tc>
        <w:tc>
          <w:tcPr>
            <w:tcW w:w="792"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.001</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04" w:hRule="atLeast"/>
        </w:trPr>
        <w:tc>
          <w:tcPr>
            <w:tcW w:w="567" w:type="dxa"/>
            <w:vMerge w:val="continue"/>
            <w:tcBorders>
              <w:top w:val="single" w:color="000000" w:sz="16" w:space="0"/>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536" w:type="dxa"/>
            <w:tcBorders>
              <w:top w:val="nil"/>
              <w:left w:val="nil"/>
              <w:bottom w:val="single" w:color="000000" w:sz="8"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N</w:t>
            </w:r>
          </w:p>
        </w:tc>
        <w:tc>
          <w:tcPr>
            <w:tcW w:w="792" w:type="dxa"/>
            <w:tcBorders>
              <w:top w:val="nil"/>
              <w:left w:val="single" w:color="000000" w:sz="16"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2"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2"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01" w:hRule="atLeast"/>
        </w:trPr>
        <w:tc>
          <w:tcPr>
            <w:tcW w:w="567" w:type="dxa"/>
            <w:vMerge w:val="restart"/>
            <w:tcBorders>
              <w:top w:val="nil"/>
              <w:left w:val="single" w:color="000000" w:sz="16" w:space="0"/>
              <w:bottom w:val="single" w:color="000000" w:sz="8"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DK2</w:t>
            </w:r>
          </w:p>
        </w:tc>
        <w:tc>
          <w:tcPr>
            <w:tcW w:w="1536"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Pearson Correlation</w:t>
            </w:r>
          </w:p>
        </w:tc>
        <w:tc>
          <w:tcPr>
            <w:tcW w:w="792"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.631</w:t>
            </w:r>
            <w:r>
              <w:rPr>
                <w:rFonts w:cs="Times New Roman"/>
                <w:sz w:val="21"/>
                <w:szCs w:val="21"/>
                <w:vertAlign w:val="superscript"/>
              </w:rPr>
              <w:t>**</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.726</w:t>
            </w:r>
            <w:r>
              <w:rPr>
                <w:rFonts w:cs="Times New Roman"/>
                <w:sz w:val="21"/>
                <w:szCs w:val="21"/>
                <w:vertAlign w:val="superscript"/>
              </w:rPr>
              <w:t>**</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.697</w:t>
            </w:r>
            <w:r>
              <w:rPr>
                <w:rFonts w:cs="Times New Roman"/>
                <w:sz w:val="21"/>
                <w:szCs w:val="21"/>
                <w:vertAlign w:val="superscript"/>
              </w:rPr>
              <w:t>**</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.518</w:t>
            </w:r>
            <w:r>
              <w:rPr>
                <w:rFonts w:cs="Times New Roman"/>
                <w:sz w:val="21"/>
                <w:szCs w:val="21"/>
                <w:vertAlign w:val="superscript"/>
              </w:rPr>
              <w:t>**</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.282</w:t>
            </w:r>
            <w:r>
              <w:rPr>
                <w:rFonts w:cs="Times New Roman"/>
                <w:sz w:val="21"/>
                <w:szCs w:val="21"/>
                <w:vertAlign w:val="superscript"/>
              </w:rPr>
              <w:t>**</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.078</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-.054</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-.052</w:t>
            </w:r>
          </w:p>
        </w:tc>
        <w:tc>
          <w:tcPr>
            <w:tcW w:w="79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18" w:hRule="atLeast"/>
        </w:trPr>
        <w:tc>
          <w:tcPr>
            <w:tcW w:w="56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536"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 (2-tailed)</w:t>
            </w:r>
          </w:p>
        </w:tc>
        <w:tc>
          <w:tcPr>
            <w:tcW w:w="792"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.195</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.367</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.387</w:t>
            </w:r>
          </w:p>
        </w:tc>
        <w:tc>
          <w:tcPr>
            <w:tcW w:w="79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91" w:hRule="atLeast"/>
        </w:trPr>
        <w:tc>
          <w:tcPr>
            <w:tcW w:w="56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536" w:type="dxa"/>
            <w:tcBorders>
              <w:top w:val="nil"/>
              <w:left w:val="nil"/>
              <w:bottom w:val="single" w:color="000000" w:sz="8"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N</w:t>
            </w:r>
          </w:p>
        </w:tc>
        <w:tc>
          <w:tcPr>
            <w:tcW w:w="792" w:type="dxa"/>
            <w:tcBorders>
              <w:top w:val="nil"/>
              <w:left w:val="single" w:color="000000" w:sz="16"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2"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2"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01" w:hRule="atLeast"/>
        </w:trPr>
        <w:tc>
          <w:tcPr>
            <w:tcW w:w="567" w:type="dxa"/>
            <w:vMerge w:val="restart"/>
            <w:tcBorders>
              <w:top w:val="nil"/>
              <w:left w:val="single" w:color="000000" w:sz="16" w:space="0"/>
              <w:bottom w:val="single" w:color="000000" w:sz="8"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DK3</w:t>
            </w:r>
          </w:p>
        </w:tc>
        <w:tc>
          <w:tcPr>
            <w:tcW w:w="1536"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Pearson Correlation</w:t>
            </w:r>
          </w:p>
        </w:tc>
        <w:tc>
          <w:tcPr>
            <w:tcW w:w="792"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.553</w:t>
            </w:r>
            <w:r>
              <w:rPr>
                <w:rFonts w:cs="Times New Roman"/>
                <w:sz w:val="21"/>
                <w:szCs w:val="21"/>
                <w:vertAlign w:val="superscript"/>
              </w:rPr>
              <w:t>**</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.726</w:t>
            </w:r>
            <w:r>
              <w:rPr>
                <w:rFonts w:cs="Times New Roman"/>
                <w:sz w:val="21"/>
                <w:szCs w:val="21"/>
                <w:vertAlign w:val="superscript"/>
              </w:rPr>
              <w:t>**</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.778</w:t>
            </w:r>
            <w:r>
              <w:rPr>
                <w:rFonts w:cs="Times New Roman"/>
                <w:sz w:val="21"/>
                <w:szCs w:val="21"/>
                <w:vertAlign w:val="superscript"/>
              </w:rPr>
              <w:t>**</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.648</w:t>
            </w:r>
            <w:r>
              <w:rPr>
                <w:rFonts w:cs="Times New Roman"/>
                <w:sz w:val="21"/>
                <w:szCs w:val="21"/>
                <w:vertAlign w:val="superscript"/>
              </w:rPr>
              <w:t>**</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.371</w:t>
            </w:r>
            <w:r>
              <w:rPr>
                <w:rFonts w:cs="Times New Roman"/>
                <w:sz w:val="21"/>
                <w:szCs w:val="21"/>
                <w:vertAlign w:val="superscript"/>
              </w:rPr>
              <w:t>**</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.104</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.027</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.095</w:t>
            </w:r>
          </w:p>
        </w:tc>
        <w:tc>
          <w:tcPr>
            <w:tcW w:w="79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18" w:hRule="atLeast"/>
        </w:trPr>
        <w:tc>
          <w:tcPr>
            <w:tcW w:w="56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536"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 (2-tailed)</w:t>
            </w:r>
          </w:p>
        </w:tc>
        <w:tc>
          <w:tcPr>
            <w:tcW w:w="792"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.082</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.651</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.114</w:t>
            </w:r>
          </w:p>
        </w:tc>
        <w:tc>
          <w:tcPr>
            <w:tcW w:w="79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91" w:hRule="atLeast"/>
        </w:trPr>
        <w:tc>
          <w:tcPr>
            <w:tcW w:w="56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536" w:type="dxa"/>
            <w:tcBorders>
              <w:top w:val="nil"/>
              <w:left w:val="nil"/>
              <w:bottom w:val="single" w:color="000000" w:sz="8"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N</w:t>
            </w:r>
          </w:p>
        </w:tc>
        <w:tc>
          <w:tcPr>
            <w:tcW w:w="792" w:type="dxa"/>
            <w:tcBorders>
              <w:top w:val="nil"/>
              <w:left w:val="single" w:color="000000" w:sz="16"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2"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2"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01" w:hRule="atLeast"/>
        </w:trPr>
        <w:tc>
          <w:tcPr>
            <w:tcW w:w="567" w:type="dxa"/>
            <w:vMerge w:val="restart"/>
            <w:tcBorders>
              <w:top w:val="nil"/>
              <w:left w:val="single" w:color="000000" w:sz="16" w:space="0"/>
              <w:bottom w:val="single" w:color="000000" w:sz="8"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DK4</w:t>
            </w:r>
          </w:p>
        </w:tc>
        <w:tc>
          <w:tcPr>
            <w:tcW w:w="1536"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Pearson Correlation</w:t>
            </w:r>
          </w:p>
        </w:tc>
        <w:tc>
          <w:tcPr>
            <w:tcW w:w="792"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.646</w:t>
            </w:r>
            <w:r>
              <w:rPr>
                <w:rFonts w:cs="Times New Roman"/>
                <w:sz w:val="21"/>
                <w:szCs w:val="21"/>
                <w:vertAlign w:val="superscript"/>
              </w:rPr>
              <w:t>**</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.697</w:t>
            </w:r>
            <w:r>
              <w:rPr>
                <w:rFonts w:cs="Times New Roman"/>
                <w:sz w:val="21"/>
                <w:szCs w:val="21"/>
                <w:vertAlign w:val="superscript"/>
              </w:rPr>
              <w:t>**</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.778</w:t>
            </w:r>
            <w:r>
              <w:rPr>
                <w:rFonts w:cs="Times New Roman"/>
                <w:sz w:val="21"/>
                <w:szCs w:val="21"/>
                <w:vertAlign w:val="superscript"/>
              </w:rPr>
              <w:t>**</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.804</w:t>
            </w:r>
            <w:r>
              <w:rPr>
                <w:rFonts w:cs="Times New Roman"/>
                <w:sz w:val="21"/>
                <w:szCs w:val="21"/>
                <w:vertAlign w:val="superscript"/>
              </w:rPr>
              <w:t>**</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.148</w:t>
            </w:r>
            <w:r>
              <w:rPr>
                <w:rFonts w:cs="Times New Roman"/>
                <w:sz w:val="21"/>
                <w:szCs w:val="21"/>
                <w:vertAlign w:val="superscript"/>
              </w:rPr>
              <w:t>*</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-.048</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-.101</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-.043</w:t>
            </w:r>
          </w:p>
        </w:tc>
        <w:tc>
          <w:tcPr>
            <w:tcW w:w="79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18" w:hRule="atLeast"/>
        </w:trPr>
        <w:tc>
          <w:tcPr>
            <w:tcW w:w="56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536"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 (2-tailed)</w:t>
            </w:r>
          </w:p>
        </w:tc>
        <w:tc>
          <w:tcPr>
            <w:tcW w:w="792"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.013</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.422</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.093</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.471</w:t>
            </w:r>
          </w:p>
        </w:tc>
        <w:tc>
          <w:tcPr>
            <w:tcW w:w="79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91" w:hRule="atLeast"/>
        </w:trPr>
        <w:tc>
          <w:tcPr>
            <w:tcW w:w="56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536" w:type="dxa"/>
            <w:tcBorders>
              <w:top w:val="nil"/>
              <w:left w:val="nil"/>
              <w:bottom w:val="single" w:color="000000" w:sz="8"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N</w:t>
            </w:r>
          </w:p>
        </w:tc>
        <w:tc>
          <w:tcPr>
            <w:tcW w:w="792" w:type="dxa"/>
            <w:tcBorders>
              <w:top w:val="nil"/>
              <w:left w:val="single" w:color="000000" w:sz="16"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2"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2"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01" w:hRule="atLeast"/>
        </w:trPr>
        <w:tc>
          <w:tcPr>
            <w:tcW w:w="567" w:type="dxa"/>
            <w:vMerge w:val="restart"/>
            <w:tcBorders>
              <w:top w:val="nil"/>
              <w:left w:val="single" w:color="000000" w:sz="16" w:space="0"/>
              <w:bottom w:val="single" w:color="000000" w:sz="8"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DK5</w:t>
            </w:r>
          </w:p>
        </w:tc>
        <w:tc>
          <w:tcPr>
            <w:tcW w:w="1536"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Pearson Correlation</w:t>
            </w:r>
          </w:p>
        </w:tc>
        <w:tc>
          <w:tcPr>
            <w:tcW w:w="792"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.496</w:t>
            </w:r>
            <w:r>
              <w:rPr>
                <w:rFonts w:cs="Times New Roman"/>
                <w:sz w:val="21"/>
                <w:szCs w:val="21"/>
                <w:vertAlign w:val="superscript"/>
              </w:rPr>
              <w:t>**</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.518</w:t>
            </w:r>
            <w:r>
              <w:rPr>
                <w:rFonts w:cs="Times New Roman"/>
                <w:sz w:val="21"/>
                <w:szCs w:val="21"/>
                <w:vertAlign w:val="superscript"/>
              </w:rPr>
              <w:t>**</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.648</w:t>
            </w:r>
            <w:r>
              <w:rPr>
                <w:rFonts w:cs="Times New Roman"/>
                <w:sz w:val="21"/>
                <w:szCs w:val="21"/>
                <w:vertAlign w:val="superscript"/>
              </w:rPr>
              <w:t>**</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.804</w:t>
            </w:r>
            <w:r>
              <w:rPr>
                <w:rFonts w:cs="Times New Roman"/>
                <w:sz w:val="21"/>
                <w:szCs w:val="21"/>
                <w:vertAlign w:val="superscript"/>
              </w:rPr>
              <w:t>**</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.128</w:t>
            </w:r>
            <w:r>
              <w:rPr>
                <w:rFonts w:cs="Times New Roman"/>
                <w:sz w:val="21"/>
                <w:szCs w:val="21"/>
                <w:vertAlign w:val="superscript"/>
              </w:rPr>
              <w:t>*</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-.086</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-.045</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-.056</w:t>
            </w:r>
          </w:p>
        </w:tc>
        <w:tc>
          <w:tcPr>
            <w:tcW w:w="79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-.119</w:t>
            </w:r>
            <w:r>
              <w:rPr>
                <w:rFonts w:cs="Times New Roman"/>
                <w:sz w:val="21"/>
                <w:szCs w:val="21"/>
                <w:vertAlign w:val="superscrip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18" w:hRule="atLeast"/>
        </w:trPr>
        <w:tc>
          <w:tcPr>
            <w:tcW w:w="56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536"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 (2-tailed)</w:t>
            </w:r>
          </w:p>
        </w:tc>
        <w:tc>
          <w:tcPr>
            <w:tcW w:w="792"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.033</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.153</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.456</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.347</w:t>
            </w:r>
          </w:p>
        </w:tc>
        <w:tc>
          <w:tcPr>
            <w:tcW w:w="79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91" w:hRule="atLeast"/>
        </w:trPr>
        <w:tc>
          <w:tcPr>
            <w:tcW w:w="56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536" w:type="dxa"/>
            <w:tcBorders>
              <w:top w:val="nil"/>
              <w:left w:val="nil"/>
              <w:bottom w:val="single" w:color="000000" w:sz="8"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N</w:t>
            </w:r>
          </w:p>
        </w:tc>
        <w:tc>
          <w:tcPr>
            <w:tcW w:w="792" w:type="dxa"/>
            <w:tcBorders>
              <w:top w:val="nil"/>
              <w:left w:val="single" w:color="000000" w:sz="16"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2"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2"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01" w:hRule="atLeast"/>
        </w:trPr>
        <w:tc>
          <w:tcPr>
            <w:tcW w:w="567" w:type="dxa"/>
            <w:vMerge w:val="restart"/>
            <w:tcBorders>
              <w:top w:val="nil"/>
              <w:left w:val="single" w:color="000000" w:sz="16" w:space="0"/>
              <w:bottom w:val="single" w:color="000000" w:sz="8"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TP1</w:t>
            </w:r>
          </w:p>
        </w:tc>
        <w:tc>
          <w:tcPr>
            <w:tcW w:w="1536"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Pearson Correlation</w:t>
            </w:r>
          </w:p>
        </w:tc>
        <w:tc>
          <w:tcPr>
            <w:tcW w:w="792"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.318</w:t>
            </w:r>
            <w:r>
              <w:rPr>
                <w:rFonts w:cs="Times New Roman"/>
                <w:sz w:val="21"/>
                <w:szCs w:val="21"/>
                <w:vertAlign w:val="superscript"/>
              </w:rPr>
              <w:t>**</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.282</w:t>
            </w:r>
            <w:r>
              <w:rPr>
                <w:rFonts w:cs="Times New Roman"/>
                <w:sz w:val="21"/>
                <w:szCs w:val="21"/>
                <w:vertAlign w:val="superscript"/>
              </w:rPr>
              <w:t>**</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.371</w:t>
            </w:r>
            <w:r>
              <w:rPr>
                <w:rFonts w:cs="Times New Roman"/>
                <w:sz w:val="21"/>
                <w:szCs w:val="21"/>
                <w:vertAlign w:val="superscript"/>
              </w:rPr>
              <w:t>**</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.148</w:t>
            </w:r>
            <w:r>
              <w:rPr>
                <w:rFonts w:cs="Times New Roman"/>
                <w:sz w:val="21"/>
                <w:szCs w:val="21"/>
                <w:vertAlign w:val="superscript"/>
              </w:rPr>
              <w:t>*</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.128</w:t>
            </w:r>
            <w:r>
              <w:rPr>
                <w:rFonts w:cs="Times New Roman"/>
                <w:sz w:val="21"/>
                <w:szCs w:val="21"/>
                <w:vertAlign w:val="superscript"/>
              </w:rPr>
              <w:t>*</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.821</w:t>
            </w:r>
            <w:r>
              <w:rPr>
                <w:rFonts w:cs="Times New Roman"/>
                <w:sz w:val="21"/>
                <w:szCs w:val="21"/>
                <w:vertAlign w:val="superscript"/>
              </w:rPr>
              <w:t>**</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.738</w:t>
            </w:r>
            <w:r>
              <w:rPr>
                <w:rFonts w:cs="Times New Roman"/>
                <w:sz w:val="21"/>
                <w:szCs w:val="21"/>
                <w:vertAlign w:val="superscript"/>
              </w:rPr>
              <w:t>**</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.683</w:t>
            </w:r>
            <w:r>
              <w:rPr>
                <w:rFonts w:cs="Times New Roman"/>
                <w:sz w:val="21"/>
                <w:szCs w:val="21"/>
                <w:vertAlign w:val="superscript"/>
              </w:rPr>
              <w:t>**</w:t>
            </w:r>
          </w:p>
        </w:tc>
        <w:tc>
          <w:tcPr>
            <w:tcW w:w="79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.769</w:t>
            </w:r>
            <w:r>
              <w:rPr>
                <w:rFonts w:cs="Times New Roman"/>
                <w:sz w:val="21"/>
                <w:szCs w:val="21"/>
                <w:vertAlign w:val="superscrip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18" w:hRule="atLeast"/>
        </w:trPr>
        <w:tc>
          <w:tcPr>
            <w:tcW w:w="56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536"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 (2-tailed)</w:t>
            </w:r>
          </w:p>
        </w:tc>
        <w:tc>
          <w:tcPr>
            <w:tcW w:w="792"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.013</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.033</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91" w:hRule="atLeast"/>
        </w:trPr>
        <w:tc>
          <w:tcPr>
            <w:tcW w:w="56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536" w:type="dxa"/>
            <w:tcBorders>
              <w:top w:val="nil"/>
              <w:left w:val="nil"/>
              <w:bottom w:val="single" w:color="000000" w:sz="8"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N</w:t>
            </w:r>
          </w:p>
        </w:tc>
        <w:tc>
          <w:tcPr>
            <w:tcW w:w="792" w:type="dxa"/>
            <w:tcBorders>
              <w:top w:val="nil"/>
              <w:left w:val="single" w:color="000000" w:sz="16"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2"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2"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01" w:hRule="atLeast"/>
        </w:trPr>
        <w:tc>
          <w:tcPr>
            <w:tcW w:w="567" w:type="dxa"/>
            <w:vMerge w:val="restart"/>
            <w:tcBorders>
              <w:top w:val="nil"/>
              <w:left w:val="single" w:color="000000" w:sz="16" w:space="0"/>
              <w:bottom w:val="single" w:color="000000" w:sz="8"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TP2</w:t>
            </w:r>
          </w:p>
        </w:tc>
        <w:tc>
          <w:tcPr>
            <w:tcW w:w="1536"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Pearson Correlation</w:t>
            </w:r>
          </w:p>
        </w:tc>
        <w:tc>
          <w:tcPr>
            <w:tcW w:w="792"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.190</w:t>
            </w:r>
            <w:r>
              <w:rPr>
                <w:rFonts w:cs="Times New Roman"/>
                <w:sz w:val="21"/>
                <w:szCs w:val="21"/>
                <w:vertAlign w:val="superscript"/>
              </w:rPr>
              <w:t>**</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.078</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.104</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-.048</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-.086</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.821</w:t>
            </w:r>
            <w:r>
              <w:rPr>
                <w:rFonts w:cs="Times New Roman"/>
                <w:sz w:val="21"/>
                <w:szCs w:val="21"/>
                <w:vertAlign w:val="superscript"/>
              </w:rPr>
              <w:t>**</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.783</w:t>
            </w:r>
            <w:r>
              <w:rPr>
                <w:rFonts w:cs="Times New Roman"/>
                <w:sz w:val="21"/>
                <w:szCs w:val="21"/>
                <w:vertAlign w:val="superscript"/>
              </w:rPr>
              <w:t>**</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.726</w:t>
            </w:r>
            <w:r>
              <w:rPr>
                <w:rFonts w:cs="Times New Roman"/>
                <w:sz w:val="21"/>
                <w:szCs w:val="21"/>
                <w:vertAlign w:val="superscript"/>
              </w:rPr>
              <w:t>**</w:t>
            </w:r>
          </w:p>
        </w:tc>
        <w:tc>
          <w:tcPr>
            <w:tcW w:w="79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.736</w:t>
            </w:r>
            <w:r>
              <w:rPr>
                <w:rFonts w:cs="Times New Roman"/>
                <w:sz w:val="21"/>
                <w:szCs w:val="21"/>
                <w:vertAlign w:val="superscrip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18" w:hRule="atLeast"/>
        </w:trPr>
        <w:tc>
          <w:tcPr>
            <w:tcW w:w="56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536"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 (2-tailed)</w:t>
            </w:r>
          </w:p>
        </w:tc>
        <w:tc>
          <w:tcPr>
            <w:tcW w:w="792"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.001</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.195</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.082</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.422</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.153</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91" w:hRule="atLeast"/>
        </w:trPr>
        <w:tc>
          <w:tcPr>
            <w:tcW w:w="56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536" w:type="dxa"/>
            <w:tcBorders>
              <w:top w:val="nil"/>
              <w:left w:val="nil"/>
              <w:bottom w:val="single" w:color="000000" w:sz="8"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N</w:t>
            </w:r>
          </w:p>
        </w:tc>
        <w:tc>
          <w:tcPr>
            <w:tcW w:w="792" w:type="dxa"/>
            <w:tcBorders>
              <w:top w:val="nil"/>
              <w:left w:val="single" w:color="000000" w:sz="16"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2"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2"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01" w:hRule="atLeast"/>
        </w:trPr>
        <w:tc>
          <w:tcPr>
            <w:tcW w:w="567" w:type="dxa"/>
            <w:vMerge w:val="restart"/>
            <w:tcBorders>
              <w:top w:val="nil"/>
              <w:left w:val="single" w:color="000000" w:sz="16" w:space="0"/>
              <w:bottom w:val="single" w:color="000000" w:sz="8"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TP3</w:t>
            </w:r>
          </w:p>
        </w:tc>
        <w:tc>
          <w:tcPr>
            <w:tcW w:w="1536"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Pearson Correlation</w:t>
            </w:r>
          </w:p>
        </w:tc>
        <w:tc>
          <w:tcPr>
            <w:tcW w:w="792"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.232</w:t>
            </w:r>
            <w:r>
              <w:rPr>
                <w:rFonts w:cs="Times New Roman"/>
                <w:sz w:val="21"/>
                <w:szCs w:val="21"/>
                <w:vertAlign w:val="superscript"/>
              </w:rPr>
              <w:t>**</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-.054</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.027</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-.101</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-.045</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.738</w:t>
            </w:r>
            <w:r>
              <w:rPr>
                <w:rFonts w:cs="Times New Roman"/>
                <w:sz w:val="21"/>
                <w:szCs w:val="21"/>
                <w:vertAlign w:val="superscript"/>
              </w:rPr>
              <w:t>**</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.783</w:t>
            </w:r>
            <w:r>
              <w:rPr>
                <w:rFonts w:cs="Times New Roman"/>
                <w:sz w:val="21"/>
                <w:szCs w:val="21"/>
                <w:vertAlign w:val="superscript"/>
              </w:rPr>
              <w:t>**</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.896</w:t>
            </w:r>
            <w:r>
              <w:rPr>
                <w:rFonts w:cs="Times New Roman"/>
                <w:sz w:val="21"/>
                <w:szCs w:val="21"/>
                <w:vertAlign w:val="superscript"/>
              </w:rPr>
              <w:t>**</w:t>
            </w:r>
          </w:p>
        </w:tc>
        <w:tc>
          <w:tcPr>
            <w:tcW w:w="79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.813</w:t>
            </w:r>
            <w:r>
              <w:rPr>
                <w:rFonts w:cs="Times New Roman"/>
                <w:sz w:val="21"/>
                <w:szCs w:val="21"/>
                <w:vertAlign w:val="superscrip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18" w:hRule="atLeast"/>
        </w:trPr>
        <w:tc>
          <w:tcPr>
            <w:tcW w:w="56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536"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 (2-tailed)</w:t>
            </w:r>
          </w:p>
        </w:tc>
        <w:tc>
          <w:tcPr>
            <w:tcW w:w="792"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.367</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.651</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.093</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.456</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91" w:hRule="atLeast"/>
        </w:trPr>
        <w:tc>
          <w:tcPr>
            <w:tcW w:w="56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536" w:type="dxa"/>
            <w:tcBorders>
              <w:top w:val="nil"/>
              <w:left w:val="nil"/>
              <w:bottom w:val="single" w:color="000000" w:sz="8"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N</w:t>
            </w:r>
          </w:p>
        </w:tc>
        <w:tc>
          <w:tcPr>
            <w:tcW w:w="792" w:type="dxa"/>
            <w:tcBorders>
              <w:top w:val="nil"/>
              <w:left w:val="single" w:color="000000" w:sz="16"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2"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2"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01" w:hRule="atLeast"/>
        </w:trPr>
        <w:tc>
          <w:tcPr>
            <w:tcW w:w="567" w:type="dxa"/>
            <w:vMerge w:val="restart"/>
            <w:tcBorders>
              <w:top w:val="nil"/>
              <w:left w:val="single" w:color="000000" w:sz="16" w:space="0"/>
              <w:bottom w:val="single" w:color="000000" w:sz="8"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TP4</w:t>
            </w:r>
          </w:p>
        </w:tc>
        <w:tc>
          <w:tcPr>
            <w:tcW w:w="1536"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Pearson Correlation</w:t>
            </w:r>
          </w:p>
        </w:tc>
        <w:tc>
          <w:tcPr>
            <w:tcW w:w="792"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.236</w:t>
            </w:r>
            <w:r>
              <w:rPr>
                <w:rFonts w:cs="Times New Roman"/>
                <w:sz w:val="21"/>
                <w:szCs w:val="21"/>
                <w:vertAlign w:val="superscript"/>
              </w:rPr>
              <w:t>**</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-.052</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.095</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-.043</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-.056</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.683</w:t>
            </w:r>
            <w:r>
              <w:rPr>
                <w:rFonts w:cs="Times New Roman"/>
                <w:sz w:val="21"/>
                <w:szCs w:val="21"/>
                <w:vertAlign w:val="superscript"/>
              </w:rPr>
              <w:t>**</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.726</w:t>
            </w:r>
            <w:r>
              <w:rPr>
                <w:rFonts w:cs="Times New Roman"/>
                <w:sz w:val="21"/>
                <w:szCs w:val="21"/>
                <w:vertAlign w:val="superscript"/>
              </w:rPr>
              <w:t>**</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.896</w:t>
            </w:r>
            <w:r>
              <w:rPr>
                <w:rFonts w:cs="Times New Roman"/>
                <w:sz w:val="21"/>
                <w:szCs w:val="21"/>
                <w:vertAlign w:val="superscript"/>
              </w:rPr>
              <w:t>**</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w:t>
            </w:r>
          </w:p>
        </w:tc>
        <w:tc>
          <w:tcPr>
            <w:tcW w:w="79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.823</w:t>
            </w:r>
            <w:r>
              <w:rPr>
                <w:rFonts w:cs="Times New Roman"/>
                <w:sz w:val="21"/>
                <w:szCs w:val="21"/>
                <w:vertAlign w:val="superscript"/>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18" w:hRule="atLeast"/>
        </w:trPr>
        <w:tc>
          <w:tcPr>
            <w:tcW w:w="56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536"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 (2-tailed)</w:t>
            </w:r>
          </w:p>
        </w:tc>
        <w:tc>
          <w:tcPr>
            <w:tcW w:w="792"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.387</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.114</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.471</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.347</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rPr>
                <w:rFonts w:cs="Times New Roman"/>
                <w:sz w:val="21"/>
                <w:szCs w:val="21"/>
              </w:rPr>
            </w:pPr>
          </w:p>
        </w:tc>
        <w:tc>
          <w:tcPr>
            <w:tcW w:w="79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91" w:hRule="atLeast"/>
        </w:trPr>
        <w:tc>
          <w:tcPr>
            <w:tcW w:w="567" w:type="dxa"/>
            <w:vMerge w:val="continue"/>
            <w:tcBorders>
              <w:top w:val="nil"/>
              <w:left w:val="single" w:color="000000" w:sz="16" w:space="0"/>
              <w:bottom w:val="single" w:color="000000" w:sz="8" w:space="0"/>
              <w:right w:val="nil"/>
              <w:tl2br w:val="nil"/>
              <w:tr2bl w:val="nil"/>
            </w:tcBorders>
            <w:shd w:val="clear" w:color="auto" w:fill="FFFFFF"/>
          </w:tcPr>
          <w:p>
            <w:pPr>
              <w:spacing w:beforeLines="0" w:afterLines="0"/>
              <w:rPr>
                <w:rFonts w:cs="Times New Roman"/>
                <w:sz w:val="21"/>
                <w:szCs w:val="21"/>
              </w:rPr>
            </w:pPr>
          </w:p>
        </w:tc>
        <w:tc>
          <w:tcPr>
            <w:tcW w:w="1536" w:type="dxa"/>
            <w:tcBorders>
              <w:top w:val="nil"/>
              <w:left w:val="nil"/>
              <w:bottom w:val="single" w:color="000000" w:sz="8"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N</w:t>
            </w:r>
          </w:p>
        </w:tc>
        <w:tc>
          <w:tcPr>
            <w:tcW w:w="792" w:type="dxa"/>
            <w:tcBorders>
              <w:top w:val="nil"/>
              <w:left w:val="single" w:color="000000" w:sz="16"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3"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2"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2"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8"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01" w:hRule="atLeast"/>
        </w:trPr>
        <w:tc>
          <w:tcPr>
            <w:tcW w:w="567" w:type="dxa"/>
            <w:vMerge w:val="restart"/>
            <w:tcBorders>
              <w:top w:val="nil"/>
              <w:left w:val="single" w:color="000000" w:sz="16" w:space="0"/>
              <w:bottom w:val="single" w:color="000000" w:sz="16" w:space="0"/>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TP5</w:t>
            </w:r>
          </w:p>
        </w:tc>
        <w:tc>
          <w:tcPr>
            <w:tcW w:w="1536"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Pearson Correlation</w:t>
            </w:r>
          </w:p>
        </w:tc>
        <w:tc>
          <w:tcPr>
            <w:tcW w:w="792"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.098</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-.050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.117</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-.090</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-.119</w:t>
            </w:r>
            <w:r>
              <w:rPr>
                <w:rFonts w:cs="Times New Roman"/>
                <w:sz w:val="21"/>
                <w:szCs w:val="21"/>
                <w:vertAlign w:val="superscript"/>
              </w:rPr>
              <w:t>*</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.769</w:t>
            </w:r>
            <w:r>
              <w:rPr>
                <w:rFonts w:cs="Times New Roman"/>
                <w:sz w:val="21"/>
                <w:szCs w:val="21"/>
                <w:vertAlign w:val="superscript"/>
              </w:rPr>
              <w:t>**</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.736</w:t>
            </w:r>
            <w:r>
              <w:rPr>
                <w:rFonts w:cs="Times New Roman"/>
                <w:sz w:val="21"/>
                <w:szCs w:val="21"/>
                <w:vertAlign w:val="superscript"/>
              </w:rPr>
              <w:t>**</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.813</w:t>
            </w:r>
            <w:r>
              <w:rPr>
                <w:rFonts w:cs="Times New Roman"/>
                <w:sz w:val="21"/>
                <w:szCs w:val="21"/>
                <w:vertAlign w:val="superscript"/>
              </w:rPr>
              <w:t>**</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.823</w:t>
            </w:r>
            <w:r>
              <w:rPr>
                <w:rFonts w:cs="Times New Roman"/>
                <w:sz w:val="21"/>
                <w:szCs w:val="21"/>
                <w:vertAlign w:val="superscript"/>
              </w:rPr>
              <w:t>**</w:t>
            </w:r>
          </w:p>
        </w:tc>
        <w:tc>
          <w:tcPr>
            <w:tcW w:w="79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31" w:hRule="atLeast"/>
        </w:trPr>
        <w:tc>
          <w:tcPr>
            <w:tcW w:w="567" w:type="dxa"/>
            <w:vMerge w:val="continue"/>
            <w:tcBorders>
              <w:top w:val="nil"/>
              <w:left w:val="single" w:color="000000" w:sz="16" w:space="0"/>
              <w:bottom w:val="single" w:color="000000" w:sz="16" w:space="0"/>
              <w:right w:val="nil"/>
              <w:tl2br w:val="nil"/>
              <w:tr2bl w:val="nil"/>
            </w:tcBorders>
            <w:shd w:val="clear" w:color="auto" w:fill="FFFFFF"/>
          </w:tcPr>
          <w:p>
            <w:pPr>
              <w:spacing w:beforeLines="0" w:afterLines="0"/>
              <w:rPr>
                <w:rFonts w:cs="Times New Roman"/>
                <w:sz w:val="21"/>
                <w:szCs w:val="21"/>
              </w:rPr>
            </w:pPr>
          </w:p>
        </w:tc>
        <w:tc>
          <w:tcPr>
            <w:tcW w:w="1536"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Sig. (2-tailed)</w:t>
            </w:r>
          </w:p>
        </w:tc>
        <w:tc>
          <w:tcPr>
            <w:tcW w:w="792"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.103</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.408</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.051</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.133</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.047</w:t>
            </w:r>
          </w:p>
        </w:tc>
        <w:tc>
          <w:tcPr>
            <w:tcW w:w="79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2"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.000</w:t>
            </w:r>
          </w:p>
        </w:tc>
        <w:tc>
          <w:tcPr>
            <w:tcW w:w="791"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rPr>
                <w:rFonts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04" w:hRule="atLeast"/>
        </w:trPr>
        <w:tc>
          <w:tcPr>
            <w:tcW w:w="567" w:type="dxa"/>
            <w:vMerge w:val="continue"/>
            <w:tcBorders>
              <w:top w:val="nil"/>
              <w:left w:val="single" w:color="000000" w:sz="16" w:space="0"/>
              <w:bottom w:val="single" w:color="000000" w:sz="16" w:space="0"/>
              <w:right w:val="nil"/>
              <w:tl2br w:val="nil"/>
              <w:tr2bl w:val="nil"/>
            </w:tcBorders>
            <w:shd w:val="clear" w:color="auto" w:fill="FFFFFF"/>
          </w:tcPr>
          <w:p>
            <w:pPr>
              <w:spacing w:beforeLines="0" w:afterLines="0"/>
              <w:rPr>
                <w:rFonts w:cs="Times New Roman"/>
                <w:sz w:val="21"/>
                <w:szCs w:val="21"/>
              </w:rPr>
            </w:pPr>
          </w:p>
        </w:tc>
        <w:tc>
          <w:tcPr>
            <w:tcW w:w="1536" w:type="dxa"/>
            <w:tcBorders>
              <w:top w:val="nil"/>
              <w:left w:val="nil"/>
              <w:bottom w:val="single" w:color="000000" w:sz="16" w:space="0"/>
              <w:right w:val="single" w:color="000000" w:sz="16" w:space="0"/>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N</w:t>
            </w:r>
          </w:p>
        </w:tc>
        <w:tc>
          <w:tcPr>
            <w:tcW w:w="792" w:type="dxa"/>
            <w:tcBorders>
              <w:top w:val="nil"/>
              <w:left w:val="single" w:color="000000" w:sz="16"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3"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3"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2"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2"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c>
          <w:tcPr>
            <w:tcW w:w="791" w:type="dxa"/>
            <w:tcBorders>
              <w:top w:val="nil"/>
              <w:left w:val="single" w:color="000000" w:sz="8" w:space="0"/>
              <w:bottom w:val="single" w:color="000000" w:sz="16" w:space="0"/>
              <w:right w:val="single" w:color="000000" w:sz="16" w:space="0"/>
              <w:tl2br w:val="nil"/>
              <w:tr2bl w:val="nil"/>
            </w:tcBorders>
            <w:shd w:val="clear" w:color="auto" w:fill="FFFFFF"/>
            <w:vAlign w:val="center"/>
          </w:tcPr>
          <w:p>
            <w:pPr>
              <w:spacing w:beforeLines="0" w:afterLines="0" w:line="320" w:lineRule="atLeast"/>
              <w:ind w:left="60" w:right="60"/>
              <w:jc w:val="right"/>
              <w:rPr>
                <w:rFonts w:cs="Times New Roman"/>
                <w:sz w:val="21"/>
                <w:szCs w:val="21"/>
              </w:rPr>
            </w:pPr>
            <w:r>
              <w:rPr>
                <w:rFonts w:cs="Times New Roman"/>
                <w:sz w:val="21"/>
                <w:szCs w:val="21"/>
              </w:rPr>
              <w:t>280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04" w:hRule="atLeast"/>
        </w:trPr>
        <w:tc>
          <w:tcPr>
            <w:tcW w:w="10020" w:type="dxa"/>
            <w:gridSpan w:val="12"/>
            <w:tcBorders>
              <w:top w:val="nil"/>
              <w:left w:val="nil"/>
              <w:bottom w:val="nil"/>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 Correlation is significant at the 0.01 level (2-tailed).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277" w:hRule="atLeast"/>
        </w:trPr>
        <w:tc>
          <w:tcPr>
            <w:tcW w:w="10020" w:type="dxa"/>
            <w:gridSpan w:val="12"/>
            <w:tcBorders>
              <w:top w:val="nil"/>
              <w:left w:val="nil"/>
              <w:bottom w:val="nil"/>
              <w:right w:val="nil"/>
              <w:tl2br w:val="nil"/>
              <w:tr2bl w:val="nil"/>
            </w:tcBorders>
            <w:shd w:val="clear" w:color="auto" w:fill="FFFFFF"/>
          </w:tcPr>
          <w:p>
            <w:pPr>
              <w:spacing w:beforeLines="0" w:afterLines="0" w:line="320" w:lineRule="atLeast"/>
              <w:ind w:left="60" w:right="60"/>
              <w:rPr>
                <w:rFonts w:cs="Times New Roman"/>
                <w:sz w:val="21"/>
                <w:szCs w:val="21"/>
              </w:rPr>
            </w:pPr>
            <w:r>
              <w:rPr>
                <w:rFonts w:cs="Times New Roman"/>
                <w:sz w:val="21"/>
                <w:szCs w:val="21"/>
              </w:rPr>
              <w:t>*. Correlation is significant at the 0.05 level (2-tailed).</w:t>
            </w:r>
          </w:p>
        </w:tc>
      </w:tr>
    </w:tbl>
    <w:p>
      <w:pPr>
        <w:spacing w:before="120" w:after="120"/>
        <w:rPr>
          <w:rFonts w:cs="Times New Roman"/>
        </w:rPr>
      </w:pPr>
    </w:p>
    <w:p>
      <w:pPr>
        <w:spacing w:before="120" w:after="120"/>
      </w:pPr>
      <w:r>
        <w:rPr>
          <w:rFonts w:cs="Times New Roman"/>
          <w:color w:val="000000" w:themeColor="text1"/>
          <w14:textFill>
            <w14:solidFill>
              <w14:schemeClr w14:val="tx1"/>
            </w14:solidFill>
          </w14:textFill>
        </w:rPr>
        <w:t xml:space="preserve">Table </w:t>
      </w:r>
      <w:r>
        <w:rPr>
          <w:rFonts w:hint="eastAsia" w:eastAsia="宋体" w:cs="Times New Roman"/>
          <w:color w:val="000000" w:themeColor="text1"/>
          <w14:textFill>
            <w14:solidFill>
              <w14:schemeClr w14:val="tx1"/>
            </w14:solidFill>
          </w14:textFill>
        </w:rPr>
        <w:t>4.13</w:t>
      </w:r>
      <w:r>
        <w:rPr>
          <w:rFonts w:cs="Times New Roman"/>
          <w:color w:val="000000" w:themeColor="text1"/>
          <w14:textFill>
            <w14:solidFill>
              <w14:schemeClr w14:val="tx1"/>
            </w14:solidFill>
          </w14:textFill>
        </w:rPr>
        <w:t xml:space="preserve"> shows that 2 constructs (IVs)</w:t>
      </w:r>
      <w:r>
        <w:rPr>
          <w:rFonts w:hint="eastAsia" w:eastAsia="宋体" w:cs="Times New Roman"/>
          <w:color w:val="000000" w:themeColor="text1"/>
          <w14:textFill>
            <w14:solidFill>
              <w14:schemeClr w14:val="tx1"/>
            </w14:solidFill>
          </w14:textFill>
        </w:rPr>
        <w:t xml:space="preserve"> </w:t>
      </w:r>
      <w:r>
        <w:rPr>
          <w:rFonts w:cs="Times New Roman"/>
          <w:color w:val="000000" w:themeColor="text1"/>
          <w14:textFill>
            <w14:solidFill>
              <w14:schemeClr w14:val="tx1"/>
            </w14:solidFill>
          </w14:textFill>
        </w:rPr>
        <w:t>of values for the different constructs or independent variables are much smaller than 1.00 which means that these independent variables are not correlated with one another.</w:t>
      </w:r>
      <w:r>
        <w:rPr>
          <w:rFonts w:eastAsia="宋体" w:cs="Times New Roman"/>
          <w:color w:val="000000" w:themeColor="text1"/>
          <w14:textFill>
            <w14:solidFill>
              <w14:schemeClr w14:val="tx1"/>
            </w14:solidFill>
          </w14:textFill>
        </w:rPr>
        <w:t xml:space="preserve"> The results are consistent with previous </w:t>
      </w:r>
      <w:r>
        <w:rPr>
          <w:rFonts w:hint="eastAsia" w:eastAsia="宋体" w:cs="Times New Roman"/>
          <w:color w:val="000000" w:themeColor="text1"/>
          <w14:textFill>
            <w14:solidFill>
              <w14:schemeClr w14:val="tx1"/>
            </w14:solidFill>
          </w14:textFill>
        </w:rPr>
        <w:t xml:space="preserve">pilot </w:t>
      </w:r>
      <w:r>
        <w:rPr>
          <w:rFonts w:eastAsia="宋体" w:cs="Times New Roman"/>
          <w:color w:val="000000" w:themeColor="text1"/>
          <w14:textFill>
            <w14:solidFill>
              <w14:schemeClr w14:val="tx1"/>
            </w14:solidFill>
          </w14:textFill>
        </w:rPr>
        <w:t>tests</w:t>
      </w:r>
      <w:r>
        <w:rPr>
          <w:rFonts w:hint="eastAsia" w:eastAsia="宋体" w:cs="Times New Roman"/>
          <w:color w:val="000000" w:themeColor="text1"/>
          <w14:textFill>
            <w14:solidFill>
              <w14:schemeClr w14:val="tx1"/>
            </w14:solidFill>
          </w14:textFill>
        </w:rPr>
        <w:t>.</w:t>
      </w:r>
    </w:p>
    <w:p>
      <w:pPr>
        <w:pStyle w:val="2"/>
        <w:spacing w:before="360" w:after="120"/>
        <w:rPr>
          <w:rFonts w:cs="Times New Roman"/>
        </w:rPr>
      </w:pPr>
      <w:bookmarkStart w:id="245" w:name="_Toc8687_WPSOffice_Level2"/>
      <w:bookmarkStart w:id="246" w:name="_Toc16948_WPSOffice_Level2"/>
      <w:r>
        <w:rPr>
          <w:rFonts w:cs="Times New Roman"/>
        </w:rPr>
        <w:t>4.5 Hypotheses Analysis</w:t>
      </w:r>
      <w:bookmarkEnd w:id="244"/>
      <w:bookmarkEnd w:id="245"/>
      <w:bookmarkEnd w:id="246"/>
    </w:p>
    <w:p>
      <w:pPr>
        <w:spacing w:before="120" w:after="120"/>
        <w:rPr>
          <w:rFonts w:cs="Times New Roman"/>
        </w:rPr>
      </w:pPr>
      <w:r>
        <w:rPr>
          <w:rFonts w:cs="Times New Roman"/>
        </w:rPr>
        <w:t>In this section, the</w:t>
      </w:r>
      <w:r>
        <w:rPr>
          <w:rFonts w:hint="eastAsia" w:eastAsia="宋体" w:cs="Times New Roman"/>
        </w:rPr>
        <w:t xml:space="preserve"> </w:t>
      </w:r>
      <w:r>
        <w:rPr>
          <w:rFonts w:cs="Times New Roman"/>
        </w:rPr>
        <w:t xml:space="preserve">Multiple Regression, ANOVA analysis and Correlation Coefficient  are involved to ascertain the relationships between independent variables and dependent variable. The following Table </w:t>
      </w:r>
      <w:r>
        <w:rPr>
          <w:rFonts w:hint="eastAsia" w:eastAsia="宋体" w:cs="Times New Roman"/>
        </w:rPr>
        <w:t>4.14</w:t>
      </w:r>
      <w:r>
        <w:rPr>
          <w:rFonts w:cs="Times New Roman"/>
        </w:rPr>
        <w:t xml:space="preserve"> listed the Hypotheses in the research to examine. </w:t>
      </w:r>
    </w:p>
    <w:p>
      <w:pPr>
        <w:spacing w:before="120" w:after="120"/>
        <w:rPr>
          <w:rFonts w:cs="Times New Roman"/>
        </w:rPr>
      </w:pPr>
    </w:p>
    <w:tbl>
      <w:tblPr>
        <w:tblStyle w:val="14"/>
        <w:tblpPr w:leftFromText="180" w:rightFromText="180" w:vertAnchor="text" w:horzAnchor="page" w:tblpX="1804" w:tblpY="789"/>
        <w:tblOverlap w:val="never"/>
        <w:tblW w:w="828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83"/>
        <w:gridCol w:w="719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52" w:hRule="atLeast"/>
        </w:trPr>
        <w:tc>
          <w:tcPr>
            <w:tcW w:w="1083"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utoSpaceDE w:val="0"/>
              <w:autoSpaceDN w:val="0"/>
              <w:adjustRightInd w:val="0"/>
              <w:spacing w:before="120" w:after="120"/>
              <w:ind w:left="60" w:right="60"/>
              <w:jc w:val="center"/>
              <w:rPr>
                <w:rFonts w:cs="Times New Roman"/>
              </w:rPr>
            </w:pPr>
            <w:r>
              <w:rPr>
                <w:rFonts w:cs="Times New Roman"/>
              </w:rPr>
              <w:t>Item</w:t>
            </w:r>
          </w:p>
        </w:tc>
        <w:tc>
          <w:tcPr>
            <w:tcW w:w="719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utoSpaceDE w:val="0"/>
              <w:autoSpaceDN w:val="0"/>
              <w:adjustRightInd w:val="0"/>
              <w:spacing w:before="120" w:after="120"/>
              <w:ind w:left="60" w:right="60"/>
              <w:jc w:val="center"/>
              <w:rPr>
                <w:rFonts w:cs="Times New Roman"/>
              </w:rPr>
            </w:pPr>
            <w:r>
              <w:rPr>
                <w:rFonts w:cs="Times New Roman"/>
              </w:rPr>
              <w:t>Hypothesis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126" w:hRule="atLeast"/>
        </w:trPr>
        <w:tc>
          <w:tcPr>
            <w:tcW w:w="1083" w:type="dxa"/>
            <w:tcBorders>
              <w:top w:val="single" w:color="auto" w:sz="4" w:space="0"/>
              <w:left w:val="single" w:color="auto" w:sz="4" w:space="0"/>
              <w:bottom w:val="single" w:color="auto" w:sz="4" w:space="0"/>
              <w:right w:val="single" w:color="auto" w:sz="4" w:space="0"/>
            </w:tcBorders>
            <w:shd w:val="clear" w:color="auto" w:fill="FFFFFF" w:themeFill="background1"/>
          </w:tcPr>
          <w:p>
            <w:pPr>
              <w:autoSpaceDE w:val="0"/>
              <w:autoSpaceDN w:val="0"/>
              <w:adjustRightInd w:val="0"/>
              <w:spacing w:before="120" w:after="120"/>
              <w:ind w:left="60" w:right="60"/>
              <w:jc w:val="center"/>
              <w:rPr>
                <w:rFonts w:cs="Times New Roman"/>
              </w:rPr>
            </w:pPr>
            <w:r>
              <w:rPr>
                <w:rFonts w:cs="Times New Roman"/>
                <w:b/>
                <w:bCs/>
              </w:rPr>
              <w:t>H1</w:t>
            </w:r>
          </w:p>
        </w:tc>
        <w:tc>
          <w:tcPr>
            <w:tcW w:w="719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before="120" w:after="120"/>
              <w:ind w:right="60"/>
              <w:jc w:val="center"/>
              <w:rPr>
                <w:rFonts w:cs="Times New Roman"/>
              </w:rPr>
            </w:pPr>
            <w:r>
              <w:rPr>
                <w:rFonts w:cs="Times New Roman"/>
              </w:rPr>
              <w:t>Deal &amp; Kennedy’s corporate culture dimensions has a significant influence on the performance of education industry in China.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1172" w:hRule="atLeast"/>
        </w:trPr>
        <w:tc>
          <w:tcPr>
            <w:tcW w:w="1083" w:type="dxa"/>
            <w:tcBorders>
              <w:top w:val="single" w:color="auto" w:sz="4" w:space="0"/>
              <w:left w:val="single" w:color="auto" w:sz="4" w:space="0"/>
              <w:bottom w:val="single" w:color="auto" w:sz="4" w:space="0"/>
              <w:right w:val="single" w:color="auto" w:sz="4" w:space="0"/>
            </w:tcBorders>
            <w:shd w:val="clear" w:color="auto" w:fill="FFFFFF" w:themeFill="background1"/>
          </w:tcPr>
          <w:p>
            <w:pPr>
              <w:autoSpaceDE w:val="0"/>
              <w:autoSpaceDN w:val="0"/>
              <w:adjustRightInd w:val="0"/>
              <w:spacing w:before="120" w:after="120"/>
              <w:ind w:left="60" w:right="60"/>
              <w:jc w:val="center"/>
              <w:rPr>
                <w:rFonts w:cs="Times New Roman"/>
              </w:rPr>
            </w:pPr>
            <w:r>
              <w:rPr>
                <w:rFonts w:cs="Times New Roman"/>
                <w:b/>
                <w:bCs/>
              </w:rPr>
              <w:t>H2</w:t>
            </w:r>
          </w:p>
        </w:tc>
        <w:tc>
          <w:tcPr>
            <w:tcW w:w="7197" w:type="dxa"/>
            <w:tcBorders>
              <w:top w:val="single" w:color="auto" w:sz="4" w:space="0"/>
              <w:left w:val="single" w:color="auto" w:sz="4" w:space="0"/>
              <w:bottom w:val="single" w:color="auto" w:sz="4" w:space="0"/>
              <w:right w:val="single" w:color="auto" w:sz="4" w:space="0"/>
            </w:tcBorders>
            <w:shd w:val="clear" w:color="auto" w:fill="FFFFFF"/>
            <w:vAlign w:val="center"/>
          </w:tcPr>
          <w:p>
            <w:pPr>
              <w:autoSpaceDE w:val="0"/>
              <w:autoSpaceDN w:val="0"/>
              <w:adjustRightInd w:val="0"/>
              <w:spacing w:before="120" w:after="120"/>
              <w:ind w:left="60" w:right="60"/>
              <w:jc w:val="center"/>
              <w:rPr>
                <w:rFonts w:cs="Times New Roman"/>
              </w:rPr>
            </w:pPr>
            <w:r>
              <w:rPr>
                <w:rFonts w:cs="Times New Roman"/>
              </w:rPr>
              <w:t>Trompenaars cultural dimensions has a significant influence on the performance of education industry in China.</w:t>
            </w:r>
          </w:p>
        </w:tc>
      </w:tr>
    </w:tbl>
    <w:p>
      <w:pPr>
        <w:spacing w:before="120" w:after="120"/>
        <w:rPr>
          <w:rFonts w:cs="Times New Roman"/>
        </w:rPr>
      </w:pPr>
      <w:r>
        <w:rPr>
          <w:rFonts w:cs="Times New Roman"/>
        </w:rPr>
        <w:t xml:space="preserve">Table </w:t>
      </w:r>
      <w:r>
        <w:rPr>
          <w:rFonts w:eastAsia="宋体" w:cs="Times New Roman"/>
        </w:rPr>
        <w:t>4</w:t>
      </w:r>
      <w:r>
        <w:rPr>
          <w:rFonts w:hint="eastAsia" w:eastAsia="宋体" w:cs="Times New Roman"/>
        </w:rPr>
        <w:t>.</w:t>
      </w:r>
      <w:r>
        <w:rPr>
          <w:rFonts w:eastAsia="宋体" w:cs="Times New Roman"/>
        </w:rPr>
        <w:t xml:space="preserve">14 </w:t>
      </w:r>
      <w:r>
        <w:rPr>
          <w:rFonts w:cs="Times New Roman"/>
        </w:rPr>
        <w:t>: List of Hypotheses in the Research</w:t>
      </w:r>
    </w:p>
    <w:p>
      <w:pPr>
        <w:spacing w:before="120" w:after="120"/>
        <w:rPr>
          <w:rFonts w:cs="Times New Roman"/>
        </w:rPr>
      </w:pPr>
    </w:p>
    <w:p>
      <w:pPr>
        <w:spacing w:before="120" w:after="120"/>
        <w:rPr>
          <w:rFonts w:cs="Times New Roman"/>
        </w:rPr>
      </w:pPr>
    </w:p>
    <w:p>
      <w:pPr>
        <w:pStyle w:val="4"/>
        <w:spacing w:before="120" w:after="120"/>
      </w:pPr>
      <w:bookmarkStart w:id="247" w:name="_Toc32328_WPSOffice_Level3"/>
      <w:bookmarkStart w:id="248" w:name="_Toc30911_WPSOffice_Level3"/>
      <w:r>
        <w:rPr>
          <w:rFonts w:cs="Times New Roman"/>
        </w:rPr>
        <w:t>4.5.1 Multiple regression</w:t>
      </w:r>
      <w:bookmarkEnd w:id="247"/>
      <w:bookmarkEnd w:id="248"/>
      <w:r>
        <w:rPr>
          <w:rFonts w:cs="Times New Roman"/>
        </w:rPr>
        <w:t xml:space="preserve"> </w:t>
      </w:r>
    </w:p>
    <w:p>
      <w:pPr>
        <w:tabs>
          <w:tab w:val="left" w:pos="5923"/>
        </w:tabs>
        <w:spacing w:before="120" w:after="120"/>
      </w:pPr>
      <w:r>
        <w:t>SPSS was used in order to conduct multiple regressions test that intended to check whether the hypotheses that have been discussed in previous chapter were supported or not. Furthermore, researcher used regression method in SPSS to calculate multiple regressions. Table 4.1</w:t>
      </w:r>
      <w:r>
        <w:rPr>
          <w:rFonts w:hint="eastAsia" w:eastAsia="宋体"/>
        </w:rPr>
        <w:t>5</w:t>
      </w:r>
      <w:r>
        <w:t xml:space="preserve"> and table 4.1</w:t>
      </w:r>
      <w:r>
        <w:rPr>
          <w:rFonts w:hint="eastAsia" w:eastAsia="宋体"/>
        </w:rPr>
        <w:t>6</w:t>
      </w:r>
      <w:r>
        <w:t xml:space="preserve"> showed the result of multiple regression method that indicate whether the hypotheses were supported or not.</w:t>
      </w:r>
    </w:p>
    <w:p>
      <w:pPr>
        <w:spacing w:before="120" w:after="120"/>
      </w:pPr>
    </w:p>
    <w:p>
      <w:pPr>
        <w:spacing w:before="120" w:after="120"/>
        <w:rPr>
          <w:rFonts w:cs="Times New Roman"/>
        </w:rPr>
      </w:pPr>
      <w:r>
        <w:rPr>
          <w:rFonts w:cs="Times New Roman"/>
        </w:rPr>
        <w:t>Table 4.15 : Multiple regression model summary</w:t>
      </w:r>
    </w:p>
    <w:tbl>
      <w:tblPr>
        <w:tblStyle w:val="14"/>
        <w:tblW w:w="685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33"/>
        <w:gridCol w:w="1202"/>
        <w:gridCol w:w="1274"/>
        <w:gridCol w:w="1722"/>
        <w:gridCol w:w="17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853" w:type="dxa"/>
            <w:gridSpan w:val="5"/>
            <w:tcBorders>
              <w:top w:val="nil"/>
              <w:left w:val="nil"/>
              <w:bottom w:val="nil"/>
              <w:right w:val="nil"/>
              <w:tl2br w:val="nil"/>
              <w:tr2bl w:val="nil"/>
            </w:tcBorders>
            <w:shd w:val="clear" w:color="auto" w:fill="FFFFFF"/>
            <w:vAlign w:val="center"/>
          </w:tcPr>
          <w:p>
            <w:pPr>
              <w:spacing w:beforeLines="0" w:afterLines="0" w:line="320" w:lineRule="atLeast"/>
              <w:ind w:left="60" w:right="60"/>
              <w:jc w:val="center"/>
              <w:rPr>
                <w:rFonts w:ascii="Arial" w:hAnsi="Arial"/>
                <w:sz w:val="18"/>
              </w:rPr>
            </w:pPr>
            <w:r>
              <w:rPr>
                <w:rFonts w:ascii="Arial" w:hAnsi="Arial"/>
                <w:b/>
                <w:sz w:val="18"/>
              </w:rPr>
              <w:t>Model Summary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933" w:type="dxa"/>
            <w:tcBorders>
              <w:top w:val="single" w:color="000000" w:sz="16" w:space="0"/>
              <w:left w:val="single" w:color="000000" w:sz="16" w:space="0"/>
              <w:bottom w:val="single" w:color="000000" w:sz="16" w:space="0"/>
              <w:right w:val="single" w:color="000000" w:sz="16" w:space="0"/>
              <w:tl2br w:val="nil"/>
              <w:tr2bl w:val="nil"/>
            </w:tcBorders>
            <w:shd w:val="clear" w:color="auto" w:fill="FFFFFF"/>
            <w:vAlign w:val="bottom"/>
          </w:tcPr>
          <w:p>
            <w:pPr>
              <w:spacing w:beforeLines="0" w:afterLines="0" w:line="320" w:lineRule="atLeast"/>
              <w:ind w:left="60" w:right="60"/>
              <w:rPr>
                <w:rFonts w:ascii="Arial" w:hAnsi="Arial"/>
                <w:sz w:val="18"/>
              </w:rPr>
            </w:pPr>
            <w:r>
              <w:rPr>
                <w:rFonts w:ascii="Arial" w:hAnsi="Arial"/>
                <w:sz w:val="18"/>
              </w:rPr>
              <w:t>Model</w:t>
            </w:r>
          </w:p>
        </w:tc>
        <w:tc>
          <w:tcPr>
            <w:tcW w:w="1202" w:type="dxa"/>
            <w:tcBorders>
              <w:top w:val="single" w:color="000000" w:sz="16" w:space="0"/>
              <w:left w:val="single" w:color="000000" w:sz="16"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ascii="Arial" w:hAnsi="Arial"/>
                <w:sz w:val="18"/>
              </w:rPr>
            </w:pPr>
            <w:r>
              <w:rPr>
                <w:rFonts w:ascii="Arial" w:hAnsi="Arial"/>
                <w:sz w:val="18"/>
              </w:rPr>
              <w:t>R</w:t>
            </w:r>
          </w:p>
        </w:tc>
        <w:tc>
          <w:tcPr>
            <w:tcW w:w="1274"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ascii="Arial" w:hAnsi="Arial"/>
                <w:sz w:val="18"/>
              </w:rPr>
            </w:pPr>
            <w:r>
              <w:rPr>
                <w:rFonts w:ascii="Arial" w:hAnsi="Arial"/>
                <w:sz w:val="18"/>
              </w:rPr>
              <w:t>R Square</w:t>
            </w:r>
          </w:p>
        </w:tc>
        <w:tc>
          <w:tcPr>
            <w:tcW w:w="1722"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ascii="Arial" w:hAnsi="Arial"/>
                <w:sz w:val="18"/>
              </w:rPr>
            </w:pPr>
            <w:r>
              <w:rPr>
                <w:rFonts w:ascii="Arial" w:hAnsi="Arial"/>
                <w:sz w:val="18"/>
              </w:rPr>
              <w:t>Adjusted R Square</w:t>
            </w:r>
          </w:p>
        </w:tc>
        <w:tc>
          <w:tcPr>
            <w:tcW w:w="1722" w:type="dxa"/>
            <w:tcBorders>
              <w:top w:val="single" w:color="000000" w:sz="16" w:space="0"/>
              <w:left w:val="single" w:color="000000" w:sz="8" w:space="0"/>
              <w:bottom w:val="single" w:color="000000" w:sz="16" w:space="0"/>
              <w:right w:val="single" w:color="000000" w:sz="16" w:space="0"/>
              <w:tl2br w:val="nil"/>
              <w:tr2bl w:val="nil"/>
            </w:tcBorders>
            <w:shd w:val="clear" w:color="auto" w:fill="FFFFFF"/>
            <w:vAlign w:val="bottom"/>
          </w:tcPr>
          <w:p>
            <w:pPr>
              <w:spacing w:beforeLines="0" w:afterLines="0" w:line="320" w:lineRule="atLeast"/>
              <w:ind w:left="60" w:right="60"/>
              <w:jc w:val="center"/>
              <w:rPr>
                <w:rFonts w:ascii="Arial" w:hAnsi="Arial"/>
                <w:sz w:val="18"/>
              </w:rPr>
            </w:pPr>
            <w:r>
              <w:rPr>
                <w:rFonts w:ascii="Arial" w:hAnsi="Arial"/>
                <w:sz w:val="18"/>
              </w:rPr>
              <w:t>Std. Error of the Estimate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933" w:type="dxa"/>
            <w:tcBorders>
              <w:top w:val="single" w:color="000000" w:sz="16" w:space="0"/>
              <w:left w:val="single" w:color="000000" w:sz="16" w:space="0"/>
              <w:bottom w:val="single" w:color="000000" w:sz="16" w:space="0"/>
              <w:right w:val="single" w:color="000000" w:sz="16" w:space="0"/>
              <w:tl2br w:val="nil"/>
              <w:tr2bl w:val="nil"/>
            </w:tcBorders>
            <w:shd w:val="clear" w:color="auto" w:fill="FFFFFF"/>
          </w:tcPr>
          <w:p>
            <w:pPr>
              <w:spacing w:beforeLines="0" w:afterLines="0" w:line="320" w:lineRule="atLeast"/>
              <w:ind w:left="60" w:right="60"/>
              <w:rPr>
                <w:rFonts w:ascii="Arial" w:hAnsi="Arial"/>
                <w:sz w:val="18"/>
              </w:rPr>
            </w:pPr>
            <w:r>
              <w:rPr>
                <w:rFonts w:ascii="Arial" w:hAnsi="Arial"/>
                <w:sz w:val="18"/>
              </w:rPr>
              <w:t>1</w:t>
            </w:r>
          </w:p>
        </w:tc>
        <w:tc>
          <w:tcPr>
            <w:tcW w:w="1202" w:type="dxa"/>
            <w:tcBorders>
              <w:top w:val="single" w:color="000000" w:sz="16" w:space="0"/>
              <w:left w:val="single" w:color="000000" w:sz="16"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w:t>
            </w:r>
            <w:r>
              <w:rPr>
                <w:rFonts w:hint="eastAsia" w:eastAsia="宋体"/>
                <w:sz w:val="18"/>
              </w:rPr>
              <w:t>6</w:t>
            </w:r>
            <w:r>
              <w:rPr>
                <w:rFonts w:ascii="Arial" w:hAnsi="Arial"/>
                <w:sz w:val="18"/>
              </w:rPr>
              <w:t>42</w:t>
            </w:r>
            <w:r>
              <w:rPr>
                <w:rFonts w:ascii="Arial" w:hAnsi="Arial"/>
                <w:sz w:val="18"/>
                <w:vertAlign w:val="superscript"/>
              </w:rPr>
              <w:t>a</w:t>
            </w:r>
          </w:p>
        </w:tc>
        <w:tc>
          <w:tcPr>
            <w:tcW w:w="1274"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eastAsia="宋体"/>
                <w:sz w:val="18"/>
              </w:rPr>
            </w:pPr>
            <w:r>
              <w:rPr>
                <w:rFonts w:ascii="Arial" w:hAnsi="Arial"/>
                <w:sz w:val="18"/>
              </w:rPr>
              <w:t>.59</w:t>
            </w:r>
            <w:r>
              <w:rPr>
                <w:rFonts w:hint="eastAsia" w:eastAsia="宋体"/>
                <w:sz w:val="18"/>
              </w:rPr>
              <w:t>1</w:t>
            </w:r>
          </w:p>
        </w:tc>
        <w:tc>
          <w:tcPr>
            <w:tcW w:w="1722"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.5</w:t>
            </w:r>
            <w:r>
              <w:rPr>
                <w:rFonts w:hint="eastAsia" w:eastAsia="宋体"/>
                <w:sz w:val="18"/>
              </w:rPr>
              <w:t>9</w:t>
            </w:r>
            <w:r>
              <w:rPr>
                <w:rFonts w:ascii="Arial" w:hAnsi="Arial"/>
                <w:sz w:val="18"/>
              </w:rPr>
              <w:t>2</w:t>
            </w:r>
          </w:p>
        </w:tc>
        <w:tc>
          <w:tcPr>
            <w:tcW w:w="1722" w:type="dxa"/>
            <w:tcBorders>
              <w:top w:val="single" w:color="000000" w:sz="16" w:space="0"/>
              <w:left w:val="single" w:color="000000" w:sz="8" w:space="0"/>
              <w:bottom w:val="single" w:color="000000" w:sz="16" w:space="0"/>
              <w:right w:val="single" w:color="000000" w:sz="16"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w:t>
            </w:r>
            <w:r>
              <w:rPr>
                <w:rFonts w:hint="eastAsia" w:eastAsia="宋体"/>
                <w:sz w:val="18"/>
              </w:rPr>
              <w:t>49</w:t>
            </w:r>
            <w:r>
              <w:rPr>
                <w:rFonts w:ascii="Arial" w:hAnsi="Arial"/>
                <w:sz w:val="18"/>
              </w:rPr>
              <w:t>228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853" w:type="dxa"/>
            <w:gridSpan w:val="5"/>
            <w:tcBorders>
              <w:top w:val="nil"/>
              <w:left w:val="nil"/>
              <w:bottom w:val="nil"/>
              <w:right w:val="nil"/>
              <w:tl2br w:val="nil"/>
              <w:tr2bl w:val="nil"/>
            </w:tcBorders>
            <w:shd w:val="clear" w:color="auto" w:fill="FFFFFF"/>
          </w:tcPr>
          <w:p>
            <w:pPr>
              <w:spacing w:beforeLines="0" w:afterLines="0" w:line="320" w:lineRule="atLeast"/>
              <w:ind w:left="60" w:right="60"/>
              <w:rPr>
                <w:rFonts w:ascii="Arial" w:hAnsi="Arial"/>
                <w:sz w:val="18"/>
              </w:rPr>
            </w:pPr>
            <w:r>
              <w:rPr>
                <w:rFonts w:ascii="Arial" w:hAnsi="Arial"/>
                <w:sz w:val="18"/>
              </w:rPr>
              <w:t>a. Predictors: (Constant), mean_TP, mean_DK</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Pr>
        <w:tc>
          <w:tcPr>
            <w:tcW w:w="6853" w:type="dxa"/>
            <w:gridSpan w:val="5"/>
            <w:tcBorders>
              <w:top w:val="nil"/>
              <w:left w:val="nil"/>
              <w:bottom w:val="nil"/>
              <w:right w:val="nil"/>
              <w:tl2br w:val="nil"/>
              <w:tr2bl w:val="nil"/>
            </w:tcBorders>
            <w:shd w:val="clear" w:color="auto" w:fill="FFFFFF"/>
          </w:tcPr>
          <w:p>
            <w:pPr>
              <w:spacing w:beforeLines="0" w:afterLines="0" w:line="320" w:lineRule="atLeast"/>
              <w:ind w:left="60" w:right="60"/>
              <w:rPr>
                <w:rFonts w:ascii="Arial" w:hAnsi="Arial"/>
                <w:sz w:val="18"/>
              </w:rPr>
            </w:pPr>
          </w:p>
        </w:tc>
      </w:tr>
    </w:tbl>
    <w:p>
      <w:pPr>
        <w:spacing w:before="120" w:after="120"/>
        <w:rPr>
          <w:rFonts w:cs="Times New Roman"/>
        </w:rPr>
      </w:pPr>
      <w:r>
        <w:rPr>
          <w:rFonts w:cs="Times New Roman"/>
        </w:rPr>
        <w:t>Table 4-16 : Multiple regression ANOVA</w:t>
      </w:r>
    </w:p>
    <w:tbl>
      <w:tblPr>
        <w:tblStyle w:val="14"/>
        <w:tblW w:w="85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3"/>
        <w:gridCol w:w="1371"/>
        <w:gridCol w:w="1566"/>
        <w:gridCol w:w="1093"/>
        <w:gridCol w:w="1501"/>
        <w:gridCol w:w="1093"/>
        <w:gridCol w:w="109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70" w:hRule="atLeast"/>
        </w:trPr>
        <w:tc>
          <w:tcPr>
            <w:tcW w:w="8500" w:type="dxa"/>
            <w:gridSpan w:val="7"/>
            <w:tcBorders>
              <w:top w:val="nil"/>
              <w:left w:val="nil"/>
              <w:bottom w:val="nil"/>
              <w:right w:val="nil"/>
              <w:tl2br w:val="nil"/>
              <w:tr2bl w:val="nil"/>
            </w:tcBorders>
            <w:shd w:val="clear" w:color="auto" w:fill="FFFFFF"/>
            <w:vAlign w:val="center"/>
          </w:tcPr>
          <w:p>
            <w:pPr>
              <w:spacing w:beforeLines="0" w:afterLines="0" w:line="320" w:lineRule="atLeast"/>
              <w:ind w:left="60" w:right="60"/>
              <w:jc w:val="center"/>
              <w:rPr>
                <w:rFonts w:ascii="Arial" w:hAnsi="Arial"/>
                <w:sz w:val="18"/>
              </w:rPr>
            </w:pPr>
            <w:r>
              <w:rPr>
                <w:rFonts w:ascii="Arial" w:hAnsi="Arial"/>
                <w:b/>
                <w:sz w:val="18"/>
              </w:rPr>
              <w:t>ANOVA</w:t>
            </w:r>
            <w:r>
              <w:rPr>
                <w:rFonts w:ascii="Arial" w:hAnsi="Arial"/>
                <w:b/>
                <w:sz w:val="18"/>
                <w:vertAlign w:val="superscript"/>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06" w:hRule="atLeast"/>
        </w:trPr>
        <w:tc>
          <w:tcPr>
            <w:tcW w:w="2154" w:type="dxa"/>
            <w:gridSpan w:val="2"/>
            <w:tcBorders>
              <w:top w:val="single" w:color="000000" w:sz="16" w:space="0"/>
              <w:left w:val="single" w:color="000000" w:sz="16" w:space="0"/>
              <w:bottom w:val="single" w:color="000000" w:sz="16" w:space="0"/>
              <w:right w:val="nil"/>
              <w:tl2br w:val="nil"/>
              <w:tr2bl w:val="nil"/>
            </w:tcBorders>
            <w:shd w:val="clear" w:color="auto" w:fill="FFFFFF"/>
            <w:vAlign w:val="bottom"/>
          </w:tcPr>
          <w:p>
            <w:pPr>
              <w:spacing w:beforeLines="0" w:afterLines="0" w:line="320" w:lineRule="atLeast"/>
              <w:ind w:left="60" w:right="60"/>
              <w:rPr>
                <w:rFonts w:ascii="Arial" w:hAnsi="Arial"/>
                <w:sz w:val="18"/>
              </w:rPr>
            </w:pPr>
            <w:r>
              <w:rPr>
                <w:rFonts w:ascii="Arial" w:hAnsi="Arial"/>
                <w:sz w:val="18"/>
              </w:rPr>
              <w:t>Model</w:t>
            </w:r>
          </w:p>
        </w:tc>
        <w:tc>
          <w:tcPr>
            <w:tcW w:w="1566" w:type="dxa"/>
            <w:tcBorders>
              <w:top w:val="single" w:color="000000" w:sz="16" w:space="0"/>
              <w:left w:val="single" w:color="000000" w:sz="16"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ascii="Arial" w:hAnsi="Arial"/>
                <w:sz w:val="18"/>
              </w:rPr>
            </w:pPr>
            <w:r>
              <w:rPr>
                <w:rFonts w:ascii="Arial" w:hAnsi="Arial"/>
                <w:sz w:val="18"/>
              </w:rPr>
              <w:t>Sum of Squares</w:t>
            </w:r>
          </w:p>
        </w:tc>
        <w:tc>
          <w:tcPr>
            <w:tcW w:w="1093"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ascii="Arial" w:hAnsi="Arial"/>
                <w:sz w:val="18"/>
              </w:rPr>
            </w:pPr>
            <w:r>
              <w:rPr>
                <w:rFonts w:ascii="Arial" w:hAnsi="Arial"/>
                <w:sz w:val="18"/>
              </w:rPr>
              <w:t>df</w:t>
            </w:r>
          </w:p>
        </w:tc>
        <w:tc>
          <w:tcPr>
            <w:tcW w:w="1501"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ascii="Arial" w:hAnsi="Arial"/>
                <w:sz w:val="18"/>
              </w:rPr>
            </w:pPr>
            <w:r>
              <w:rPr>
                <w:rFonts w:ascii="Arial" w:hAnsi="Arial"/>
                <w:sz w:val="18"/>
              </w:rPr>
              <w:t>Mean Square</w:t>
            </w:r>
          </w:p>
        </w:tc>
        <w:tc>
          <w:tcPr>
            <w:tcW w:w="1093" w:type="dxa"/>
            <w:tcBorders>
              <w:top w:val="single" w:color="000000" w:sz="16"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ascii="Arial" w:hAnsi="Arial"/>
                <w:sz w:val="18"/>
              </w:rPr>
            </w:pPr>
            <w:r>
              <w:rPr>
                <w:rFonts w:ascii="Arial" w:hAnsi="Arial"/>
                <w:sz w:val="18"/>
              </w:rPr>
              <w:t>F</w:t>
            </w:r>
          </w:p>
        </w:tc>
        <w:tc>
          <w:tcPr>
            <w:tcW w:w="1093" w:type="dxa"/>
            <w:tcBorders>
              <w:top w:val="single" w:color="000000" w:sz="16" w:space="0"/>
              <w:left w:val="single" w:color="000000" w:sz="8" w:space="0"/>
              <w:bottom w:val="single" w:color="000000" w:sz="16" w:space="0"/>
              <w:right w:val="single" w:color="000000" w:sz="16" w:space="0"/>
              <w:tl2br w:val="nil"/>
              <w:tr2bl w:val="nil"/>
            </w:tcBorders>
            <w:shd w:val="clear" w:color="auto" w:fill="FFFFFF"/>
            <w:vAlign w:val="bottom"/>
          </w:tcPr>
          <w:p>
            <w:pPr>
              <w:spacing w:beforeLines="0" w:afterLines="0" w:line="320" w:lineRule="atLeast"/>
              <w:ind w:left="60" w:right="60"/>
              <w:jc w:val="center"/>
              <w:rPr>
                <w:rFonts w:ascii="Arial" w:hAnsi="Arial"/>
                <w:sz w:val="18"/>
              </w:rPr>
            </w:pPr>
            <w:r>
              <w:rPr>
                <w:rFonts w:ascii="Arial" w:hAnsi="Arial"/>
                <w:sz w:val="18"/>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06" w:hRule="atLeast"/>
        </w:trPr>
        <w:tc>
          <w:tcPr>
            <w:tcW w:w="783" w:type="dxa"/>
            <w:vMerge w:val="restart"/>
            <w:tcBorders>
              <w:top w:val="single" w:color="000000" w:sz="16" w:space="0"/>
              <w:left w:val="single" w:color="000000" w:sz="16" w:space="0"/>
              <w:bottom w:val="single" w:color="000000" w:sz="16" w:space="0"/>
              <w:right w:val="nil"/>
              <w:tl2br w:val="nil"/>
              <w:tr2bl w:val="nil"/>
            </w:tcBorders>
            <w:shd w:val="clear" w:color="auto" w:fill="FFFFFF"/>
          </w:tcPr>
          <w:p>
            <w:pPr>
              <w:spacing w:beforeLines="0" w:afterLines="0" w:line="320" w:lineRule="atLeast"/>
              <w:ind w:left="60" w:right="60"/>
              <w:rPr>
                <w:rFonts w:ascii="Arial" w:hAnsi="Arial"/>
                <w:sz w:val="18"/>
              </w:rPr>
            </w:pPr>
            <w:r>
              <w:rPr>
                <w:rFonts w:ascii="Arial" w:hAnsi="Arial"/>
                <w:sz w:val="18"/>
              </w:rPr>
              <w:t>1</w:t>
            </w:r>
          </w:p>
        </w:tc>
        <w:tc>
          <w:tcPr>
            <w:tcW w:w="1371" w:type="dxa"/>
            <w:tcBorders>
              <w:top w:val="single" w:color="000000" w:sz="16" w:space="0"/>
              <w:left w:val="nil"/>
              <w:bottom w:val="nil"/>
              <w:right w:val="single" w:color="000000" w:sz="16" w:space="0"/>
              <w:tl2br w:val="nil"/>
              <w:tr2bl w:val="nil"/>
            </w:tcBorders>
            <w:shd w:val="clear" w:color="auto" w:fill="FFFFFF"/>
          </w:tcPr>
          <w:p>
            <w:pPr>
              <w:spacing w:beforeLines="0" w:afterLines="0" w:line="320" w:lineRule="atLeast"/>
              <w:ind w:left="60" w:right="60"/>
              <w:rPr>
                <w:rFonts w:ascii="Arial" w:hAnsi="Arial"/>
                <w:sz w:val="18"/>
              </w:rPr>
            </w:pPr>
            <w:r>
              <w:rPr>
                <w:rFonts w:ascii="Arial" w:hAnsi="Arial"/>
                <w:sz w:val="18"/>
              </w:rPr>
              <w:t>Regression</w:t>
            </w:r>
          </w:p>
        </w:tc>
        <w:tc>
          <w:tcPr>
            <w:tcW w:w="1566" w:type="dxa"/>
            <w:tcBorders>
              <w:top w:val="single" w:color="000000" w:sz="16" w:space="0"/>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11.414</w:t>
            </w:r>
          </w:p>
        </w:tc>
        <w:tc>
          <w:tcPr>
            <w:tcW w:w="1093"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2</w:t>
            </w:r>
          </w:p>
        </w:tc>
        <w:tc>
          <w:tcPr>
            <w:tcW w:w="1501"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5.707</w:t>
            </w:r>
          </w:p>
        </w:tc>
        <w:tc>
          <w:tcPr>
            <w:tcW w:w="1093"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8.649</w:t>
            </w:r>
          </w:p>
        </w:tc>
        <w:tc>
          <w:tcPr>
            <w:tcW w:w="1093" w:type="dxa"/>
            <w:tcBorders>
              <w:top w:val="single" w:color="000000" w:sz="16" w:space="0"/>
              <w:left w:val="single" w:color="000000" w:sz="8" w:space="0"/>
              <w:bottom w:val="nil"/>
              <w:right w:val="single" w:color="000000" w:sz="16"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.000</w:t>
            </w:r>
            <w:r>
              <w:rPr>
                <w:rFonts w:ascii="Arial" w:hAnsi="Arial"/>
                <w:sz w:val="18"/>
                <w:vertAlign w:val="superscript"/>
              </w:rPr>
              <w:t>b</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36" w:hRule="atLeast"/>
        </w:trPr>
        <w:tc>
          <w:tcPr>
            <w:tcW w:w="783"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spacing w:beforeLines="0" w:afterLines="0"/>
              <w:rPr>
                <w:rFonts w:ascii="Arial" w:hAnsi="Arial"/>
                <w:sz w:val="18"/>
              </w:rPr>
            </w:pPr>
          </w:p>
        </w:tc>
        <w:tc>
          <w:tcPr>
            <w:tcW w:w="1371" w:type="dxa"/>
            <w:tcBorders>
              <w:top w:val="nil"/>
              <w:left w:val="nil"/>
              <w:bottom w:val="nil"/>
              <w:right w:val="single" w:color="000000" w:sz="16" w:space="0"/>
              <w:tl2br w:val="nil"/>
              <w:tr2bl w:val="nil"/>
            </w:tcBorders>
            <w:shd w:val="clear" w:color="auto" w:fill="FFFFFF"/>
          </w:tcPr>
          <w:p>
            <w:pPr>
              <w:spacing w:beforeLines="0" w:afterLines="0" w:line="320" w:lineRule="atLeast"/>
              <w:ind w:left="60" w:right="60"/>
              <w:rPr>
                <w:rFonts w:ascii="Arial" w:hAnsi="Arial"/>
                <w:sz w:val="18"/>
              </w:rPr>
            </w:pPr>
            <w:r>
              <w:rPr>
                <w:rFonts w:ascii="Arial" w:hAnsi="Arial"/>
                <w:sz w:val="18"/>
              </w:rPr>
              <w:t>Residual</w:t>
            </w:r>
          </w:p>
        </w:tc>
        <w:tc>
          <w:tcPr>
            <w:tcW w:w="1566" w:type="dxa"/>
            <w:tcBorders>
              <w:top w:val="nil"/>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182.766</w:t>
            </w:r>
          </w:p>
        </w:tc>
        <w:tc>
          <w:tcPr>
            <w:tcW w:w="10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277</w:t>
            </w:r>
          </w:p>
        </w:tc>
        <w:tc>
          <w:tcPr>
            <w:tcW w:w="1501"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.660</w:t>
            </w:r>
          </w:p>
        </w:tc>
        <w:tc>
          <w:tcPr>
            <w:tcW w:w="1093" w:type="dxa"/>
            <w:tcBorders>
              <w:top w:val="nil"/>
              <w:left w:val="single" w:color="000000" w:sz="8" w:space="0"/>
              <w:bottom w:val="nil"/>
              <w:right w:val="single" w:color="000000" w:sz="8" w:space="0"/>
              <w:tl2br w:val="nil"/>
              <w:tr2bl w:val="nil"/>
            </w:tcBorders>
            <w:shd w:val="clear" w:color="auto" w:fill="FFFFFF"/>
            <w:vAlign w:val="center"/>
          </w:tcPr>
          <w:p>
            <w:pPr>
              <w:spacing w:beforeLines="0" w:afterLines="0"/>
            </w:pPr>
          </w:p>
        </w:tc>
        <w:tc>
          <w:tcPr>
            <w:tcW w:w="1093" w:type="dxa"/>
            <w:tcBorders>
              <w:top w:val="nil"/>
              <w:left w:val="single" w:color="000000" w:sz="8" w:space="0"/>
              <w:bottom w:val="nil"/>
              <w:right w:val="single" w:color="000000" w:sz="16" w:space="0"/>
              <w:tl2br w:val="nil"/>
              <w:tr2bl w:val="nil"/>
            </w:tcBorders>
            <w:shd w:val="clear" w:color="auto" w:fill="FFFFFF"/>
            <w:vAlign w:val="center"/>
          </w:tcPr>
          <w:p>
            <w:pPr>
              <w:spacing w:beforeLines="0" w:afterLines="0"/>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536" w:hRule="atLeast"/>
        </w:trPr>
        <w:tc>
          <w:tcPr>
            <w:tcW w:w="783"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spacing w:beforeLines="0" w:afterLines="0"/>
            </w:pPr>
          </w:p>
        </w:tc>
        <w:tc>
          <w:tcPr>
            <w:tcW w:w="1371" w:type="dxa"/>
            <w:tcBorders>
              <w:top w:val="nil"/>
              <w:left w:val="nil"/>
              <w:bottom w:val="single" w:color="000000" w:sz="16" w:space="0"/>
              <w:right w:val="single" w:color="000000" w:sz="16" w:space="0"/>
              <w:tl2br w:val="nil"/>
              <w:tr2bl w:val="nil"/>
            </w:tcBorders>
            <w:shd w:val="clear" w:color="auto" w:fill="FFFFFF"/>
          </w:tcPr>
          <w:p>
            <w:pPr>
              <w:spacing w:beforeLines="0" w:afterLines="0" w:line="320" w:lineRule="atLeast"/>
              <w:ind w:left="60" w:right="60"/>
              <w:rPr>
                <w:rFonts w:ascii="Arial" w:hAnsi="Arial"/>
                <w:sz w:val="18"/>
              </w:rPr>
            </w:pPr>
            <w:r>
              <w:rPr>
                <w:rFonts w:ascii="Arial" w:hAnsi="Arial"/>
                <w:sz w:val="18"/>
              </w:rPr>
              <w:t>Total</w:t>
            </w:r>
          </w:p>
        </w:tc>
        <w:tc>
          <w:tcPr>
            <w:tcW w:w="1566" w:type="dxa"/>
            <w:tcBorders>
              <w:top w:val="nil"/>
              <w:left w:val="single" w:color="000000" w:sz="16"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194.180</w:t>
            </w:r>
          </w:p>
        </w:tc>
        <w:tc>
          <w:tcPr>
            <w:tcW w:w="1093"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279</w:t>
            </w:r>
          </w:p>
        </w:tc>
        <w:tc>
          <w:tcPr>
            <w:tcW w:w="1501"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pPr>
          </w:p>
        </w:tc>
        <w:tc>
          <w:tcPr>
            <w:tcW w:w="1093"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pPr>
          </w:p>
        </w:tc>
        <w:tc>
          <w:tcPr>
            <w:tcW w:w="1093" w:type="dxa"/>
            <w:tcBorders>
              <w:top w:val="nil"/>
              <w:left w:val="single" w:color="000000" w:sz="8" w:space="0"/>
              <w:bottom w:val="single" w:color="000000" w:sz="16" w:space="0"/>
              <w:right w:val="single" w:color="000000" w:sz="16" w:space="0"/>
              <w:tl2br w:val="nil"/>
              <w:tr2bl w:val="nil"/>
            </w:tcBorders>
            <w:shd w:val="clear" w:color="auto" w:fill="FFFFFF"/>
            <w:vAlign w:val="center"/>
          </w:tcPr>
          <w:p>
            <w:pPr>
              <w:spacing w:beforeLines="0" w:afterLines="0"/>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406" w:hRule="atLeast"/>
        </w:trPr>
        <w:tc>
          <w:tcPr>
            <w:tcW w:w="8500" w:type="dxa"/>
            <w:gridSpan w:val="7"/>
            <w:tcBorders>
              <w:top w:val="nil"/>
              <w:left w:val="nil"/>
              <w:bottom w:val="nil"/>
              <w:right w:val="nil"/>
              <w:tl2br w:val="nil"/>
              <w:tr2bl w:val="nil"/>
            </w:tcBorders>
            <w:shd w:val="clear" w:color="auto" w:fill="FFFFFF"/>
          </w:tcPr>
          <w:p>
            <w:pPr>
              <w:spacing w:beforeLines="0" w:afterLines="0" w:line="320" w:lineRule="atLeast"/>
              <w:ind w:left="60" w:right="60"/>
              <w:rPr>
                <w:rFonts w:ascii="Arial" w:hAnsi="Arial"/>
                <w:sz w:val="18"/>
              </w:rPr>
            </w:pPr>
            <w:r>
              <w:rPr>
                <w:rFonts w:ascii="Arial" w:hAnsi="Arial"/>
                <w:sz w:val="18"/>
              </w:rPr>
              <w:t>a. Dependent Variable: mean_P</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70" w:hRule="atLeast"/>
        </w:trPr>
        <w:tc>
          <w:tcPr>
            <w:tcW w:w="8500" w:type="dxa"/>
            <w:gridSpan w:val="7"/>
            <w:tcBorders>
              <w:top w:val="nil"/>
              <w:left w:val="nil"/>
              <w:bottom w:val="nil"/>
              <w:right w:val="nil"/>
              <w:tl2br w:val="nil"/>
              <w:tr2bl w:val="nil"/>
            </w:tcBorders>
            <w:shd w:val="clear" w:color="auto" w:fill="FFFFFF"/>
          </w:tcPr>
          <w:p>
            <w:pPr>
              <w:spacing w:beforeLines="0" w:afterLines="0" w:line="320" w:lineRule="atLeast"/>
              <w:ind w:left="60" w:right="60"/>
              <w:rPr>
                <w:rFonts w:ascii="Arial" w:hAnsi="Arial"/>
                <w:sz w:val="18"/>
              </w:rPr>
            </w:pPr>
            <w:r>
              <w:rPr>
                <w:rFonts w:ascii="Arial" w:hAnsi="Arial"/>
                <w:sz w:val="18"/>
              </w:rPr>
              <w:t>b. Predictors: (Constant), mean_TP, mean_DK</w:t>
            </w:r>
          </w:p>
        </w:tc>
      </w:tr>
    </w:tbl>
    <w:p>
      <w:pPr>
        <w:spacing w:before="120" w:after="120"/>
        <w:rPr>
          <w:rFonts w:cs="Times New Roman"/>
        </w:rPr>
      </w:pPr>
    </w:p>
    <w:p>
      <w:pPr>
        <w:spacing w:before="120" w:after="120"/>
        <w:rPr>
          <w:rFonts w:cs="Times New Roman"/>
        </w:rPr>
      </w:pPr>
      <w:r>
        <w:rPr>
          <w:rFonts w:cs="Times New Roman"/>
          <w:kern w:val="0"/>
        </w:rPr>
        <w:t xml:space="preserve">Based on the table </w:t>
      </w:r>
      <w:r>
        <w:rPr>
          <w:rFonts w:hint="eastAsia" w:eastAsia="宋体" w:cs="Times New Roman"/>
          <w:kern w:val="0"/>
        </w:rPr>
        <w:t>4.17 and 4.18</w:t>
      </w:r>
      <w:r>
        <w:rPr>
          <w:rFonts w:cs="Times New Roman"/>
          <w:kern w:val="0"/>
        </w:rPr>
        <w:t xml:space="preserve">, the p-value of ANOVA test is less than </w:t>
      </w:r>
      <w:r>
        <w:rPr>
          <w:rFonts w:hint="eastAsia" w:eastAsia="宋体" w:cs="Times New Roman"/>
          <w:kern w:val="0"/>
        </w:rPr>
        <w:t>0</w:t>
      </w:r>
      <w:r>
        <w:rPr>
          <w:rFonts w:cs="Times New Roman"/>
          <w:kern w:val="0"/>
        </w:rPr>
        <w:t>.05</w:t>
      </w:r>
      <w:r>
        <w:rPr>
          <w:rFonts w:hint="eastAsia" w:eastAsia="宋体" w:cs="Times New Roman"/>
          <w:kern w:val="0"/>
        </w:rPr>
        <w:t>.</w:t>
      </w:r>
      <w:r>
        <w:rPr>
          <w:rFonts w:cs="Times New Roman"/>
        </w:rPr>
        <w:t xml:space="preserve"> This shows that the theoretical framework with all its independent variables has obtain a model fit and so, can be considered as an establishment of a significant relationship between the independent variables and the dependent variables. </w:t>
      </w:r>
      <w:r>
        <w:rPr>
          <w:rFonts w:hint="eastAsia" w:eastAsia="宋体" w:cs="Times New Roman"/>
        </w:rPr>
        <w:t>T</w:t>
      </w:r>
      <w:r>
        <w:rPr>
          <w:rFonts w:cs="Times New Roman"/>
          <w:kern w:val="0"/>
        </w:rPr>
        <w:t>he R-Square of the current model is equal to 0.5</w:t>
      </w:r>
      <w:r>
        <w:rPr>
          <w:rFonts w:hint="eastAsia" w:eastAsia="宋体" w:cs="Times New Roman"/>
          <w:kern w:val="0"/>
        </w:rPr>
        <w:t>9</w:t>
      </w:r>
      <w:r>
        <w:rPr>
          <w:rFonts w:cs="Times New Roman"/>
          <w:kern w:val="0"/>
        </w:rPr>
        <w:t xml:space="preserve"> (R</w:t>
      </w:r>
      <w:r>
        <w:rPr>
          <w:rFonts w:hint="eastAsia" w:cs="Times New Roman"/>
          <w:kern w:val="0"/>
        </w:rPr>
        <w:t>² = 0.5</w:t>
      </w:r>
      <w:r>
        <w:rPr>
          <w:rFonts w:hint="eastAsia" w:eastAsia="宋体" w:cs="Times New Roman"/>
          <w:kern w:val="0"/>
        </w:rPr>
        <w:t>9</w:t>
      </w:r>
      <w:r>
        <w:rPr>
          <w:rFonts w:cs="Times New Roman"/>
          <w:kern w:val="0"/>
        </w:rPr>
        <w:t>)</w:t>
      </w:r>
      <w:r>
        <w:rPr>
          <w:rFonts w:hint="eastAsia" w:cs="Times New Roman"/>
          <w:kern w:val="0"/>
        </w:rPr>
        <w:t xml:space="preserve">. It means that </w:t>
      </w:r>
      <w:r>
        <w:rPr>
          <w:rFonts w:hint="eastAsia" w:eastAsia="宋体" w:cs="Times New Roman"/>
          <w:kern w:val="0"/>
        </w:rPr>
        <w:t>59</w:t>
      </w:r>
      <w:r>
        <w:rPr>
          <w:rFonts w:hint="eastAsia" w:cs="Times New Roman"/>
          <w:kern w:val="0"/>
        </w:rPr>
        <w:t xml:space="preserve">% of </w:t>
      </w:r>
      <w:r>
        <w:rPr>
          <w:rFonts w:hint="eastAsia" w:eastAsia="宋体" w:cs="Times New Roman"/>
          <w:kern w:val="0"/>
        </w:rPr>
        <w:t>people who work in education industry in China</w:t>
      </w:r>
      <w:r>
        <w:rPr>
          <w:rFonts w:hint="eastAsia" w:cs="Times New Roman"/>
          <w:kern w:val="0"/>
        </w:rPr>
        <w:t xml:space="preserve"> can be explained by the current </w:t>
      </w:r>
      <w:r>
        <w:rPr>
          <w:rFonts w:hint="eastAsia" w:eastAsia="宋体" w:cs="Times New Roman"/>
          <w:kern w:val="0"/>
        </w:rPr>
        <w:t>two</w:t>
      </w:r>
      <w:r>
        <w:rPr>
          <w:rFonts w:hint="eastAsia" w:cs="Times New Roman"/>
          <w:kern w:val="0"/>
        </w:rPr>
        <w:t xml:space="preserve"> </w:t>
      </w:r>
      <w:r>
        <w:rPr>
          <w:rFonts w:cs="Times New Roman"/>
          <w:kern w:val="0"/>
        </w:rPr>
        <w:t>independent</w:t>
      </w:r>
      <w:r>
        <w:rPr>
          <w:rFonts w:hint="eastAsia" w:cs="Times New Roman"/>
          <w:kern w:val="0"/>
        </w:rPr>
        <w:t xml:space="preserve"> variables.</w:t>
      </w:r>
      <w:r>
        <w:rPr>
          <w:rFonts w:hint="eastAsia" w:eastAsia="宋体" w:cs="Times New Roman"/>
          <w:kern w:val="0"/>
        </w:rPr>
        <w:t xml:space="preserve"> </w:t>
      </w:r>
      <w:r>
        <w:rPr>
          <w:rFonts w:hint="eastAsia" w:eastAsia="宋体" w:cs="Times New Roman"/>
        </w:rPr>
        <w:t>The t</w:t>
      </w:r>
      <w:r>
        <w:rPr>
          <w:rFonts w:cs="Times New Roman"/>
        </w:rPr>
        <w:t>able</w:t>
      </w:r>
      <w:r>
        <w:rPr>
          <w:rFonts w:hint="eastAsia" w:eastAsia="宋体" w:cs="Times New Roman"/>
        </w:rPr>
        <w:t>s</w:t>
      </w:r>
      <w:r>
        <w:rPr>
          <w:rFonts w:cs="Times New Roman"/>
        </w:rPr>
        <w:t xml:space="preserve"> </w:t>
      </w:r>
      <w:r>
        <w:rPr>
          <w:rFonts w:hint="eastAsia" w:eastAsia="宋体" w:cs="Times New Roman"/>
        </w:rPr>
        <w:t xml:space="preserve">also </w:t>
      </w:r>
      <w:r>
        <w:rPr>
          <w:rFonts w:cs="Times New Roman"/>
        </w:rPr>
        <w:t xml:space="preserve">indicates the main results of the structural relationships among the dependent and the independent variables. The results obtained show that </w:t>
      </w:r>
      <w:r>
        <w:rPr>
          <w:rFonts w:hint="eastAsia" w:eastAsia="宋体" w:cs="Times New Roman"/>
        </w:rPr>
        <w:t>two</w:t>
      </w:r>
      <w:r>
        <w:rPr>
          <w:rFonts w:cs="Times New Roman"/>
        </w:rPr>
        <w:t xml:space="preserve"> hypotheses (H1, H2) are all significant.</w:t>
      </w:r>
    </w:p>
    <w:p>
      <w:pPr>
        <w:spacing w:before="120" w:after="120"/>
        <w:rPr>
          <w:rFonts w:cs="Times New Roman"/>
        </w:rPr>
      </w:pPr>
    </w:p>
    <w:p>
      <w:pPr>
        <w:pStyle w:val="4"/>
        <w:spacing w:before="120" w:after="120"/>
        <w:rPr>
          <w:rFonts w:cs="Times New Roman"/>
        </w:rPr>
      </w:pPr>
      <w:bookmarkStart w:id="249" w:name="_Toc859_WPSOffice_Level3"/>
      <w:bookmarkStart w:id="250" w:name="_Toc16948_WPSOffice_Level3"/>
      <w:r>
        <w:rPr>
          <w:rFonts w:cs="Times New Roman"/>
        </w:rPr>
        <w:t>4.5.2 Beta coefficient</w:t>
      </w:r>
      <w:bookmarkEnd w:id="249"/>
      <w:bookmarkEnd w:id="250"/>
    </w:p>
    <w:p>
      <w:pPr>
        <w:spacing w:before="120" w:after="120"/>
        <w:rPr>
          <w:rFonts w:cs="Times New Roman"/>
        </w:rPr>
      </w:pPr>
      <w:r>
        <w:rPr>
          <w:rFonts w:cs="Times New Roman"/>
        </w:rPr>
        <w:t>Table 4.17 : Beta coefficient</w:t>
      </w:r>
    </w:p>
    <w:tbl>
      <w:tblPr>
        <w:tblStyle w:val="14"/>
        <w:tblW w:w="86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1"/>
        <w:gridCol w:w="994"/>
        <w:gridCol w:w="1126"/>
        <w:gridCol w:w="1124"/>
        <w:gridCol w:w="1240"/>
        <w:gridCol w:w="866"/>
        <w:gridCol w:w="866"/>
        <w:gridCol w:w="954"/>
        <w:gridCol w:w="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18" w:hRule="atLeast"/>
        </w:trPr>
        <w:tc>
          <w:tcPr>
            <w:tcW w:w="8660" w:type="dxa"/>
            <w:gridSpan w:val="9"/>
            <w:tcBorders>
              <w:top w:val="nil"/>
              <w:left w:val="nil"/>
              <w:bottom w:val="nil"/>
              <w:right w:val="nil"/>
              <w:tl2br w:val="nil"/>
              <w:tr2bl w:val="nil"/>
            </w:tcBorders>
            <w:shd w:val="clear" w:color="auto" w:fill="FFFFFF"/>
            <w:vAlign w:val="center"/>
          </w:tcPr>
          <w:p>
            <w:pPr>
              <w:spacing w:beforeLines="0" w:afterLines="0" w:line="320" w:lineRule="atLeast"/>
              <w:ind w:left="60" w:right="60"/>
              <w:jc w:val="center"/>
              <w:rPr>
                <w:rFonts w:ascii="Arial" w:hAnsi="Arial"/>
                <w:sz w:val="18"/>
              </w:rPr>
            </w:pPr>
            <w:r>
              <w:rPr>
                <w:rFonts w:ascii="Arial" w:hAnsi="Arial"/>
                <w:b/>
                <w:sz w:val="18"/>
              </w:rPr>
              <w:t>Coefficients</w:t>
            </w:r>
            <w:r>
              <w:rPr>
                <w:rFonts w:ascii="Arial" w:hAnsi="Arial"/>
                <w:b/>
                <w:sz w:val="18"/>
                <w:vertAlign w:val="superscript"/>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14" w:hRule="atLeast"/>
        </w:trPr>
        <w:tc>
          <w:tcPr>
            <w:tcW w:w="1615" w:type="dxa"/>
            <w:gridSpan w:val="2"/>
            <w:vMerge w:val="restart"/>
            <w:tcBorders>
              <w:top w:val="single" w:color="000000" w:sz="16" w:space="0"/>
              <w:left w:val="single" w:color="000000" w:sz="16" w:space="0"/>
              <w:bottom w:val="nil"/>
              <w:right w:val="nil"/>
              <w:tl2br w:val="nil"/>
              <w:tr2bl w:val="nil"/>
            </w:tcBorders>
            <w:shd w:val="clear" w:color="auto" w:fill="FFFFFF"/>
            <w:vAlign w:val="bottom"/>
          </w:tcPr>
          <w:p>
            <w:pPr>
              <w:spacing w:beforeLines="0" w:afterLines="0" w:line="320" w:lineRule="atLeast"/>
              <w:ind w:left="60" w:right="60"/>
              <w:rPr>
                <w:rFonts w:ascii="Arial" w:hAnsi="Arial"/>
                <w:sz w:val="18"/>
              </w:rPr>
            </w:pPr>
            <w:r>
              <w:rPr>
                <w:rFonts w:ascii="Arial" w:hAnsi="Arial"/>
                <w:sz w:val="18"/>
              </w:rPr>
              <w:t>Model</w:t>
            </w:r>
          </w:p>
        </w:tc>
        <w:tc>
          <w:tcPr>
            <w:tcW w:w="2250" w:type="dxa"/>
            <w:gridSpan w:val="2"/>
            <w:tcBorders>
              <w:top w:val="single" w:color="000000" w:sz="16" w:space="0"/>
              <w:left w:val="single" w:color="000000" w:sz="16" w:space="0"/>
              <w:bottom w:val="single" w:color="000000" w:sz="8" w:space="0"/>
              <w:right w:val="single" w:color="000000" w:sz="8" w:space="0"/>
              <w:tl2br w:val="nil"/>
              <w:tr2bl w:val="nil"/>
            </w:tcBorders>
            <w:shd w:val="clear" w:color="auto" w:fill="FFFFFF"/>
            <w:vAlign w:val="bottom"/>
          </w:tcPr>
          <w:p>
            <w:pPr>
              <w:spacing w:beforeLines="0" w:afterLines="0" w:line="320" w:lineRule="atLeast"/>
              <w:ind w:left="60" w:right="60"/>
              <w:jc w:val="center"/>
              <w:rPr>
                <w:rFonts w:ascii="Arial" w:hAnsi="Arial"/>
                <w:sz w:val="18"/>
              </w:rPr>
            </w:pPr>
            <w:r>
              <w:rPr>
                <w:rFonts w:ascii="Arial" w:hAnsi="Arial"/>
                <w:sz w:val="18"/>
              </w:rPr>
              <w:t>Unstandardized Coefficients</w:t>
            </w:r>
          </w:p>
        </w:tc>
        <w:tc>
          <w:tcPr>
            <w:tcW w:w="1240" w:type="dxa"/>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spacing w:beforeLines="0" w:afterLines="0" w:line="320" w:lineRule="atLeast"/>
              <w:ind w:left="60" w:right="60"/>
              <w:jc w:val="center"/>
              <w:rPr>
                <w:rFonts w:ascii="Arial" w:hAnsi="Arial"/>
                <w:sz w:val="18"/>
              </w:rPr>
            </w:pPr>
            <w:r>
              <w:rPr>
                <w:rFonts w:ascii="Arial" w:hAnsi="Arial"/>
                <w:sz w:val="18"/>
              </w:rPr>
              <w:t>Standardized Coefficients</w:t>
            </w:r>
          </w:p>
        </w:tc>
        <w:tc>
          <w:tcPr>
            <w:tcW w:w="866" w:type="dxa"/>
            <w:vMerge w:val="restart"/>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spacing w:beforeLines="0" w:afterLines="0" w:line="320" w:lineRule="atLeast"/>
              <w:ind w:left="60" w:right="60"/>
              <w:jc w:val="center"/>
              <w:rPr>
                <w:rFonts w:ascii="Arial" w:hAnsi="Arial"/>
                <w:sz w:val="18"/>
              </w:rPr>
            </w:pPr>
            <w:r>
              <w:rPr>
                <w:rFonts w:ascii="Arial" w:hAnsi="Arial"/>
                <w:sz w:val="18"/>
              </w:rPr>
              <w:t>t</w:t>
            </w:r>
          </w:p>
        </w:tc>
        <w:tc>
          <w:tcPr>
            <w:tcW w:w="866" w:type="dxa"/>
            <w:vMerge w:val="restart"/>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spacing w:beforeLines="0" w:afterLines="0" w:line="320" w:lineRule="atLeast"/>
              <w:ind w:left="60" w:right="60"/>
              <w:jc w:val="center"/>
              <w:rPr>
                <w:rFonts w:ascii="Arial" w:hAnsi="Arial"/>
                <w:sz w:val="18"/>
              </w:rPr>
            </w:pPr>
            <w:r>
              <w:rPr>
                <w:rFonts w:ascii="Arial" w:hAnsi="Arial"/>
                <w:sz w:val="18"/>
              </w:rPr>
              <w:t>Sig.</w:t>
            </w:r>
          </w:p>
        </w:tc>
        <w:tc>
          <w:tcPr>
            <w:tcW w:w="1823" w:type="dxa"/>
            <w:gridSpan w:val="2"/>
            <w:tcBorders>
              <w:top w:val="single" w:color="000000" w:sz="16" w:space="0"/>
              <w:left w:val="single" w:color="000000" w:sz="8" w:space="0"/>
              <w:bottom w:val="single" w:color="000000" w:sz="8" w:space="0"/>
              <w:right w:val="single" w:color="000000" w:sz="16" w:space="0"/>
              <w:tl2br w:val="nil"/>
              <w:tr2bl w:val="nil"/>
            </w:tcBorders>
            <w:shd w:val="clear" w:color="auto" w:fill="FFFFFF"/>
            <w:vAlign w:val="bottom"/>
          </w:tcPr>
          <w:p>
            <w:pPr>
              <w:spacing w:beforeLines="0" w:afterLines="0" w:line="320" w:lineRule="atLeast"/>
              <w:ind w:left="60" w:right="60"/>
              <w:jc w:val="center"/>
              <w:rPr>
                <w:rFonts w:ascii="Arial" w:hAnsi="Arial"/>
                <w:sz w:val="18"/>
              </w:rPr>
            </w:pPr>
            <w:r>
              <w:rPr>
                <w:rFonts w:ascii="Arial" w:hAnsi="Arial"/>
                <w:sz w:val="18"/>
              </w:rPr>
              <w:t>Collinearity Statistics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14" w:hRule="atLeast"/>
        </w:trPr>
        <w:tc>
          <w:tcPr>
            <w:tcW w:w="1615" w:type="dxa"/>
            <w:gridSpan w:val="2"/>
            <w:vMerge w:val="continue"/>
            <w:tcBorders>
              <w:top w:val="single" w:color="000000" w:sz="16" w:space="0"/>
              <w:left w:val="single" w:color="000000" w:sz="16" w:space="0"/>
              <w:bottom w:val="nil"/>
              <w:right w:val="nil"/>
              <w:tl2br w:val="nil"/>
              <w:tr2bl w:val="nil"/>
            </w:tcBorders>
            <w:shd w:val="clear" w:color="auto" w:fill="FFFFFF"/>
            <w:vAlign w:val="bottom"/>
          </w:tcPr>
          <w:p>
            <w:pPr>
              <w:spacing w:beforeLines="0" w:afterLines="0"/>
              <w:rPr>
                <w:rFonts w:ascii="Arial" w:hAnsi="Arial"/>
                <w:sz w:val="18"/>
              </w:rPr>
            </w:pPr>
          </w:p>
        </w:tc>
        <w:tc>
          <w:tcPr>
            <w:tcW w:w="1126" w:type="dxa"/>
            <w:tcBorders>
              <w:top w:val="single" w:color="000000" w:sz="8" w:space="0"/>
              <w:left w:val="single" w:color="000000" w:sz="16"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ascii="Arial" w:hAnsi="Arial"/>
                <w:sz w:val="18"/>
              </w:rPr>
            </w:pPr>
            <w:r>
              <w:rPr>
                <w:rFonts w:ascii="Arial" w:hAnsi="Arial"/>
                <w:sz w:val="18"/>
              </w:rPr>
              <w:t>B</w:t>
            </w:r>
          </w:p>
        </w:tc>
        <w:tc>
          <w:tcPr>
            <w:tcW w:w="1124"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ascii="Arial" w:hAnsi="Arial"/>
                <w:sz w:val="18"/>
              </w:rPr>
            </w:pPr>
            <w:r>
              <w:rPr>
                <w:rFonts w:ascii="Arial" w:hAnsi="Arial"/>
                <w:sz w:val="18"/>
              </w:rPr>
              <w:t>Std. Error</w:t>
            </w:r>
          </w:p>
        </w:tc>
        <w:tc>
          <w:tcPr>
            <w:tcW w:w="1240"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ascii="Arial" w:hAnsi="Arial"/>
                <w:sz w:val="18"/>
              </w:rPr>
            </w:pPr>
            <w:r>
              <w:rPr>
                <w:rFonts w:ascii="Arial" w:hAnsi="Arial"/>
                <w:sz w:val="18"/>
              </w:rPr>
              <w:t>Beta</w:t>
            </w:r>
          </w:p>
        </w:tc>
        <w:tc>
          <w:tcPr>
            <w:tcW w:w="866" w:type="dxa"/>
            <w:vMerge w:val="continue"/>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spacing w:beforeLines="0" w:afterLines="0"/>
              <w:rPr>
                <w:rFonts w:ascii="Arial" w:hAnsi="Arial"/>
                <w:sz w:val="18"/>
              </w:rPr>
            </w:pPr>
          </w:p>
        </w:tc>
        <w:tc>
          <w:tcPr>
            <w:tcW w:w="866" w:type="dxa"/>
            <w:vMerge w:val="continue"/>
            <w:tcBorders>
              <w:top w:val="single" w:color="000000" w:sz="16" w:space="0"/>
              <w:left w:val="single" w:color="000000" w:sz="8" w:space="0"/>
              <w:bottom w:val="single" w:color="000000" w:sz="8" w:space="0"/>
              <w:right w:val="single" w:color="000000" w:sz="8" w:space="0"/>
              <w:tl2br w:val="nil"/>
              <w:tr2bl w:val="nil"/>
            </w:tcBorders>
            <w:shd w:val="clear" w:color="auto" w:fill="FFFFFF"/>
            <w:vAlign w:val="bottom"/>
          </w:tcPr>
          <w:p>
            <w:pPr>
              <w:spacing w:beforeLines="0" w:afterLines="0"/>
              <w:rPr>
                <w:rFonts w:ascii="Arial" w:hAnsi="Arial"/>
                <w:sz w:val="18"/>
              </w:rPr>
            </w:pPr>
          </w:p>
        </w:tc>
        <w:tc>
          <w:tcPr>
            <w:tcW w:w="954" w:type="dxa"/>
            <w:tcBorders>
              <w:top w:val="single" w:color="000000" w:sz="8" w:space="0"/>
              <w:left w:val="single" w:color="000000" w:sz="8" w:space="0"/>
              <w:bottom w:val="single" w:color="000000" w:sz="16" w:space="0"/>
              <w:right w:val="single" w:color="000000" w:sz="8" w:space="0"/>
              <w:tl2br w:val="nil"/>
              <w:tr2bl w:val="nil"/>
            </w:tcBorders>
            <w:shd w:val="clear" w:color="auto" w:fill="FFFFFF"/>
            <w:vAlign w:val="bottom"/>
          </w:tcPr>
          <w:p>
            <w:pPr>
              <w:spacing w:beforeLines="0" w:afterLines="0" w:line="320" w:lineRule="atLeast"/>
              <w:ind w:left="60" w:right="60"/>
              <w:jc w:val="center"/>
              <w:rPr>
                <w:rFonts w:ascii="Arial" w:hAnsi="Arial"/>
                <w:sz w:val="18"/>
              </w:rPr>
            </w:pPr>
            <w:r>
              <w:rPr>
                <w:rFonts w:ascii="Arial" w:hAnsi="Arial"/>
                <w:sz w:val="18"/>
              </w:rPr>
              <w:t>Tolerance</w:t>
            </w:r>
          </w:p>
        </w:tc>
        <w:tc>
          <w:tcPr>
            <w:tcW w:w="869" w:type="dxa"/>
            <w:tcBorders>
              <w:top w:val="single" w:color="000000" w:sz="8" w:space="0"/>
              <w:left w:val="single" w:color="000000" w:sz="8" w:space="0"/>
              <w:bottom w:val="single" w:color="000000" w:sz="16" w:space="0"/>
              <w:right w:val="single" w:color="000000" w:sz="16" w:space="0"/>
              <w:tl2br w:val="nil"/>
              <w:tr2bl w:val="nil"/>
            </w:tcBorders>
            <w:shd w:val="clear" w:color="auto" w:fill="FFFFFF"/>
            <w:vAlign w:val="bottom"/>
          </w:tcPr>
          <w:p>
            <w:pPr>
              <w:spacing w:beforeLines="0" w:afterLines="0" w:line="320" w:lineRule="atLeast"/>
              <w:ind w:left="60" w:right="60"/>
              <w:jc w:val="center"/>
              <w:rPr>
                <w:rFonts w:ascii="Arial" w:hAnsi="Arial"/>
                <w:sz w:val="18"/>
              </w:rPr>
            </w:pPr>
            <w:r>
              <w:rPr>
                <w:rFonts w:ascii="Arial" w:hAnsi="Arial"/>
                <w:sz w:val="18"/>
              </w:rPr>
              <w:t>VIF</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714" w:hRule="atLeast"/>
        </w:trPr>
        <w:tc>
          <w:tcPr>
            <w:tcW w:w="621" w:type="dxa"/>
            <w:vMerge w:val="restart"/>
            <w:tcBorders>
              <w:top w:val="single" w:color="000000" w:sz="16" w:space="0"/>
              <w:left w:val="single" w:color="000000" w:sz="16" w:space="0"/>
              <w:bottom w:val="single" w:color="000000" w:sz="16" w:space="0"/>
              <w:right w:val="nil"/>
              <w:tl2br w:val="nil"/>
              <w:tr2bl w:val="nil"/>
            </w:tcBorders>
            <w:shd w:val="clear" w:color="auto" w:fill="FFFFFF"/>
          </w:tcPr>
          <w:p>
            <w:pPr>
              <w:spacing w:beforeLines="0" w:afterLines="0" w:line="320" w:lineRule="atLeast"/>
              <w:ind w:left="60" w:right="60"/>
              <w:rPr>
                <w:rFonts w:ascii="Arial" w:hAnsi="Arial"/>
                <w:sz w:val="18"/>
              </w:rPr>
            </w:pPr>
            <w:r>
              <w:rPr>
                <w:rFonts w:ascii="Arial" w:hAnsi="Arial"/>
                <w:sz w:val="18"/>
              </w:rPr>
              <w:t>1</w:t>
            </w:r>
          </w:p>
        </w:tc>
        <w:tc>
          <w:tcPr>
            <w:tcW w:w="994" w:type="dxa"/>
            <w:tcBorders>
              <w:top w:val="single" w:color="000000" w:sz="16" w:space="0"/>
              <w:left w:val="nil"/>
              <w:bottom w:val="nil"/>
              <w:right w:val="single" w:color="000000" w:sz="16" w:space="0"/>
              <w:tl2br w:val="nil"/>
              <w:tr2bl w:val="nil"/>
            </w:tcBorders>
            <w:shd w:val="clear" w:color="auto" w:fill="FFFFFF"/>
          </w:tcPr>
          <w:p>
            <w:pPr>
              <w:spacing w:beforeLines="0" w:afterLines="0" w:line="320" w:lineRule="atLeast"/>
              <w:ind w:left="60" w:right="60"/>
              <w:rPr>
                <w:rFonts w:ascii="Arial" w:hAnsi="Arial"/>
                <w:sz w:val="18"/>
              </w:rPr>
            </w:pPr>
            <w:r>
              <w:rPr>
                <w:rFonts w:ascii="Arial" w:hAnsi="Arial"/>
                <w:sz w:val="18"/>
              </w:rPr>
              <w:t>(Constant)</w:t>
            </w:r>
          </w:p>
        </w:tc>
        <w:tc>
          <w:tcPr>
            <w:tcW w:w="1126" w:type="dxa"/>
            <w:tcBorders>
              <w:top w:val="single" w:color="000000" w:sz="16" w:space="0"/>
              <w:left w:val="single" w:color="000000" w:sz="16"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3.327</w:t>
            </w:r>
          </w:p>
        </w:tc>
        <w:tc>
          <w:tcPr>
            <w:tcW w:w="1124"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.315</w:t>
            </w:r>
          </w:p>
        </w:tc>
        <w:tc>
          <w:tcPr>
            <w:tcW w:w="1240"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pPr>
          </w:p>
        </w:tc>
        <w:tc>
          <w:tcPr>
            <w:tcW w:w="866"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10.570</w:t>
            </w:r>
          </w:p>
        </w:tc>
        <w:tc>
          <w:tcPr>
            <w:tcW w:w="866"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.000</w:t>
            </w:r>
          </w:p>
        </w:tc>
        <w:tc>
          <w:tcPr>
            <w:tcW w:w="954" w:type="dxa"/>
            <w:tcBorders>
              <w:top w:val="single" w:color="000000" w:sz="16" w:space="0"/>
              <w:left w:val="single" w:color="000000" w:sz="8" w:space="0"/>
              <w:bottom w:val="nil"/>
              <w:right w:val="single" w:color="000000" w:sz="8" w:space="0"/>
              <w:tl2br w:val="nil"/>
              <w:tr2bl w:val="nil"/>
            </w:tcBorders>
            <w:shd w:val="clear" w:color="auto" w:fill="FFFFFF"/>
            <w:vAlign w:val="center"/>
          </w:tcPr>
          <w:p>
            <w:pPr>
              <w:spacing w:beforeLines="0" w:afterLines="0"/>
            </w:pPr>
          </w:p>
        </w:tc>
        <w:tc>
          <w:tcPr>
            <w:tcW w:w="869" w:type="dxa"/>
            <w:tcBorders>
              <w:top w:val="single" w:color="000000" w:sz="16" w:space="0"/>
              <w:left w:val="single" w:color="000000" w:sz="8" w:space="0"/>
              <w:bottom w:val="nil"/>
              <w:right w:val="single" w:color="000000" w:sz="16" w:space="0"/>
              <w:tl2br w:val="nil"/>
              <w:tr2bl w:val="nil"/>
            </w:tcBorders>
            <w:shd w:val="clear" w:color="auto" w:fill="FFFFFF"/>
            <w:vAlign w:val="center"/>
          </w:tcPr>
          <w:p>
            <w:pPr>
              <w:spacing w:beforeLines="0" w:afterLines="0"/>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96" w:hRule="atLeast"/>
        </w:trPr>
        <w:tc>
          <w:tcPr>
            <w:tcW w:w="621"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spacing w:beforeLines="0" w:afterLines="0"/>
            </w:pPr>
          </w:p>
        </w:tc>
        <w:tc>
          <w:tcPr>
            <w:tcW w:w="994" w:type="dxa"/>
            <w:tcBorders>
              <w:top w:val="nil"/>
              <w:left w:val="nil"/>
              <w:bottom w:val="single" w:color="000000" w:sz="8" w:space="0"/>
              <w:right w:val="single" w:color="000000" w:sz="16" w:space="0"/>
              <w:tl2br w:val="nil"/>
              <w:tr2bl w:val="nil"/>
            </w:tcBorders>
            <w:shd w:val="clear" w:color="auto" w:fill="FFFFFF"/>
          </w:tcPr>
          <w:p>
            <w:pPr>
              <w:spacing w:beforeLines="0" w:afterLines="0" w:line="320" w:lineRule="atLeast"/>
              <w:ind w:left="60" w:right="60"/>
              <w:rPr>
                <w:rFonts w:ascii="Arial" w:hAnsi="Arial"/>
                <w:sz w:val="18"/>
              </w:rPr>
            </w:pPr>
            <w:r>
              <w:rPr>
                <w:rFonts w:ascii="Arial" w:hAnsi="Arial"/>
                <w:sz w:val="18"/>
              </w:rPr>
              <w:t>mean_DK</w:t>
            </w:r>
          </w:p>
        </w:tc>
        <w:tc>
          <w:tcPr>
            <w:tcW w:w="1126" w:type="dxa"/>
            <w:tcBorders>
              <w:top w:val="nil"/>
              <w:left w:val="single" w:color="000000" w:sz="16"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.226</w:t>
            </w:r>
          </w:p>
        </w:tc>
        <w:tc>
          <w:tcPr>
            <w:tcW w:w="1124"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.064</w:t>
            </w:r>
          </w:p>
        </w:tc>
        <w:tc>
          <w:tcPr>
            <w:tcW w:w="1240"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.207</w:t>
            </w:r>
          </w:p>
        </w:tc>
        <w:tc>
          <w:tcPr>
            <w:tcW w:w="866"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3.546</w:t>
            </w:r>
          </w:p>
        </w:tc>
        <w:tc>
          <w:tcPr>
            <w:tcW w:w="866"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.000</w:t>
            </w:r>
          </w:p>
        </w:tc>
        <w:tc>
          <w:tcPr>
            <w:tcW w:w="954" w:type="dxa"/>
            <w:tcBorders>
              <w:top w:val="nil"/>
              <w:left w:val="single" w:color="000000" w:sz="8" w:space="0"/>
              <w:bottom w:val="single" w:color="000000" w:sz="8" w:space="0"/>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.994</w:t>
            </w:r>
          </w:p>
        </w:tc>
        <w:tc>
          <w:tcPr>
            <w:tcW w:w="869" w:type="dxa"/>
            <w:tcBorders>
              <w:top w:val="nil"/>
              <w:left w:val="single" w:color="000000" w:sz="8" w:space="0"/>
              <w:bottom w:val="single" w:color="000000" w:sz="8" w:space="0"/>
              <w:right w:val="single" w:color="000000" w:sz="16"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1.006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96" w:hRule="atLeast"/>
        </w:trPr>
        <w:tc>
          <w:tcPr>
            <w:tcW w:w="621" w:type="dxa"/>
            <w:vMerge w:val="continue"/>
            <w:tcBorders>
              <w:top w:val="single" w:color="000000" w:sz="16" w:space="0"/>
              <w:left w:val="single" w:color="000000" w:sz="16" w:space="0"/>
              <w:bottom w:val="single" w:color="000000" w:sz="16" w:space="0"/>
              <w:right w:val="nil"/>
              <w:tl2br w:val="nil"/>
              <w:tr2bl w:val="nil"/>
            </w:tcBorders>
            <w:shd w:val="clear" w:color="auto" w:fill="FFFFFF"/>
          </w:tcPr>
          <w:p>
            <w:pPr>
              <w:spacing w:beforeLines="0" w:afterLines="0"/>
              <w:rPr>
                <w:rFonts w:ascii="Arial" w:hAnsi="Arial"/>
                <w:sz w:val="18"/>
              </w:rPr>
            </w:pPr>
          </w:p>
        </w:tc>
        <w:tc>
          <w:tcPr>
            <w:tcW w:w="994" w:type="dxa"/>
            <w:tcBorders>
              <w:top w:val="nil"/>
              <w:left w:val="nil"/>
              <w:bottom w:val="single" w:color="000000" w:sz="16" w:space="0"/>
              <w:right w:val="single" w:color="000000" w:sz="16" w:space="0"/>
              <w:tl2br w:val="nil"/>
              <w:tr2bl w:val="nil"/>
            </w:tcBorders>
            <w:shd w:val="clear" w:color="auto" w:fill="FFFFFF"/>
          </w:tcPr>
          <w:p>
            <w:pPr>
              <w:spacing w:beforeLines="0" w:afterLines="0" w:line="320" w:lineRule="atLeast"/>
              <w:ind w:left="60" w:right="60"/>
              <w:rPr>
                <w:rFonts w:ascii="Arial" w:hAnsi="Arial"/>
                <w:sz w:val="18"/>
              </w:rPr>
            </w:pPr>
            <w:r>
              <w:rPr>
                <w:rFonts w:ascii="Arial" w:hAnsi="Arial"/>
                <w:sz w:val="18"/>
              </w:rPr>
              <w:t>mean_TP</w:t>
            </w:r>
          </w:p>
        </w:tc>
        <w:tc>
          <w:tcPr>
            <w:tcW w:w="1126" w:type="dxa"/>
            <w:tcBorders>
              <w:top w:val="nil"/>
              <w:left w:val="single" w:color="000000" w:sz="16"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-.120</w:t>
            </w:r>
          </w:p>
        </w:tc>
        <w:tc>
          <w:tcPr>
            <w:tcW w:w="1124"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.049</w:t>
            </w:r>
          </w:p>
        </w:tc>
        <w:tc>
          <w:tcPr>
            <w:tcW w:w="1240"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-.143</w:t>
            </w:r>
          </w:p>
        </w:tc>
        <w:tc>
          <w:tcPr>
            <w:tcW w:w="866"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-2.445</w:t>
            </w:r>
          </w:p>
        </w:tc>
        <w:tc>
          <w:tcPr>
            <w:tcW w:w="866"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.015</w:t>
            </w:r>
          </w:p>
        </w:tc>
        <w:tc>
          <w:tcPr>
            <w:tcW w:w="954" w:type="dxa"/>
            <w:tcBorders>
              <w:top w:val="nil"/>
              <w:left w:val="single" w:color="000000" w:sz="8" w:space="0"/>
              <w:bottom w:val="single" w:color="000000" w:sz="16" w:space="0"/>
              <w:right w:val="single" w:color="000000" w:sz="8"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.994</w:t>
            </w:r>
          </w:p>
        </w:tc>
        <w:tc>
          <w:tcPr>
            <w:tcW w:w="869" w:type="dxa"/>
            <w:tcBorders>
              <w:top w:val="nil"/>
              <w:left w:val="single" w:color="000000" w:sz="8" w:space="0"/>
              <w:bottom w:val="single" w:color="000000" w:sz="16" w:space="0"/>
              <w:right w:val="single" w:color="000000" w:sz="16" w:space="0"/>
              <w:tl2br w:val="nil"/>
              <w:tr2bl w:val="nil"/>
            </w:tcBorders>
            <w:shd w:val="clear" w:color="auto" w:fill="FFFFFF"/>
            <w:vAlign w:val="center"/>
          </w:tcPr>
          <w:p>
            <w:pPr>
              <w:spacing w:beforeLines="0" w:afterLines="0" w:line="320" w:lineRule="atLeast"/>
              <w:ind w:left="60" w:right="60"/>
              <w:jc w:val="right"/>
              <w:rPr>
                <w:rFonts w:ascii="Arial" w:hAnsi="Arial"/>
                <w:sz w:val="18"/>
              </w:rPr>
            </w:pPr>
            <w:r>
              <w:rPr>
                <w:rFonts w:ascii="Arial" w:hAnsi="Arial"/>
                <w:sz w:val="18"/>
              </w:rPr>
              <w:t>1.006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cantSplit/>
          <w:trHeight w:val="396" w:hRule="atLeast"/>
        </w:trPr>
        <w:tc>
          <w:tcPr>
            <w:tcW w:w="8660" w:type="dxa"/>
            <w:gridSpan w:val="9"/>
            <w:tcBorders>
              <w:top w:val="nil"/>
              <w:left w:val="nil"/>
              <w:bottom w:val="nil"/>
              <w:right w:val="nil"/>
              <w:tl2br w:val="nil"/>
              <w:tr2bl w:val="nil"/>
            </w:tcBorders>
            <w:shd w:val="clear" w:color="auto" w:fill="FFFFFF"/>
          </w:tcPr>
          <w:p>
            <w:pPr>
              <w:spacing w:beforeLines="0" w:afterLines="0" w:line="320" w:lineRule="atLeast"/>
              <w:ind w:left="60" w:right="60"/>
              <w:rPr>
                <w:rFonts w:ascii="Arial" w:hAnsi="Arial"/>
                <w:sz w:val="18"/>
              </w:rPr>
            </w:pPr>
            <w:r>
              <w:rPr>
                <w:rFonts w:ascii="Arial" w:hAnsi="Arial"/>
                <w:sz w:val="18"/>
              </w:rPr>
              <w:t>a. Dependent Variable: mean_P</w:t>
            </w:r>
          </w:p>
        </w:tc>
      </w:tr>
    </w:tbl>
    <w:p>
      <w:pPr>
        <w:spacing w:before="120" w:after="120"/>
        <w:rPr>
          <w:rFonts w:cs="Times New Roman"/>
        </w:rPr>
      </w:pPr>
    </w:p>
    <w:p>
      <w:pPr>
        <w:spacing w:before="120" w:after="120"/>
        <w:rPr>
          <w:rFonts w:eastAsia="宋体" w:cs="Times New Roman"/>
        </w:rPr>
      </w:pPr>
      <w:r>
        <w:rPr>
          <w:rFonts w:cs="Times New Roman"/>
        </w:rPr>
        <w:t xml:space="preserve">In evaluating the contributions of each independent variable, </w:t>
      </w:r>
      <w:r>
        <w:rPr>
          <w:rFonts w:hint="eastAsia" w:eastAsia="宋体" w:cs="Times New Roman"/>
        </w:rPr>
        <w:t>these</w:t>
      </w:r>
      <w:r>
        <w:rPr>
          <w:rFonts w:cs="Times New Roman"/>
        </w:rPr>
        <w:t xml:space="preserve"> are noted to have positive β coefficients, indicating a positive relationship between the independent and dependent variables. The T-value can be used to evaluate the strength of the relationship between each independent variable and the dependent variable (Hair et al., 2013)</w:t>
      </w:r>
      <w:r>
        <w:rPr>
          <w:rFonts w:hint="eastAsia" w:eastAsia="宋体" w:cs="Times New Roman"/>
        </w:rPr>
        <w:t xml:space="preserve">. </w:t>
      </w:r>
    </w:p>
    <w:p>
      <w:pPr>
        <w:spacing w:before="120" w:after="120"/>
        <w:rPr>
          <w:rFonts w:eastAsia="宋体" w:cs="Times New Roman"/>
          <w:bCs/>
        </w:rPr>
      </w:pPr>
      <w:r>
        <w:rPr>
          <w:rFonts w:cs="Times New Roman"/>
          <w:bCs/>
        </w:rPr>
        <w:t xml:space="preserve">The result from table </w:t>
      </w:r>
      <w:r>
        <w:rPr>
          <w:rFonts w:hint="eastAsia" w:eastAsia="宋体" w:cs="Times New Roman"/>
          <w:bCs/>
        </w:rPr>
        <w:t>4.17</w:t>
      </w:r>
      <w:r>
        <w:rPr>
          <w:rFonts w:cs="Times New Roman"/>
          <w:bCs/>
        </w:rPr>
        <w:t xml:space="preserve"> shows that the p-value of the regression test is less than .05, therefore it can be concluded that there is a significant relationship between </w:t>
      </w:r>
      <w:r>
        <w:rPr>
          <w:rFonts w:cs="Times New Roman"/>
        </w:rPr>
        <w:t>Deal &amp; Kennedy’s corporate culture</w:t>
      </w:r>
      <w:r>
        <w:rPr>
          <w:rFonts w:cs="Times New Roman"/>
          <w:bCs/>
        </w:rPr>
        <w:t xml:space="preserve"> </w:t>
      </w:r>
      <w:r>
        <w:rPr>
          <w:rFonts w:cs="Times New Roman"/>
        </w:rPr>
        <w:t>dimensions</w:t>
      </w:r>
      <w:r>
        <w:rPr>
          <w:rFonts w:hint="eastAsia" w:eastAsia="宋体" w:cs="Times New Roman"/>
        </w:rPr>
        <w:t xml:space="preserve"> </w:t>
      </w:r>
      <w:r>
        <w:rPr>
          <w:rFonts w:cs="Times New Roman"/>
          <w:bCs/>
        </w:rPr>
        <w:t xml:space="preserve">and </w:t>
      </w:r>
      <w:r>
        <w:rPr>
          <w:rFonts w:cs="Times New Roman"/>
        </w:rPr>
        <w:t>Trompenaars cultural</w:t>
      </w:r>
      <w:r>
        <w:rPr>
          <w:rFonts w:cs="Times New Roman"/>
          <w:bCs/>
        </w:rPr>
        <w:t xml:space="preserve"> </w:t>
      </w:r>
      <w:r>
        <w:rPr>
          <w:rFonts w:cs="Times New Roman"/>
        </w:rPr>
        <w:t>dimensions</w:t>
      </w:r>
      <w:r>
        <w:rPr>
          <w:rFonts w:hint="eastAsia" w:eastAsia="宋体" w:cs="Times New Roman"/>
        </w:rPr>
        <w:t xml:space="preserve"> </w:t>
      </w:r>
      <w:r>
        <w:rPr>
          <w:rFonts w:cs="Times New Roman"/>
          <w:bCs/>
        </w:rPr>
        <w:t>(β</w:t>
      </w:r>
      <w:r>
        <w:rPr>
          <w:rFonts w:hint="eastAsia" w:eastAsia="宋体" w:cs="Times New Roman"/>
          <w:bCs/>
        </w:rPr>
        <w:t xml:space="preserve"> DK</w:t>
      </w:r>
      <w:r>
        <w:rPr>
          <w:rFonts w:cs="Times New Roman"/>
          <w:bCs/>
        </w:rPr>
        <w:t xml:space="preserve">= </w:t>
      </w:r>
      <w:r>
        <w:rPr>
          <w:rFonts w:hint="eastAsia" w:eastAsia="宋体" w:cs="Times New Roman"/>
          <w:bCs/>
        </w:rPr>
        <w:t>.0207</w:t>
      </w:r>
      <w:r>
        <w:rPr>
          <w:rFonts w:cs="Times New Roman"/>
          <w:bCs/>
        </w:rPr>
        <w:t>,</w:t>
      </w:r>
      <w:r>
        <w:rPr>
          <w:rFonts w:hint="eastAsia" w:eastAsia="宋体" w:cs="Times New Roman"/>
          <w:bCs/>
        </w:rPr>
        <w:t xml:space="preserve"> </w:t>
      </w:r>
      <w:r>
        <w:rPr>
          <w:rFonts w:cs="Times New Roman"/>
          <w:bCs/>
        </w:rPr>
        <w:t>β</w:t>
      </w:r>
      <w:r>
        <w:rPr>
          <w:rFonts w:hint="eastAsia" w:eastAsia="宋体" w:cs="Times New Roman"/>
          <w:bCs/>
        </w:rPr>
        <w:t xml:space="preserve"> TP= -.143,</w:t>
      </w:r>
      <w:r>
        <w:rPr>
          <w:rFonts w:cs="Times New Roman"/>
          <w:bCs/>
        </w:rPr>
        <w:t xml:space="preserve"> p-value&lt; .05)</w:t>
      </w:r>
    </w:p>
    <w:p>
      <w:pPr>
        <w:spacing w:before="120" w:after="120"/>
        <w:rPr>
          <w:rFonts w:cs="Times New Roman"/>
        </w:rPr>
      </w:pPr>
    </w:p>
    <w:p>
      <w:pPr>
        <w:pStyle w:val="4"/>
        <w:spacing w:before="120" w:after="120"/>
      </w:pPr>
      <w:bookmarkStart w:id="251" w:name="_Toc14155_WPSOffice_Level3"/>
      <w:bookmarkStart w:id="252" w:name="_Toc10397_WPSOffice_Level3"/>
      <w:r>
        <w:rPr>
          <w:rFonts w:cs="Times New Roman"/>
        </w:rPr>
        <w:t>4.5.3 VIF/ multicollinearity</w:t>
      </w:r>
      <w:bookmarkEnd w:id="251"/>
      <w:bookmarkEnd w:id="252"/>
    </w:p>
    <w:p>
      <w:pPr>
        <w:spacing w:before="120" w:after="120"/>
        <w:rPr>
          <w:rFonts w:cs="Times New Roman"/>
        </w:rPr>
      </w:pPr>
      <w:r>
        <w:rPr>
          <w:rFonts w:cs="Times New Roman"/>
        </w:rPr>
        <w:t xml:space="preserve">As part of collinearity diagnostics, the Tolerance and VIF (Variance inflation factor) values are also examined. </w:t>
      </w:r>
      <w:r>
        <w:rPr>
          <w:rFonts w:eastAsia="宋体" w:cs="Times New Roman"/>
        </w:rPr>
        <w:t>As table 4.17 shows, a</w:t>
      </w:r>
      <w:r>
        <w:rPr>
          <w:rFonts w:cs="Times New Roman"/>
        </w:rPr>
        <w:t>ll values of VIF are less than 10, showing that there is no multicollinearity among the dependent and independent variables. All the predictor variables exhibit Tolerance values of more than 0.10 and VIF values below 10; hence multicollinearity is ruled out (Field, 2009).</w:t>
      </w:r>
    </w:p>
    <w:p>
      <w:pPr>
        <w:spacing w:before="120" w:after="120"/>
        <w:rPr>
          <w:rFonts w:cs="Times New Roman"/>
        </w:rPr>
      </w:pPr>
      <w:r>
        <w:rPr>
          <w:rFonts w:cs="Times New Roman"/>
        </w:rPr>
        <w:t>The lack of inter-correlation between the independent variables was also highlighted from the correlation matrix shown earlier in this chapter.</w:t>
      </w:r>
    </w:p>
    <w:p>
      <w:pPr>
        <w:pStyle w:val="4"/>
        <w:spacing w:before="120" w:after="120"/>
        <w:rPr>
          <w:rFonts w:cs="Times New Roman"/>
        </w:rPr>
      </w:pPr>
      <w:bookmarkStart w:id="253" w:name="_Toc19608_WPSOffice_Level3"/>
      <w:bookmarkStart w:id="254" w:name="_Toc32014_WPSOffice_Level3"/>
      <w:r>
        <w:rPr>
          <w:rFonts w:cs="Times New Roman"/>
        </w:rPr>
        <w:t>4.5.4 Hypothesis testing and Outcome</w:t>
      </w:r>
      <w:bookmarkEnd w:id="253"/>
      <w:bookmarkEnd w:id="254"/>
    </w:p>
    <w:p>
      <w:pPr>
        <w:spacing w:before="120" w:after="120"/>
        <w:rPr>
          <w:rFonts w:cs="Times New Roman"/>
          <w:iCs/>
        </w:rPr>
      </w:pPr>
      <w:r>
        <w:rPr>
          <w:rFonts w:cs="Times New Roman"/>
          <w:iCs/>
        </w:rPr>
        <w:t xml:space="preserve">Table </w:t>
      </w:r>
      <w:r>
        <w:rPr>
          <w:rFonts w:eastAsia="宋体" w:cs="Times New Roman"/>
          <w:iCs/>
        </w:rPr>
        <w:t>4.18 :</w:t>
      </w:r>
      <w:r>
        <w:rPr>
          <w:rFonts w:cs="Times New Roman"/>
          <w:iCs/>
        </w:rPr>
        <w:t xml:space="preserve"> Conclusion of hypothesis testing based on Multiple Regression Analysis</w:t>
      </w:r>
    </w:p>
    <w:tbl>
      <w:tblPr>
        <w:tblStyle w:val="14"/>
        <w:tblpPr w:leftFromText="180" w:rightFromText="180" w:vertAnchor="text" w:horzAnchor="page" w:tblpX="1290" w:tblpY="326"/>
        <w:tblOverlap w:val="never"/>
        <w:tblW w:w="95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31"/>
        <w:gridCol w:w="2469"/>
        <w:gridCol w:w="2463"/>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97" w:hRule="atLeast"/>
        </w:trPr>
        <w:tc>
          <w:tcPr>
            <w:tcW w:w="3231" w:type="dxa"/>
          </w:tcPr>
          <w:p>
            <w:pPr>
              <w:pStyle w:val="20"/>
              <w:spacing w:before="120" w:after="120" w:line="275" w:lineRule="exact"/>
              <w:jc w:val="center"/>
              <w:rPr>
                <w:b/>
              </w:rPr>
            </w:pPr>
            <w:r>
              <w:rPr>
                <w:b/>
              </w:rPr>
              <w:t>Hypothesis</w:t>
            </w:r>
          </w:p>
        </w:tc>
        <w:tc>
          <w:tcPr>
            <w:tcW w:w="2469" w:type="dxa"/>
          </w:tcPr>
          <w:p>
            <w:pPr>
              <w:pStyle w:val="20"/>
              <w:spacing w:before="120" w:after="120" w:line="275" w:lineRule="exact"/>
              <w:ind w:firstLine="720" w:firstLineChars="300"/>
              <w:jc w:val="center"/>
              <w:rPr>
                <w:b/>
              </w:rPr>
            </w:pPr>
            <w:r>
              <w:rPr>
                <w:b/>
              </w:rPr>
              <w:t>Statistical results</w:t>
            </w:r>
          </w:p>
        </w:tc>
        <w:tc>
          <w:tcPr>
            <w:tcW w:w="2463" w:type="dxa"/>
          </w:tcPr>
          <w:p>
            <w:pPr>
              <w:pStyle w:val="20"/>
              <w:spacing w:before="120" w:after="120" w:line="275" w:lineRule="exact"/>
              <w:ind w:left="96" w:right="97"/>
              <w:jc w:val="center"/>
              <w:rPr>
                <w:b/>
              </w:rPr>
            </w:pPr>
            <w:r>
              <w:rPr>
                <w:b/>
              </w:rPr>
              <w:t>Strength of statistical</w:t>
            </w:r>
          </w:p>
          <w:p>
            <w:pPr>
              <w:pStyle w:val="20"/>
              <w:spacing w:before="120" w:after="120"/>
              <w:ind w:left="96" w:right="96"/>
              <w:jc w:val="center"/>
              <w:rPr>
                <w:b/>
              </w:rPr>
            </w:pPr>
            <w:r>
              <w:rPr>
                <w:b/>
              </w:rPr>
              <w:t>relationship</w:t>
            </w:r>
          </w:p>
        </w:tc>
        <w:tc>
          <w:tcPr>
            <w:tcW w:w="1357" w:type="dxa"/>
          </w:tcPr>
          <w:p>
            <w:pPr>
              <w:pStyle w:val="20"/>
              <w:spacing w:before="120" w:after="120" w:line="275" w:lineRule="exact"/>
              <w:ind w:left="238"/>
              <w:jc w:val="center"/>
              <w:rPr>
                <w:b/>
              </w:rPr>
            </w:pPr>
            <w:r>
              <w:rPr>
                <w:b/>
              </w:rPr>
              <w:t>Decision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26" w:hRule="atLeast"/>
        </w:trPr>
        <w:tc>
          <w:tcPr>
            <w:tcW w:w="3231" w:type="dxa"/>
            <w:vAlign w:val="center"/>
          </w:tcPr>
          <w:p>
            <w:pPr>
              <w:spacing w:before="120" w:after="120"/>
              <w:jc w:val="center"/>
            </w:pPr>
            <w:r>
              <w:rPr>
                <w:rFonts w:hint="eastAsia"/>
              </w:rPr>
              <w:t>H1：</w:t>
            </w:r>
            <w:r>
              <w:t>Deal &amp; Kennedy’s corporate culture dimensions has a significant influence on the performance of education industry in China.</w:t>
            </w:r>
          </w:p>
        </w:tc>
        <w:tc>
          <w:tcPr>
            <w:tcW w:w="2469" w:type="dxa"/>
          </w:tcPr>
          <w:p>
            <w:pPr>
              <w:spacing w:before="120" w:after="120"/>
              <w:jc w:val="center"/>
            </w:pPr>
            <w:r>
              <w:t>Standardised β = 0.</w:t>
            </w:r>
            <w:r>
              <w:rPr>
                <w:rFonts w:hint="eastAsia"/>
              </w:rPr>
              <w:t>207</w:t>
            </w:r>
            <w:r>
              <w:t>, Sig. = 0.</w:t>
            </w:r>
            <w:r>
              <w:rPr>
                <w:rFonts w:hint="eastAsia"/>
              </w:rPr>
              <w:t>00</w:t>
            </w:r>
            <w:r>
              <w:t>, p &gt; 0.05</w:t>
            </w:r>
          </w:p>
        </w:tc>
        <w:tc>
          <w:tcPr>
            <w:tcW w:w="2463" w:type="dxa"/>
          </w:tcPr>
          <w:p>
            <w:pPr>
              <w:spacing w:before="120" w:after="120"/>
              <w:jc w:val="center"/>
            </w:pPr>
            <w:r>
              <w:t>Positive relationship;</w:t>
            </w:r>
            <w:r>
              <w:rPr>
                <w:rFonts w:hint="eastAsia"/>
              </w:rPr>
              <w:t xml:space="preserve"> </w:t>
            </w:r>
            <w:r>
              <w:t>significant</w:t>
            </w:r>
          </w:p>
        </w:tc>
        <w:tc>
          <w:tcPr>
            <w:tcW w:w="1357" w:type="dxa"/>
          </w:tcPr>
          <w:p>
            <w:pPr>
              <w:spacing w:before="120" w:after="120"/>
              <w:jc w:val="center"/>
            </w:pPr>
            <w:r>
              <w:rPr>
                <w:rFonts w:hint="eastAsia"/>
              </w:rPr>
              <w:t>Accepted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35" w:hRule="atLeast"/>
        </w:trPr>
        <w:tc>
          <w:tcPr>
            <w:tcW w:w="3231" w:type="dxa"/>
            <w:vAlign w:val="center"/>
          </w:tcPr>
          <w:p>
            <w:pPr>
              <w:spacing w:before="120" w:after="120"/>
              <w:jc w:val="center"/>
            </w:pPr>
            <w:r>
              <w:rPr>
                <w:rFonts w:hint="eastAsia"/>
              </w:rPr>
              <w:t>H2：</w:t>
            </w:r>
            <w:r>
              <w:t>Trompenaars cultural dimensions has a significant influence on the performance of education industry in China.</w:t>
            </w:r>
          </w:p>
        </w:tc>
        <w:tc>
          <w:tcPr>
            <w:tcW w:w="2469" w:type="dxa"/>
          </w:tcPr>
          <w:p>
            <w:pPr>
              <w:spacing w:before="120" w:after="120"/>
              <w:jc w:val="center"/>
            </w:pPr>
            <w:r>
              <w:t xml:space="preserve">Standardised β = </w:t>
            </w:r>
            <w:r>
              <w:rPr>
                <w:rFonts w:hint="eastAsia"/>
              </w:rPr>
              <w:t>-0.143</w:t>
            </w:r>
            <w:r>
              <w:t>, Sig. = 0.0</w:t>
            </w:r>
            <w:r>
              <w:rPr>
                <w:rFonts w:hint="eastAsia"/>
              </w:rPr>
              <w:t>15</w:t>
            </w:r>
            <w:r>
              <w:t>, p &lt; 0.05</w:t>
            </w:r>
          </w:p>
        </w:tc>
        <w:tc>
          <w:tcPr>
            <w:tcW w:w="2463" w:type="dxa"/>
          </w:tcPr>
          <w:p>
            <w:pPr>
              <w:spacing w:before="120" w:after="120"/>
              <w:jc w:val="center"/>
            </w:pPr>
            <w:r>
              <w:rPr>
                <w:rFonts w:hint="eastAsia"/>
              </w:rPr>
              <w:t>Negative</w:t>
            </w:r>
            <w:r>
              <w:t xml:space="preserve"> relationship; Significant</w:t>
            </w:r>
          </w:p>
        </w:tc>
        <w:tc>
          <w:tcPr>
            <w:tcW w:w="1357" w:type="dxa"/>
          </w:tcPr>
          <w:p>
            <w:pPr>
              <w:spacing w:before="120" w:after="120"/>
              <w:jc w:val="center"/>
            </w:pPr>
            <w:r>
              <w:rPr>
                <w:rFonts w:hint="eastAsia"/>
              </w:rPr>
              <w:t>Partially Accepted</w:t>
            </w:r>
          </w:p>
        </w:tc>
      </w:tr>
    </w:tbl>
    <w:p>
      <w:pPr>
        <w:pStyle w:val="2"/>
        <w:spacing w:before="360" w:after="120"/>
        <w:rPr>
          <w:lang w:eastAsia="en-GB"/>
        </w:rPr>
      </w:pPr>
      <w:bookmarkStart w:id="255" w:name="_Toc14155_WPSOffice_Level2"/>
      <w:bookmarkStart w:id="256" w:name="_Toc530662044"/>
      <w:bookmarkStart w:id="257" w:name="_Toc953_WPSOffice_Level2"/>
      <w:r>
        <w:rPr>
          <w:lang w:eastAsia="en-GB"/>
        </w:rPr>
        <w:t>4.6 Summary of Findings</w:t>
      </w:r>
      <w:bookmarkEnd w:id="255"/>
      <w:bookmarkEnd w:id="256"/>
      <w:bookmarkEnd w:id="257"/>
    </w:p>
    <w:p>
      <w:pPr>
        <w:spacing w:before="120" w:after="120"/>
        <w:rPr>
          <w:rFonts w:eastAsia="宋体" w:cs="Times New Roman"/>
        </w:rPr>
      </w:pPr>
      <w:r>
        <w:rPr>
          <w:rFonts w:cs="Times New Roman"/>
          <w:lang w:eastAsia="en-GB"/>
        </w:rPr>
        <w:t xml:space="preserve">In this section, all the complete findings from the essential tests conducted above to examine the relationship between independent variables towards </w:t>
      </w:r>
      <w:r>
        <w:rPr>
          <w:rFonts w:eastAsia="宋体" w:cs="Times New Roman"/>
        </w:rPr>
        <w:t>the performance of education industry in China</w:t>
      </w:r>
      <w:r>
        <w:rPr>
          <w:rFonts w:cs="Times New Roman"/>
          <w:lang w:eastAsia="en-GB"/>
        </w:rPr>
        <w:t xml:space="preserve"> will be summarised and listed out in the following Table </w:t>
      </w:r>
      <w:r>
        <w:rPr>
          <w:rFonts w:eastAsia="宋体" w:cs="Times New Roman"/>
        </w:rPr>
        <w:t>4.19</w:t>
      </w:r>
      <w:r>
        <w:rPr>
          <w:rFonts w:cs="Times New Roman"/>
          <w:lang w:eastAsia="en-GB"/>
        </w:rPr>
        <w:t xml:space="preserve"> to present the results in efficient way to ensure it is clear to read. Overall, the results were showed the relationship between constructs and focused phenomenon of this study are significantly positive and all the hypotheses are accepted based on the results provided</w:t>
      </w:r>
      <w:r>
        <w:rPr>
          <w:rFonts w:eastAsia="宋体" w:cs="Times New Roman"/>
        </w:rPr>
        <w:t>.</w:t>
      </w:r>
    </w:p>
    <w:p>
      <w:pPr>
        <w:spacing w:before="120" w:after="120"/>
        <w:rPr>
          <w:rFonts w:eastAsia="宋体" w:cs="Times New Roman"/>
        </w:rPr>
      </w:pPr>
    </w:p>
    <w:p>
      <w:pPr>
        <w:spacing w:before="120" w:after="120"/>
        <w:rPr>
          <w:rFonts w:cs="Times New Roman"/>
          <w:lang w:eastAsia="en-GB"/>
        </w:rPr>
      </w:pPr>
      <w:r>
        <w:rPr>
          <w:rFonts w:cs="Times New Roman"/>
          <w:lang w:eastAsia="en-GB"/>
        </w:rPr>
        <w:t xml:space="preserve">Table </w:t>
      </w:r>
      <w:r>
        <w:rPr>
          <w:rFonts w:eastAsia="宋体" w:cs="Times New Roman"/>
        </w:rPr>
        <w:t xml:space="preserve">4.19 </w:t>
      </w:r>
      <w:r>
        <w:rPr>
          <w:rFonts w:cs="Times New Roman"/>
          <w:lang w:eastAsia="en-GB"/>
        </w:rPr>
        <w:t>: Summary of Findings</w:t>
      </w:r>
    </w:p>
    <w:tbl>
      <w:tblPr>
        <w:tblStyle w:val="15"/>
        <w:tblW w:w="8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940"/>
        <w:gridCol w:w="1590"/>
        <w:gridCol w:w="2269"/>
        <w:gridCol w:w="2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2" w:hRule="atLeast"/>
        </w:trPr>
        <w:tc>
          <w:tcPr>
            <w:tcW w:w="1245" w:type="dxa"/>
            <w:shd w:val="clear" w:color="auto" w:fill="D8D8D8" w:themeFill="background1" w:themeFillShade="D9"/>
          </w:tcPr>
          <w:p>
            <w:pPr>
              <w:spacing w:before="120" w:after="120"/>
              <w:jc w:val="left"/>
              <w:rPr>
                <w:sz w:val="20"/>
                <w:lang w:eastAsia="en-GB"/>
              </w:rPr>
            </w:pPr>
            <w:r>
              <w:rPr>
                <w:sz w:val="20"/>
                <w:lang w:eastAsia="en-GB"/>
              </w:rPr>
              <w:t>Test</w:t>
            </w:r>
          </w:p>
        </w:tc>
        <w:tc>
          <w:tcPr>
            <w:tcW w:w="940" w:type="dxa"/>
            <w:shd w:val="clear" w:color="auto" w:fill="D8D8D8" w:themeFill="background1" w:themeFillShade="D9"/>
          </w:tcPr>
          <w:p>
            <w:pPr>
              <w:spacing w:before="120" w:after="120"/>
              <w:jc w:val="left"/>
              <w:rPr>
                <w:sz w:val="20"/>
                <w:lang w:eastAsia="en-GB"/>
              </w:rPr>
            </w:pPr>
            <w:r>
              <w:rPr>
                <w:sz w:val="20"/>
                <w:lang w:eastAsia="en-GB"/>
              </w:rPr>
              <w:t>Sample size</w:t>
            </w:r>
          </w:p>
        </w:tc>
        <w:tc>
          <w:tcPr>
            <w:tcW w:w="1590" w:type="dxa"/>
            <w:shd w:val="clear" w:color="auto" w:fill="D8D8D8" w:themeFill="background1" w:themeFillShade="D9"/>
          </w:tcPr>
          <w:p>
            <w:pPr>
              <w:spacing w:before="120" w:after="120"/>
              <w:jc w:val="left"/>
              <w:rPr>
                <w:sz w:val="20"/>
                <w:lang w:eastAsia="en-GB"/>
              </w:rPr>
            </w:pPr>
            <w:r>
              <w:rPr>
                <w:sz w:val="20"/>
                <w:lang w:eastAsia="en-GB"/>
              </w:rPr>
              <w:t>Type of Tests</w:t>
            </w:r>
          </w:p>
        </w:tc>
        <w:tc>
          <w:tcPr>
            <w:tcW w:w="2269" w:type="dxa"/>
            <w:shd w:val="clear" w:color="auto" w:fill="D8D8D8" w:themeFill="background1" w:themeFillShade="D9"/>
          </w:tcPr>
          <w:p>
            <w:pPr>
              <w:spacing w:before="120" w:after="120"/>
              <w:jc w:val="left"/>
              <w:rPr>
                <w:sz w:val="20"/>
                <w:lang w:eastAsia="en-GB"/>
              </w:rPr>
            </w:pPr>
            <w:r>
              <w:rPr>
                <w:sz w:val="20"/>
                <w:lang w:eastAsia="en-GB"/>
              </w:rPr>
              <w:t xml:space="preserve">Output </w:t>
            </w:r>
          </w:p>
        </w:tc>
        <w:tc>
          <w:tcPr>
            <w:tcW w:w="2336" w:type="dxa"/>
            <w:shd w:val="clear" w:color="auto" w:fill="D8D8D8" w:themeFill="background1" w:themeFillShade="D9"/>
          </w:tcPr>
          <w:p>
            <w:pPr>
              <w:spacing w:before="120" w:after="120"/>
              <w:jc w:val="left"/>
              <w:rPr>
                <w:sz w:val="20"/>
                <w:lang w:eastAsia="en-GB"/>
              </w:rPr>
            </w:pPr>
            <w:r>
              <w:rPr>
                <w:sz w:val="20"/>
                <w:lang w:eastAsia="en-GB"/>
              </w:rPr>
              <w:t>Finding/ Decision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245" w:type="dxa"/>
            <w:vMerge w:val="restart"/>
          </w:tcPr>
          <w:p>
            <w:pPr>
              <w:spacing w:before="120" w:after="120"/>
              <w:jc w:val="left"/>
              <w:rPr>
                <w:sz w:val="20"/>
                <w:lang w:eastAsia="en-GB"/>
              </w:rPr>
            </w:pPr>
            <w:r>
              <w:rPr>
                <w:sz w:val="20"/>
                <w:lang w:eastAsia="en-GB"/>
              </w:rPr>
              <w:t>Pilot Test</w:t>
            </w:r>
          </w:p>
        </w:tc>
        <w:tc>
          <w:tcPr>
            <w:tcW w:w="940" w:type="dxa"/>
            <w:vMerge w:val="restart"/>
          </w:tcPr>
          <w:p>
            <w:pPr>
              <w:spacing w:before="120" w:after="120"/>
              <w:jc w:val="left"/>
              <w:rPr>
                <w:sz w:val="20"/>
              </w:rPr>
            </w:pPr>
            <w:r>
              <w:rPr>
                <w:sz w:val="20"/>
                <w:lang w:eastAsia="en-GB"/>
              </w:rPr>
              <w:t>4</w:t>
            </w:r>
            <w:r>
              <w:rPr>
                <w:rFonts w:hint="eastAsia"/>
                <w:sz w:val="20"/>
              </w:rPr>
              <w:t>0</w:t>
            </w:r>
          </w:p>
        </w:tc>
        <w:tc>
          <w:tcPr>
            <w:tcW w:w="1590" w:type="dxa"/>
            <w:vMerge w:val="restart"/>
          </w:tcPr>
          <w:p>
            <w:pPr>
              <w:spacing w:before="120" w:after="120"/>
              <w:jc w:val="left"/>
              <w:rPr>
                <w:sz w:val="20"/>
                <w:lang w:eastAsia="en-GB"/>
              </w:rPr>
            </w:pPr>
            <w:r>
              <w:rPr>
                <w:sz w:val="20"/>
                <w:lang w:eastAsia="en-GB"/>
              </w:rPr>
              <w:t>Factor Analysis</w:t>
            </w:r>
          </w:p>
        </w:tc>
        <w:tc>
          <w:tcPr>
            <w:tcW w:w="2269" w:type="dxa"/>
          </w:tcPr>
          <w:p>
            <w:pPr>
              <w:spacing w:before="120" w:after="120"/>
              <w:jc w:val="left"/>
              <w:rPr>
                <w:sz w:val="20"/>
                <w:lang w:eastAsia="en-GB"/>
              </w:rPr>
            </w:pPr>
            <w:r>
              <w:rPr>
                <w:sz w:val="20"/>
                <w:lang w:eastAsia="en-GB"/>
              </w:rPr>
              <w:t>KMO &gt; 0.70</w:t>
            </w:r>
          </w:p>
        </w:tc>
        <w:tc>
          <w:tcPr>
            <w:tcW w:w="2336" w:type="dxa"/>
          </w:tcPr>
          <w:p>
            <w:pPr>
              <w:spacing w:before="120" w:after="120"/>
              <w:rPr>
                <w:sz w:val="20"/>
                <w:lang w:eastAsia="en-GB"/>
              </w:rPr>
            </w:pPr>
            <w:r>
              <w:rPr>
                <w:sz w:val="20"/>
                <w:lang w:eastAsia="en-GB"/>
              </w:rPr>
              <w:t>Fit to the research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245" w:type="dxa"/>
            <w:vMerge w:val="continue"/>
          </w:tcPr>
          <w:p>
            <w:pPr>
              <w:spacing w:before="120" w:after="120"/>
              <w:jc w:val="left"/>
              <w:rPr>
                <w:sz w:val="20"/>
                <w:lang w:eastAsia="en-GB"/>
              </w:rPr>
            </w:pPr>
          </w:p>
        </w:tc>
        <w:tc>
          <w:tcPr>
            <w:tcW w:w="940" w:type="dxa"/>
            <w:vMerge w:val="continue"/>
          </w:tcPr>
          <w:p>
            <w:pPr>
              <w:spacing w:before="120" w:after="120"/>
              <w:jc w:val="left"/>
              <w:rPr>
                <w:sz w:val="20"/>
                <w:lang w:eastAsia="en-GB"/>
              </w:rPr>
            </w:pPr>
          </w:p>
        </w:tc>
        <w:tc>
          <w:tcPr>
            <w:tcW w:w="1590" w:type="dxa"/>
            <w:vMerge w:val="continue"/>
          </w:tcPr>
          <w:p>
            <w:pPr>
              <w:spacing w:before="120" w:after="120"/>
              <w:jc w:val="left"/>
              <w:rPr>
                <w:sz w:val="20"/>
                <w:lang w:eastAsia="en-GB"/>
              </w:rPr>
            </w:pPr>
          </w:p>
        </w:tc>
        <w:tc>
          <w:tcPr>
            <w:tcW w:w="2269" w:type="dxa"/>
          </w:tcPr>
          <w:p>
            <w:pPr>
              <w:spacing w:before="120" w:after="120"/>
              <w:jc w:val="left"/>
              <w:rPr>
                <w:sz w:val="20"/>
                <w:lang w:eastAsia="en-GB"/>
              </w:rPr>
            </w:pPr>
            <w:r>
              <w:rPr>
                <w:sz w:val="20"/>
                <w:lang w:eastAsia="en-GB"/>
              </w:rPr>
              <w:t>Factor Loading &gt; 0.60</w:t>
            </w:r>
          </w:p>
        </w:tc>
        <w:tc>
          <w:tcPr>
            <w:tcW w:w="2336" w:type="dxa"/>
          </w:tcPr>
          <w:p>
            <w:pPr>
              <w:spacing w:before="120" w:after="120"/>
              <w:rPr>
                <w:sz w:val="20"/>
                <w:lang w:eastAsia="en-GB"/>
              </w:rPr>
            </w:pPr>
            <w:r>
              <w:rPr>
                <w:sz w:val="20"/>
                <w:lang w:eastAsia="en-GB"/>
              </w:rPr>
              <w:t>Fit to the research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245" w:type="dxa"/>
            <w:vMerge w:val="continue"/>
          </w:tcPr>
          <w:p>
            <w:pPr>
              <w:spacing w:before="120" w:after="120"/>
              <w:jc w:val="left"/>
              <w:rPr>
                <w:sz w:val="20"/>
                <w:lang w:eastAsia="en-GB"/>
              </w:rPr>
            </w:pPr>
          </w:p>
        </w:tc>
        <w:tc>
          <w:tcPr>
            <w:tcW w:w="940" w:type="dxa"/>
            <w:vMerge w:val="continue"/>
          </w:tcPr>
          <w:p>
            <w:pPr>
              <w:spacing w:before="120" w:after="120"/>
              <w:jc w:val="left"/>
              <w:rPr>
                <w:sz w:val="20"/>
                <w:lang w:eastAsia="en-GB"/>
              </w:rPr>
            </w:pPr>
          </w:p>
        </w:tc>
        <w:tc>
          <w:tcPr>
            <w:tcW w:w="1590" w:type="dxa"/>
            <w:vMerge w:val="continue"/>
          </w:tcPr>
          <w:p>
            <w:pPr>
              <w:spacing w:before="120" w:after="120"/>
              <w:jc w:val="left"/>
              <w:rPr>
                <w:sz w:val="20"/>
                <w:lang w:eastAsia="en-GB"/>
              </w:rPr>
            </w:pPr>
          </w:p>
        </w:tc>
        <w:tc>
          <w:tcPr>
            <w:tcW w:w="2269" w:type="dxa"/>
          </w:tcPr>
          <w:p>
            <w:pPr>
              <w:spacing w:before="120" w:after="120"/>
              <w:jc w:val="left"/>
              <w:rPr>
                <w:sz w:val="20"/>
                <w:lang w:eastAsia="en-GB"/>
              </w:rPr>
            </w:pPr>
            <w:r>
              <w:rPr>
                <w:sz w:val="20"/>
                <w:lang w:eastAsia="en-GB"/>
              </w:rPr>
              <w:t>Eigenvalues &gt; 1</w:t>
            </w:r>
          </w:p>
        </w:tc>
        <w:tc>
          <w:tcPr>
            <w:tcW w:w="2336" w:type="dxa"/>
          </w:tcPr>
          <w:p>
            <w:pPr>
              <w:spacing w:before="120" w:after="120"/>
              <w:rPr>
                <w:sz w:val="20"/>
                <w:lang w:eastAsia="en-GB"/>
              </w:rPr>
            </w:pPr>
            <w:r>
              <w:rPr>
                <w:sz w:val="20"/>
                <w:lang w:eastAsia="en-GB"/>
              </w:rPr>
              <w:t>Fit to the research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45" w:type="dxa"/>
            <w:vMerge w:val="continue"/>
          </w:tcPr>
          <w:p>
            <w:pPr>
              <w:spacing w:before="120" w:after="120"/>
              <w:jc w:val="left"/>
              <w:rPr>
                <w:sz w:val="20"/>
                <w:lang w:eastAsia="en-GB"/>
              </w:rPr>
            </w:pPr>
          </w:p>
        </w:tc>
        <w:tc>
          <w:tcPr>
            <w:tcW w:w="940" w:type="dxa"/>
            <w:vMerge w:val="continue"/>
          </w:tcPr>
          <w:p>
            <w:pPr>
              <w:spacing w:before="120" w:after="120"/>
              <w:jc w:val="left"/>
              <w:rPr>
                <w:sz w:val="20"/>
                <w:lang w:eastAsia="en-GB"/>
              </w:rPr>
            </w:pPr>
          </w:p>
        </w:tc>
        <w:tc>
          <w:tcPr>
            <w:tcW w:w="1590" w:type="dxa"/>
            <w:vMerge w:val="continue"/>
          </w:tcPr>
          <w:p>
            <w:pPr>
              <w:spacing w:before="120" w:after="120"/>
              <w:jc w:val="left"/>
              <w:rPr>
                <w:sz w:val="20"/>
                <w:lang w:eastAsia="en-GB"/>
              </w:rPr>
            </w:pPr>
          </w:p>
        </w:tc>
        <w:tc>
          <w:tcPr>
            <w:tcW w:w="2269" w:type="dxa"/>
          </w:tcPr>
          <w:p>
            <w:pPr>
              <w:spacing w:before="120" w:after="120"/>
              <w:jc w:val="left"/>
              <w:rPr>
                <w:sz w:val="20"/>
                <w:lang w:eastAsia="en-GB"/>
              </w:rPr>
            </w:pPr>
            <w:r>
              <w:rPr>
                <w:sz w:val="20"/>
              </w:rPr>
              <w:t>Varimax Rotated Component Matrix &gt; 0.60</w:t>
            </w:r>
          </w:p>
        </w:tc>
        <w:tc>
          <w:tcPr>
            <w:tcW w:w="2336" w:type="dxa"/>
          </w:tcPr>
          <w:p>
            <w:pPr>
              <w:spacing w:before="120" w:after="120"/>
              <w:rPr>
                <w:sz w:val="20"/>
                <w:lang w:eastAsia="en-GB"/>
              </w:rPr>
            </w:pPr>
            <w:r>
              <w:rPr>
                <w:sz w:val="20"/>
                <w:lang w:eastAsia="en-GB"/>
              </w:rPr>
              <w:t>Fit to the research as all the items meets the communalities cut of line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7" w:hRule="atLeast"/>
        </w:trPr>
        <w:tc>
          <w:tcPr>
            <w:tcW w:w="1245" w:type="dxa"/>
            <w:vMerge w:val="continue"/>
          </w:tcPr>
          <w:p>
            <w:pPr>
              <w:spacing w:before="120" w:after="120"/>
              <w:jc w:val="left"/>
              <w:rPr>
                <w:sz w:val="20"/>
                <w:lang w:eastAsia="en-GB"/>
              </w:rPr>
            </w:pPr>
          </w:p>
        </w:tc>
        <w:tc>
          <w:tcPr>
            <w:tcW w:w="940" w:type="dxa"/>
            <w:vMerge w:val="continue"/>
          </w:tcPr>
          <w:p>
            <w:pPr>
              <w:spacing w:before="120" w:after="120"/>
              <w:jc w:val="left"/>
              <w:rPr>
                <w:sz w:val="20"/>
                <w:lang w:eastAsia="en-GB"/>
              </w:rPr>
            </w:pPr>
          </w:p>
        </w:tc>
        <w:tc>
          <w:tcPr>
            <w:tcW w:w="1590" w:type="dxa"/>
          </w:tcPr>
          <w:p>
            <w:pPr>
              <w:spacing w:before="120" w:after="120"/>
              <w:jc w:val="left"/>
              <w:rPr>
                <w:sz w:val="20"/>
                <w:lang w:eastAsia="en-GB"/>
              </w:rPr>
            </w:pPr>
            <w:r>
              <w:rPr>
                <w:sz w:val="20"/>
                <w:lang w:eastAsia="en-GB"/>
              </w:rPr>
              <w:t>Reliability Test</w:t>
            </w:r>
          </w:p>
        </w:tc>
        <w:tc>
          <w:tcPr>
            <w:tcW w:w="2269" w:type="dxa"/>
          </w:tcPr>
          <w:p>
            <w:pPr>
              <w:spacing w:before="120" w:after="120"/>
              <w:jc w:val="left"/>
              <w:rPr>
                <w:sz w:val="20"/>
              </w:rPr>
            </w:pPr>
            <w:r>
              <w:rPr>
                <w:sz w:val="20"/>
              </w:rPr>
              <w:t xml:space="preserve">Cronbach’s Alpha &gt; </w:t>
            </w:r>
            <w:r>
              <w:rPr>
                <w:rFonts w:hint="eastAsia"/>
                <w:sz w:val="20"/>
              </w:rPr>
              <w:t>0.60</w:t>
            </w:r>
          </w:p>
        </w:tc>
        <w:tc>
          <w:tcPr>
            <w:tcW w:w="2336" w:type="dxa"/>
          </w:tcPr>
          <w:p>
            <w:pPr>
              <w:spacing w:before="120" w:after="120"/>
              <w:rPr>
                <w:sz w:val="20"/>
                <w:lang w:eastAsia="en-GB"/>
              </w:rPr>
            </w:pPr>
            <w:r>
              <w:rPr>
                <w:sz w:val="20"/>
                <w:lang w:eastAsia="en-GB"/>
              </w:rPr>
              <w:t>Fit to the research</w:t>
            </w:r>
          </w:p>
          <w:p>
            <w:pPr>
              <w:spacing w:before="120" w:after="120"/>
              <w:rPr>
                <w:sz w:val="20"/>
                <w:lang w:eastAsia="en-GB"/>
              </w:rPr>
            </w:pPr>
            <w:r>
              <w:rPr>
                <w:sz w:val="20"/>
                <w:lang w:eastAsia="en-GB"/>
              </w:rPr>
              <w:t>The Cronbach’s Alpha value will be remained above 0.</w:t>
            </w:r>
            <w:r>
              <w:rPr>
                <w:rFonts w:hint="eastAsia"/>
                <w:sz w:val="20"/>
              </w:rPr>
              <w:t>8</w:t>
            </w:r>
            <w:r>
              <w:rPr>
                <w:sz w:val="20"/>
                <w:lang w:eastAsia="en-GB"/>
              </w:rPr>
              <w:t>0 even any of the item is deleted.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9" w:hRule="atLeast"/>
        </w:trPr>
        <w:tc>
          <w:tcPr>
            <w:tcW w:w="1245" w:type="dxa"/>
            <w:vMerge w:val="restart"/>
          </w:tcPr>
          <w:p>
            <w:pPr>
              <w:spacing w:before="120" w:after="120"/>
              <w:jc w:val="left"/>
              <w:rPr>
                <w:sz w:val="20"/>
                <w:lang w:eastAsia="en-GB"/>
              </w:rPr>
            </w:pPr>
            <w:r>
              <w:rPr>
                <w:sz w:val="20"/>
                <w:lang w:eastAsia="en-GB"/>
              </w:rPr>
              <w:t>Preliminary Test</w:t>
            </w:r>
          </w:p>
        </w:tc>
        <w:tc>
          <w:tcPr>
            <w:tcW w:w="940" w:type="dxa"/>
            <w:vMerge w:val="restart"/>
          </w:tcPr>
          <w:p>
            <w:pPr>
              <w:spacing w:before="120" w:after="120"/>
              <w:jc w:val="left"/>
              <w:rPr>
                <w:sz w:val="20"/>
              </w:rPr>
            </w:pPr>
            <w:r>
              <w:rPr>
                <w:sz w:val="20"/>
                <w:lang w:eastAsia="en-GB"/>
              </w:rPr>
              <w:t>2</w:t>
            </w:r>
            <w:r>
              <w:rPr>
                <w:rFonts w:hint="eastAsia"/>
                <w:sz w:val="20"/>
              </w:rPr>
              <w:t>80</w:t>
            </w:r>
          </w:p>
          <w:p>
            <w:pPr>
              <w:spacing w:before="120" w:after="120"/>
              <w:jc w:val="left"/>
              <w:rPr>
                <w:sz w:val="20"/>
                <w:lang w:eastAsia="en-GB"/>
              </w:rPr>
            </w:pPr>
          </w:p>
        </w:tc>
        <w:tc>
          <w:tcPr>
            <w:tcW w:w="1590" w:type="dxa"/>
            <w:vMerge w:val="restart"/>
          </w:tcPr>
          <w:p>
            <w:pPr>
              <w:spacing w:before="120" w:after="120"/>
              <w:jc w:val="left"/>
              <w:rPr>
                <w:sz w:val="20"/>
                <w:lang w:eastAsia="en-GB"/>
              </w:rPr>
            </w:pPr>
            <w:r>
              <w:rPr>
                <w:sz w:val="20"/>
                <w:lang w:eastAsia="en-GB"/>
              </w:rPr>
              <w:t>Factor Analysis</w:t>
            </w:r>
          </w:p>
        </w:tc>
        <w:tc>
          <w:tcPr>
            <w:tcW w:w="2269" w:type="dxa"/>
          </w:tcPr>
          <w:p>
            <w:pPr>
              <w:spacing w:before="120" w:after="120"/>
              <w:jc w:val="left"/>
              <w:rPr>
                <w:sz w:val="20"/>
              </w:rPr>
            </w:pPr>
            <w:r>
              <w:rPr>
                <w:sz w:val="20"/>
                <w:lang w:eastAsia="en-GB"/>
              </w:rPr>
              <w:t>KMO &gt; 0.70</w:t>
            </w:r>
          </w:p>
        </w:tc>
        <w:tc>
          <w:tcPr>
            <w:tcW w:w="2336" w:type="dxa"/>
          </w:tcPr>
          <w:p>
            <w:pPr>
              <w:spacing w:before="120" w:after="120"/>
              <w:rPr>
                <w:sz w:val="20"/>
                <w:lang w:eastAsia="en-GB"/>
              </w:rPr>
            </w:pPr>
            <w:r>
              <w:rPr>
                <w:sz w:val="20"/>
                <w:lang w:eastAsia="en-GB"/>
              </w:rPr>
              <w:t>Fit to the research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245" w:type="dxa"/>
            <w:vMerge w:val="continue"/>
          </w:tcPr>
          <w:p>
            <w:pPr>
              <w:spacing w:before="120" w:after="120"/>
              <w:jc w:val="left"/>
              <w:rPr>
                <w:sz w:val="20"/>
                <w:lang w:eastAsia="en-GB"/>
              </w:rPr>
            </w:pPr>
          </w:p>
        </w:tc>
        <w:tc>
          <w:tcPr>
            <w:tcW w:w="940" w:type="dxa"/>
            <w:vMerge w:val="continue"/>
          </w:tcPr>
          <w:p>
            <w:pPr>
              <w:spacing w:before="120" w:after="120"/>
              <w:jc w:val="left"/>
              <w:rPr>
                <w:sz w:val="20"/>
                <w:lang w:eastAsia="en-GB"/>
              </w:rPr>
            </w:pPr>
          </w:p>
        </w:tc>
        <w:tc>
          <w:tcPr>
            <w:tcW w:w="1590" w:type="dxa"/>
            <w:vMerge w:val="continue"/>
          </w:tcPr>
          <w:p>
            <w:pPr>
              <w:spacing w:before="120" w:after="120"/>
              <w:jc w:val="left"/>
              <w:rPr>
                <w:sz w:val="20"/>
                <w:lang w:eastAsia="en-GB"/>
              </w:rPr>
            </w:pPr>
          </w:p>
        </w:tc>
        <w:tc>
          <w:tcPr>
            <w:tcW w:w="2269" w:type="dxa"/>
          </w:tcPr>
          <w:p>
            <w:pPr>
              <w:spacing w:before="120" w:after="120"/>
              <w:jc w:val="left"/>
              <w:rPr>
                <w:sz w:val="20"/>
              </w:rPr>
            </w:pPr>
            <w:r>
              <w:rPr>
                <w:sz w:val="20"/>
                <w:lang w:eastAsia="en-GB"/>
              </w:rPr>
              <w:t>Factor Loading &gt; 0.60</w:t>
            </w:r>
          </w:p>
        </w:tc>
        <w:tc>
          <w:tcPr>
            <w:tcW w:w="2336" w:type="dxa"/>
          </w:tcPr>
          <w:p>
            <w:pPr>
              <w:spacing w:before="120" w:after="120"/>
              <w:rPr>
                <w:sz w:val="20"/>
                <w:lang w:eastAsia="en-GB"/>
              </w:rPr>
            </w:pPr>
            <w:r>
              <w:rPr>
                <w:sz w:val="20"/>
                <w:lang w:eastAsia="en-GB"/>
              </w:rPr>
              <w:t>Fit to the research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245" w:type="dxa"/>
            <w:vMerge w:val="continue"/>
          </w:tcPr>
          <w:p>
            <w:pPr>
              <w:spacing w:before="120" w:after="120"/>
              <w:jc w:val="left"/>
              <w:rPr>
                <w:sz w:val="20"/>
                <w:lang w:eastAsia="en-GB"/>
              </w:rPr>
            </w:pPr>
          </w:p>
        </w:tc>
        <w:tc>
          <w:tcPr>
            <w:tcW w:w="940" w:type="dxa"/>
            <w:vMerge w:val="continue"/>
          </w:tcPr>
          <w:p>
            <w:pPr>
              <w:spacing w:before="120" w:after="120"/>
              <w:jc w:val="left"/>
              <w:rPr>
                <w:sz w:val="20"/>
                <w:lang w:eastAsia="en-GB"/>
              </w:rPr>
            </w:pPr>
          </w:p>
        </w:tc>
        <w:tc>
          <w:tcPr>
            <w:tcW w:w="1590" w:type="dxa"/>
            <w:vMerge w:val="continue"/>
          </w:tcPr>
          <w:p>
            <w:pPr>
              <w:spacing w:before="120" w:after="120"/>
              <w:jc w:val="left"/>
              <w:rPr>
                <w:sz w:val="20"/>
                <w:lang w:eastAsia="en-GB"/>
              </w:rPr>
            </w:pPr>
          </w:p>
        </w:tc>
        <w:tc>
          <w:tcPr>
            <w:tcW w:w="2269" w:type="dxa"/>
          </w:tcPr>
          <w:p>
            <w:pPr>
              <w:spacing w:before="120" w:after="120"/>
              <w:jc w:val="left"/>
              <w:rPr>
                <w:sz w:val="20"/>
              </w:rPr>
            </w:pPr>
            <w:r>
              <w:rPr>
                <w:sz w:val="20"/>
                <w:lang w:eastAsia="en-GB"/>
              </w:rPr>
              <w:t>Eigenvalues &gt; 1</w:t>
            </w:r>
          </w:p>
        </w:tc>
        <w:tc>
          <w:tcPr>
            <w:tcW w:w="2336" w:type="dxa"/>
          </w:tcPr>
          <w:p>
            <w:pPr>
              <w:spacing w:before="120" w:after="120"/>
              <w:rPr>
                <w:sz w:val="20"/>
                <w:lang w:eastAsia="en-GB"/>
              </w:rPr>
            </w:pPr>
            <w:r>
              <w:rPr>
                <w:sz w:val="20"/>
                <w:lang w:eastAsia="en-GB"/>
              </w:rPr>
              <w:t>Fit to the research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3" w:hRule="atLeast"/>
        </w:trPr>
        <w:tc>
          <w:tcPr>
            <w:tcW w:w="1245" w:type="dxa"/>
            <w:vMerge w:val="continue"/>
          </w:tcPr>
          <w:p>
            <w:pPr>
              <w:spacing w:before="120" w:after="120"/>
              <w:jc w:val="left"/>
              <w:rPr>
                <w:sz w:val="20"/>
                <w:lang w:eastAsia="en-GB"/>
              </w:rPr>
            </w:pPr>
          </w:p>
        </w:tc>
        <w:tc>
          <w:tcPr>
            <w:tcW w:w="940" w:type="dxa"/>
            <w:vMerge w:val="continue"/>
          </w:tcPr>
          <w:p>
            <w:pPr>
              <w:spacing w:before="120" w:after="120"/>
              <w:jc w:val="left"/>
              <w:rPr>
                <w:sz w:val="20"/>
                <w:lang w:eastAsia="en-GB"/>
              </w:rPr>
            </w:pPr>
          </w:p>
        </w:tc>
        <w:tc>
          <w:tcPr>
            <w:tcW w:w="1590" w:type="dxa"/>
            <w:vMerge w:val="continue"/>
          </w:tcPr>
          <w:p>
            <w:pPr>
              <w:spacing w:before="120" w:after="120"/>
              <w:jc w:val="left"/>
              <w:rPr>
                <w:sz w:val="20"/>
                <w:lang w:eastAsia="en-GB"/>
              </w:rPr>
            </w:pPr>
          </w:p>
        </w:tc>
        <w:tc>
          <w:tcPr>
            <w:tcW w:w="2269" w:type="dxa"/>
          </w:tcPr>
          <w:p>
            <w:pPr>
              <w:spacing w:before="120" w:after="120"/>
              <w:jc w:val="left"/>
              <w:rPr>
                <w:sz w:val="20"/>
              </w:rPr>
            </w:pPr>
            <w:r>
              <w:rPr>
                <w:sz w:val="20"/>
              </w:rPr>
              <w:t>Varimax Rotated Component Matrix &gt; 0.60</w:t>
            </w:r>
          </w:p>
        </w:tc>
        <w:tc>
          <w:tcPr>
            <w:tcW w:w="2336" w:type="dxa"/>
          </w:tcPr>
          <w:p>
            <w:pPr>
              <w:spacing w:before="120" w:after="120"/>
              <w:rPr>
                <w:sz w:val="20"/>
                <w:lang w:eastAsia="en-GB"/>
              </w:rPr>
            </w:pPr>
            <w:r>
              <w:rPr>
                <w:sz w:val="20"/>
                <w:lang w:eastAsia="en-GB"/>
              </w:rPr>
              <w:t>Fit to the research as all the items meets the communalities cut of line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8" w:hRule="atLeast"/>
        </w:trPr>
        <w:tc>
          <w:tcPr>
            <w:tcW w:w="1245" w:type="dxa"/>
            <w:vMerge w:val="continue"/>
          </w:tcPr>
          <w:p>
            <w:pPr>
              <w:spacing w:before="120" w:after="120"/>
              <w:jc w:val="left"/>
              <w:rPr>
                <w:sz w:val="20"/>
                <w:lang w:eastAsia="en-GB"/>
              </w:rPr>
            </w:pPr>
          </w:p>
        </w:tc>
        <w:tc>
          <w:tcPr>
            <w:tcW w:w="940" w:type="dxa"/>
            <w:vMerge w:val="continue"/>
          </w:tcPr>
          <w:p>
            <w:pPr>
              <w:spacing w:before="120" w:after="120"/>
              <w:jc w:val="left"/>
              <w:rPr>
                <w:sz w:val="20"/>
                <w:lang w:eastAsia="en-GB"/>
              </w:rPr>
            </w:pPr>
          </w:p>
        </w:tc>
        <w:tc>
          <w:tcPr>
            <w:tcW w:w="1590" w:type="dxa"/>
          </w:tcPr>
          <w:p>
            <w:pPr>
              <w:spacing w:before="120" w:after="120"/>
              <w:jc w:val="left"/>
              <w:rPr>
                <w:sz w:val="20"/>
                <w:lang w:eastAsia="en-GB"/>
              </w:rPr>
            </w:pPr>
            <w:r>
              <w:rPr>
                <w:sz w:val="20"/>
                <w:lang w:eastAsia="en-GB"/>
              </w:rPr>
              <w:t>Reliability Test</w:t>
            </w:r>
          </w:p>
        </w:tc>
        <w:tc>
          <w:tcPr>
            <w:tcW w:w="2269" w:type="dxa"/>
          </w:tcPr>
          <w:p>
            <w:pPr>
              <w:spacing w:before="120" w:after="120"/>
              <w:jc w:val="left"/>
              <w:rPr>
                <w:sz w:val="20"/>
              </w:rPr>
            </w:pPr>
            <w:r>
              <w:rPr>
                <w:sz w:val="20"/>
              </w:rPr>
              <w:t>Cronbach’s Alpha &gt; 0.</w:t>
            </w:r>
            <w:r>
              <w:rPr>
                <w:rFonts w:hint="eastAsia"/>
                <w:sz w:val="20"/>
              </w:rPr>
              <w:t>60</w:t>
            </w:r>
          </w:p>
        </w:tc>
        <w:tc>
          <w:tcPr>
            <w:tcW w:w="2336" w:type="dxa"/>
          </w:tcPr>
          <w:p>
            <w:pPr>
              <w:spacing w:before="120" w:after="120"/>
              <w:rPr>
                <w:sz w:val="20"/>
                <w:lang w:eastAsia="en-GB"/>
              </w:rPr>
            </w:pPr>
            <w:r>
              <w:rPr>
                <w:sz w:val="20"/>
                <w:lang w:eastAsia="en-GB"/>
              </w:rPr>
              <w:t xml:space="preserve">Fit to the research </w:t>
            </w:r>
          </w:p>
          <w:p>
            <w:pPr>
              <w:spacing w:before="120" w:after="120"/>
              <w:rPr>
                <w:sz w:val="20"/>
                <w:lang w:eastAsia="en-GB"/>
              </w:rPr>
            </w:pPr>
            <w:r>
              <w:rPr>
                <w:sz w:val="20"/>
                <w:lang w:eastAsia="en-GB"/>
              </w:rPr>
              <w:t>The Cronbach’s Alpha value will be remained above 0.</w:t>
            </w:r>
            <w:r>
              <w:rPr>
                <w:rFonts w:hint="eastAsia"/>
                <w:sz w:val="20"/>
              </w:rPr>
              <w:t>8</w:t>
            </w:r>
            <w:r>
              <w:rPr>
                <w:sz w:val="20"/>
                <w:lang w:eastAsia="en-GB"/>
              </w:rPr>
              <w:t>0 even any of the item is deleted.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0" w:hRule="atLeast"/>
        </w:trPr>
        <w:tc>
          <w:tcPr>
            <w:tcW w:w="1245" w:type="dxa"/>
            <w:vMerge w:val="restart"/>
          </w:tcPr>
          <w:p>
            <w:pPr>
              <w:spacing w:before="120" w:after="120"/>
              <w:rPr>
                <w:rFonts w:eastAsia="宋体"/>
              </w:rPr>
            </w:pPr>
            <w:r>
              <w:rPr>
                <w:rFonts w:cs="Times New Roman"/>
              </w:rPr>
              <w:t xml:space="preserve">Hypotheses </w:t>
            </w:r>
            <w:r>
              <w:rPr>
                <w:rFonts w:eastAsia="宋体" w:cs="Times New Roman"/>
              </w:rPr>
              <w:t>Te</w:t>
            </w:r>
            <w:r>
              <w:rPr>
                <w:rFonts w:hint="eastAsia" w:eastAsia="宋体" w:cs="Times New Roman"/>
              </w:rPr>
              <w:t>s</w:t>
            </w:r>
            <w:r>
              <w:rPr>
                <w:rFonts w:eastAsia="宋体" w:cs="Times New Roman"/>
              </w:rPr>
              <w:t>ting</w:t>
            </w:r>
          </w:p>
        </w:tc>
        <w:tc>
          <w:tcPr>
            <w:tcW w:w="940" w:type="dxa"/>
            <w:vMerge w:val="continue"/>
          </w:tcPr>
          <w:p>
            <w:pPr>
              <w:spacing w:before="120" w:after="120"/>
              <w:jc w:val="left"/>
              <w:rPr>
                <w:sz w:val="20"/>
                <w:lang w:eastAsia="en-GB"/>
              </w:rPr>
            </w:pPr>
          </w:p>
        </w:tc>
        <w:tc>
          <w:tcPr>
            <w:tcW w:w="1590" w:type="dxa"/>
            <w:vMerge w:val="restart"/>
          </w:tcPr>
          <w:p>
            <w:pPr>
              <w:spacing w:before="120" w:after="120"/>
              <w:jc w:val="left"/>
              <w:rPr>
                <w:sz w:val="20"/>
                <w:lang w:eastAsia="en-GB"/>
              </w:rPr>
            </w:pPr>
            <w:r>
              <w:rPr>
                <w:sz w:val="20"/>
                <w:lang w:eastAsia="en-GB"/>
              </w:rPr>
              <w:t>Multiple</w:t>
            </w:r>
            <w:r>
              <w:rPr>
                <w:rFonts w:hint="eastAsia"/>
                <w:sz w:val="20"/>
              </w:rPr>
              <w:t xml:space="preserve"> </w:t>
            </w:r>
            <w:r>
              <w:rPr>
                <w:sz w:val="20"/>
                <w:lang w:eastAsia="en-GB"/>
              </w:rPr>
              <w:t xml:space="preserve">Regression </w:t>
            </w:r>
          </w:p>
        </w:tc>
        <w:tc>
          <w:tcPr>
            <w:tcW w:w="2269" w:type="dxa"/>
          </w:tcPr>
          <w:p>
            <w:pPr>
              <w:spacing w:before="120" w:after="120"/>
              <w:jc w:val="left"/>
              <w:rPr>
                <w:sz w:val="20"/>
                <w:u w:val="single"/>
              </w:rPr>
            </w:pPr>
            <w:r>
              <w:rPr>
                <w:sz w:val="20"/>
                <w:u w:val="single"/>
              </w:rPr>
              <w:t>Model Summary</w:t>
            </w:r>
          </w:p>
          <w:p>
            <w:pPr>
              <w:spacing w:before="120" w:after="120"/>
              <w:jc w:val="left"/>
              <w:rPr>
                <w:sz w:val="20"/>
              </w:rPr>
            </w:pPr>
            <w:r>
              <w:rPr>
                <w:sz w:val="20"/>
              </w:rPr>
              <w:t xml:space="preserve">Model </w:t>
            </w:r>
            <w:r>
              <w:rPr>
                <w:rFonts w:hint="eastAsia"/>
                <w:sz w:val="20"/>
              </w:rPr>
              <w:t xml:space="preserve">1 </w:t>
            </w:r>
            <w:r>
              <w:rPr>
                <w:sz w:val="20"/>
              </w:rPr>
              <w:t xml:space="preserve">(DV, IVs): </w:t>
            </w:r>
          </w:p>
          <w:p>
            <w:pPr>
              <w:spacing w:before="120" w:after="120"/>
              <w:jc w:val="left"/>
              <w:rPr>
                <w:sz w:val="20"/>
              </w:rPr>
            </w:pPr>
            <w:r>
              <w:rPr>
                <w:sz w:val="20"/>
              </w:rPr>
              <w:t>R value = 0.</w:t>
            </w:r>
            <w:r>
              <w:rPr>
                <w:rFonts w:hint="eastAsia"/>
                <w:sz w:val="20"/>
              </w:rPr>
              <w:t>642</w:t>
            </w:r>
          </w:p>
          <w:p>
            <w:pPr>
              <w:spacing w:before="120" w:after="120"/>
              <w:jc w:val="left"/>
              <w:rPr>
                <w:sz w:val="20"/>
              </w:rPr>
            </w:pPr>
            <w:r>
              <w:rPr>
                <w:sz w:val="20"/>
              </w:rPr>
              <w:t>R</w:t>
            </w:r>
            <w:r>
              <w:rPr>
                <w:sz w:val="20"/>
                <w:vertAlign w:val="superscript"/>
              </w:rPr>
              <w:t>2</w:t>
            </w:r>
            <w:r>
              <w:rPr>
                <w:sz w:val="20"/>
              </w:rPr>
              <w:t xml:space="preserve"> value = 0.</w:t>
            </w:r>
            <w:r>
              <w:rPr>
                <w:rFonts w:hint="eastAsia"/>
                <w:sz w:val="20"/>
              </w:rPr>
              <w:t>591</w:t>
            </w:r>
          </w:p>
          <w:p>
            <w:pPr>
              <w:spacing w:before="120" w:after="120"/>
              <w:jc w:val="left"/>
              <w:rPr>
                <w:sz w:val="20"/>
              </w:rPr>
            </w:pPr>
          </w:p>
        </w:tc>
        <w:tc>
          <w:tcPr>
            <w:tcW w:w="2336" w:type="dxa"/>
          </w:tcPr>
          <w:p>
            <w:pPr>
              <w:spacing w:before="120" w:after="120"/>
              <w:rPr>
                <w:sz w:val="20"/>
                <w:lang w:eastAsia="en-GB"/>
              </w:rPr>
            </w:pPr>
            <w:r>
              <w:rPr>
                <w:sz w:val="20"/>
                <w:lang w:eastAsia="en-GB"/>
              </w:rPr>
              <w:t xml:space="preserve">Model </w:t>
            </w:r>
            <w:r>
              <w:rPr>
                <w:rFonts w:hint="eastAsia"/>
                <w:sz w:val="20"/>
              </w:rPr>
              <w:t>1</w:t>
            </w:r>
            <w:r>
              <w:rPr>
                <w:sz w:val="20"/>
                <w:lang w:eastAsia="en-GB"/>
              </w:rPr>
              <w:t xml:space="preserve"> is fit to the research</w:t>
            </w:r>
            <w:r>
              <w:rPr>
                <w:rFonts w:hint="eastAsia"/>
                <w:sz w:val="20"/>
              </w:rPr>
              <w:t>.</w:t>
            </w:r>
            <w:r>
              <w:rPr>
                <w:sz w:val="20"/>
              </w:rPr>
              <w:t xml:space="preserve"> </w:t>
            </w:r>
            <w:r>
              <w:rPr>
                <w:rFonts w:hint="eastAsia"/>
                <w:sz w:val="20"/>
              </w:rPr>
              <w:t>It</w:t>
            </w:r>
            <w:r>
              <w:rPr>
                <w:sz w:val="20"/>
              </w:rPr>
              <w:t xml:space="preserve"> means the IVs and </w:t>
            </w:r>
            <w:r>
              <w:rPr>
                <w:rFonts w:hint="eastAsia"/>
                <w:sz w:val="20"/>
              </w:rPr>
              <w:t>DV</w:t>
            </w:r>
            <w:r>
              <w:rPr>
                <w:sz w:val="20"/>
              </w:rPr>
              <w:t xml:space="preserve"> has a significant positive relationship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0" w:hRule="atLeast"/>
        </w:trPr>
        <w:tc>
          <w:tcPr>
            <w:tcW w:w="1245" w:type="dxa"/>
            <w:vMerge w:val="continue"/>
          </w:tcPr>
          <w:p>
            <w:pPr>
              <w:spacing w:before="120" w:after="120"/>
              <w:jc w:val="left"/>
              <w:rPr>
                <w:sz w:val="20"/>
                <w:lang w:eastAsia="en-GB"/>
              </w:rPr>
            </w:pPr>
          </w:p>
        </w:tc>
        <w:tc>
          <w:tcPr>
            <w:tcW w:w="940" w:type="dxa"/>
            <w:vMerge w:val="continue"/>
          </w:tcPr>
          <w:p>
            <w:pPr>
              <w:spacing w:before="120" w:after="120"/>
              <w:jc w:val="left"/>
              <w:rPr>
                <w:sz w:val="20"/>
                <w:lang w:eastAsia="en-GB"/>
              </w:rPr>
            </w:pPr>
          </w:p>
        </w:tc>
        <w:tc>
          <w:tcPr>
            <w:tcW w:w="1590" w:type="dxa"/>
            <w:vMerge w:val="continue"/>
          </w:tcPr>
          <w:p>
            <w:pPr>
              <w:spacing w:before="120" w:after="120"/>
              <w:jc w:val="left"/>
              <w:rPr>
                <w:sz w:val="20"/>
                <w:lang w:eastAsia="en-GB"/>
              </w:rPr>
            </w:pPr>
          </w:p>
        </w:tc>
        <w:tc>
          <w:tcPr>
            <w:tcW w:w="2269" w:type="dxa"/>
          </w:tcPr>
          <w:p>
            <w:pPr>
              <w:spacing w:before="120" w:after="120"/>
              <w:jc w:val="left"/>
              <w:rPr>
                <w:sz w:val="20"/>
                <w:u w:val="single"/>
              </w:rPr>
            </w:pPr>
            <w:r>
              <w:rPr>
                <w:sz w:val="20"/>
                <w:u w:val="single"/>
              </w:rPr>
              <w:t xml:space="preserve">Beta Coefficient (Model </w:t>
            </w:r>
            <w:r>
              <w:rPr>
                <w:rFonts w:hint="eastAsia"/>
                <w:sz w:val="20"/>
                <w:u w:val="single"/>
              </w:rPr>
              <w:t>1</w:t>
            </w:r>
            <w:r>
              <w:rPr>
                <w:sz w:val="20"/>
                <w:u w:val="single"/>
              </w:rPr>
              <w:t>)</w:t>
            </w:r>
          </w:p>
          <w:p>
            <w:pPr>
              <w:spacing w:before="120" w:after="120"/>
              <w:jc w:val="left"/>
              <w:rPr>
                <w:sz w:val="20"/>
                <w:szCs w:val="20"/>
              </w:rPr>
            </w:pPr>
            <w:r>
              <w:rPr>
                <w:rFonts w:cs="Arial"/>
                <w:sz w:val="20"/>
                <w:szCs w:val="20"/>
              </w:rPr>
              <w:t xml:space="preserve">β-value of </w:t>
            </w:r>
            <w:r>
              <w:rPr>
                <w:rFonts w:hint="eastAsia"/>
                <w:sz w:val="20"/>
                <w:szCs w:val="20"/>
              </w:rPr>
              <w:t>IV1</w:t>
            </w:r>
            <w:r>
              <w:rPr>
                <w:sz w:val="20"/>
                <w:szCs w:val="20"/>
              </w:rPr>
              <w:t>= 0.</w:t>
            </w:r>
            <w:r>
              <w:rPr>
                <w:rFonts w:hint="eastAsia"/>
                <w:sz w:val="20"/>
                <w:szCs w:val="20"/>
              </w:rPr>
              <w:t>207</w:t>
            </w:r>
          </w:p>
          <w:p>
            <w:pPr>
              <w:spacing w:before="120" w:after="120"/>
              <w:jc w:val="left"/>
              <w:rPr>
                <w:sz w:val="20"/>
                <w:szCs w:val="20"/>
              </w:rPr>
            </w:pPr>
            <w:r>
              <w:rPr>
                <w:rFonts w:cs="Arial"/>
                <w:sz w:val="20"/>
                <w:szCs w:val="20"/>
              </w:rPr>
              <w:t xml:space="preserve">β-value of </w:t>
            </w:r>
            <w:r>
              <w:rPr>
                <w:rFonts w:hint="eastAsia"/>
                <w:sz w:val="20"/>
                <w:szCs w:val="20"/>
              </w:rPr>
              <w:t>IV2</w:t>
            </w:r>
            <w:r>
              <w:rPr>
                <w:sz w:val="20"/>
                <w:szCs w:val="20"/>
              </w:rPr>
              <w:t>= -</w:t>
            </w:r>
            <w:r>
              <w:rPr>
                <w:rFonts w:hint="eastAsia"/>
                <w:sz w:val="20"/>
                <w:szCs w:val="20"/>
              </w:rPr>
              <w:t>-0.143</w:t>
            </w:r>
          </w:p>
        </w:tc>
        <w:tc>
          <w:tcPr>
            <w:tcW w:w="2336" w:type="dxa"/>
          </w:tcPr>
          <w:p>
            <w:pPr>
              <w:spacing w:before="120" w:after="120"/>
              <w:jc w:val="left"/>
              <w:rPr>
                <w:sz w:val="20"/>
                <w:lang w:eastAsia="en-GB"/>
              </w:rPr>
            </w:pPr>
            <w:r>
              <w:rPr>
                <w:sz w:val="20"/>
                <w:lang w:eastAsia="en-GB"/>
              </w:rPr>
              <w:t xml:space="preserve">The highest influences on the DV is the </w:t>
            </w:r>
            <w:r>
              <w:rPr>
                <w:rFonts w:hint="eastAsia"/>
                <w:sz w:val="20"/>
              </w:rPr>
              <w:t>IV1</w:t>
            </w:r>
          </w:p>
          <w:p>
            <w:pPr>
              <w:spacing w:before="120" w:after="120"/>
              <w:jc w:val="left"/>
              <w:rPr>
                <w:sz w:val="20"/>
              </w:rPr>
            </w:pPr>
            <w:r>
              <w:rPr>
                <w:rFonts w:hint="eastAsia"/>
                <w:sz w:val="20"/>
              </w:rPr>
              <w:t>IV2 has negative influences to the DV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6" w:hRule="atLeast"/>
        </w:trPr>
        <w:tc>
          <w:tcPr>
            <w:tcW w:w="1245" w:type="dxa"/>
            <w:vMerge w:val="continue"/>
          </w:tcPr>
          <w:p>
            <w:pPr>
              <w:spacing w:before="120" w:after="120"/>
              <w:jc w:val="left"/>
              <w:rPr>
                <w:sz w:val="20"/>
                <w:lang w:eastAsia="en-GB"/>
              </w:rPr>
            </w:pPr>
          </w:p>
        </w:tc>
        <w:tc>
          <w:tcPr>
            <w:tcW w:w="940" w:type="dxa"/>
            <w:vMerge w:val="continue"/>
          </w:tcPr>
          <w:p>
            <w:pPr>
              <w:spacing w:before="120" w:after="120"/>
              <w:jc w:val="left"/>
              <w:rPr>
                <w:sz w:val="20"/>
                <w:lang w:eastAsia="en-GB"/>
              </w:rPr>
            </w:pPr>
          </w:p>
        </w:tc>
        <w:tc>
          <w:tcPr>
            <w:tcW w:w="1590" w:type="dxa"/>
            <w:vMerge w:val="continue"/>
          </w:tcPr>
          <w:p>
            <w:pPr>
              <w:spacing w:before="120" w:after="120"/>
              <w:jc w:val="left"/>
              <w:rPr>
                <w:sz w:val="20"/>
                <w:lang w:eastAsia="en-GB"/>
              </w:rPr>
            </w:pPr>
          </w:p>
        </w:tc>
        <w:tc>
          <w:tcPr>
            <w:tcW w:w="2269" w:type="dxa"/>
          </w:tcPr>
          <w:p>
            <w:pPr>
              <w:spacing w:before="120" w:after="120"/>
              <w:jc w:val="left"/>
              <w:rPr>
                <w:sz w:val="20"/>
              </w:rPr>
            </w:pPr>
            <w:r>
              <w:rPr>
                <w:sz w:val="20"/>
                <w:u w:val="single"/>
              </w:rPr>
              <w:t>VIF/ Multicollinearity</w:t>
            </w:r>
            <w:r>
              <w:rPr>
                <w:sz w:val="20"/>
              </w:rPr>
              <w:t xml:space="preserve"> (Model </w:t>
            </w:r>
            <w:r>
              <w:rPr>
                <w:rFonts w:hint="eastAsia"/>
                <w:sz w:val="20"/>
              </w:rPr>
              <w:t>1</w:t>
            </w:r>
            <w:r>
              <w:rPr>
                <w:sz w:val="20"/>
              </w:rPr>
              <w:t>) – VIF &lt; 10</w:t>
            </w:r>
          </w:p>
          <w:p>
            <w:pPr>
              <w:spacing w:before="120" w:after="120"/>
              <w:jc w:val="left"/>
              <w:rPr>
                <w:sz w:val="20"/>
              </w:rPr>
            </w:pPr>
            <w:r>
              <w:rPr>
                <w:sz w:val="20"/>
              </w:rPr>
              <w:t xml:space="preserve">VIF-value of </w:t>
            </w:r>
            <w:r>
              <w:rPr>
                <w:rFonts w:hint="eastAsia"/>
                <w:sz w:val="20"/>
              </w:rPr>
              <w:t>IV1</w:t>
            </w:r>
            <w:r>
              <w:rPr>
                <w:sz w:val="20"/>
              </w:rPr>
              <w:t xml:space="preserve">= </w:t>
            </w:r>
            <w:r>
              <w:rPr>
                <w:rFonts w:hint="eastAsia"/>
                <w:sz w:val="20"/>
              </w:rPr>
              <w:t>1.006</w:t>
            </w:r>
          </w:p>
          <w:p>
            <w:pPr>
              <w:spacing w:before="120" w:after="120"/>
              <w:jc w:val="left"/>
              <w:rPr>
                <w:sz w:val="20"/>
              </w:rPr>
            </w:pPr>
            <w:r>
              <w:rPr>
                <w:sz w:val="20"/>
              </w:rPr>
              <w:t xml:space="preserve">VIF-value of </w:t>
            </w:r>
            <w:r>
              <w:rPr>
                <w:rFonts w:hint="eastAsia"/>
                <w:sz w:val="20"/>
              </w:rPr>
              <w:t>IV2</w:t>
            </w:r>
            <w:r>
              <w:rPr>
                <w:sz w:val="20"/>
              </w:rPr>
              <w:t xml:space="preserve">= </w:t>
            </w:r>
            <w:r>
              <w:rPr>
                <w:rFonts w:hint="eastAsia"/>
                <w:sz w:val="20"/>
              </w:rPr>
              <w:t>1.006</w:t>
            </w:r>
          </w:p>
        </w:tc>
        <w:tc>
          <w:tcPr>
            <w:tcW w:w="2336" w:type="dxa"/>
          </w:tcPr>
          <w:p>
            <w:pPr>
              <w:spacing w:before="120" w:after="120"/>
              <w:rPr>
                <w:sz w:val="20"/>
                <w:lang w:eastAsia="en-GB"/>
              </w:rPr>
            </w:pPr>
            <w:r>
              <w:rPr>
                <w:sz w:val="20"/>
                <w:lang w:eastAsia="en-GB"/>
              </w:rPr>
              <w:t xml:space="preserve">The values of VIF in the model </w:t>
            </w:r>
            <w:r>
              <w:rPr>
                <w:rFonts w:hint="eastAsia"/>
                <w:sz w:val="20"/>
              </w:rPr>
              <w:t>1</w:t>
            </w:r>
            <w:r>
              <w:rPr>
                <w:sz w:val="20"/>
                <w:lang w:eastAsia="en-GB"/>
              </w:rPr>
              <w:t xml:space="preserve"> are less than 10 which is there was no multicollinearity between variables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3" w:hRule="atLeast"/>
        </w:trPr>
        <w:tc>
          <w:tcPr>
            <w:tcW w:w="1245" w:type="dxa"/>
            <w:vMerge w:val="continue"/>
          </w:tcPr>
          <w:p>
            <w:pPr>
              <w:spacing w:before="120" w:after="120"/>
              <w:jc w:val="left"/>
              <w:rPr>
                <w:sz w:val="20"/>
                <w:lang w:eastAsia="en-GB"/>
              </w:rPr>
            </w:pPr>
          </w:p>
        </w:tc>
        <w:tc>
          <w:tcPr>
            <w:tcW w:w="940" w:type="dxa"/>
            <w:vMerge w:val="continue"/>
          </w:tcPr>
          <w:p>
            <w:pPr>
              <w:spacing w:before="120" w:after="120"/>
              <w:jc w:val="left"/>
              <w:rPr>
                <w:sz w:val="20"/>
                <w:lang w:eastAsia="en-GB"/>
              </w:rPr>
            </w:pPr>
          </w:p>
        </w:tc>
        <w:tc>
          <w:tcPr>
            <w:tcW w:w="1590" w:type="dxa"/>
            <w:vMerge w:val="continue"/>
          </w:tcPr>
          <w:p>
            <w:pPr>
              <w:spacing w:before="120" w:after="120"/>
              <w:jc w:val="left"/>
              <w:rPr>
                <w:sz w:val="20"/>
                <w:lang w:eastAsia="en-GB"/>
              </w:rPr>
            </w:pPr>
          </w:p>
        </w:tc>
        <w:tc>
          <w:tcPr>
            <w:tcW w:w="2269" w:type="dxa"/>
          </w:tcPr>
          <w:p>
            <w:pPr>
              <w:spacing w:before="120" w:after="120"/>
              <w:jc w:val="left"/>
              <w:rPr>
                <w:sz w:val="20"/>
                <w:u w:val="single"/>
              </w:rPr>
            </w:pPr>
            <w:r>
              <w:rPr>
                <w:sz w:val="20"/>
                <w:u w:val="single"/>
              </w:rPr>
              <w:t>Hypotheses result</w:t>
            </w:r>
          </w:p>
          <w:p>
            <w:pPr>
              <w:spacing w:before="120" w:after="120"/>
              <w:jc w:val="left"/>
              <w:rPr>
                <w:sz w:val="20"/>
              </w:rPr>
            </w:pPr>
            <w:r>
              <w:rPr>
                <w:sz w:val="20"/>
              </w:rPr>
              <w:t>H1 p-value = 0.000</w:t>
            </w:r>
          </w:p>
          <w:p>
            <w:pPr>
              <w:spacing w:before="120" w:after="120"/>
              <w:jc w:val="left"/>
              <w:rPr>
                <w:sz w:val="20"/>
              </w:rPr>
            </w:pPr>
            <w:r>
              <w:rPr>
                <w:sz w:val="20"/>
              </w:rPr>
              <w:t>H2 p-value = 0.0</w:t>
            </w:r>
            <w:r>
              <w:rPr>
                <w:rFonts w:hint="eastAsia"/>
                <w:sz w:val="20"/>
              </w:rPr>
              <w:t>15</w:t>
            </w:r>
          </w:p>
        </w:tc>
        <w:tc>
          <w:tcPr>
            <w:tcW w:w="2336" w:type="dxa"/>
          </w:tcPr>
          <w:p>
            <w:pPr>
              <w:spacing w:before="120" w:after="120"/>
              <w:rPr>
                <w:sz w:val="20"/>
                <w:lang w:eastAsia="en-GB"/>
              </w:rPr>
            </w:pPr>
            <w:r>
              <w:rPr>
                <w:sz w:val="20"/>
                <w:lang w:eastAsia="en-GB"/>
              </w:rPr>
              <w:t>H1, H2 are accepted significantly and the constructs is fit to the research</w:t>
            </w:r>
          </w:p>
        </w:tc>
      </w:tr>
    </w:tbl>
    <w:p>
      <w:pPr>
        <w:spacing w:before="120" w:after="120"/>
        <w:rPr>
          <w:rFonts w:cs="Times New Roman"/>
        </w:rPr>
      </w:pPr>
    </w:p>
    <w:p>
      <w:pPr>
        <w:pStyle w:val="2"/>
        <w:spacing w:before="360" w:after="120"/>
        <w:rPr>
          <w:lang w:eastAsia="en-GB"/>
        </w:rPr>
      </w:pPr>
      <w:bookmarkStart w:id="258" w:name="_Toc4986_WPSOffice_Level2"/>
      <w:bookmarkStart w:id="259" w:name="_Toc32014_WPSOffice_Level2"/>
      <w:bookmarkStart w:id="260" w:name="_Toc530662045"/>
      <w:r>
        <w:rPr>
          <w:lang w:eastAsia="en-GB"/>
        </w:rPr>
        <w:t>4.7 Conclusion</w:t>
      </w:r>
      <w:bookmarkEnd w:id="258"/>
      <w:bookmarkEnd w:id="259"/>
      <w:bookmarkEnd w:id="260"/>
    </w:p>
    <w:p>
      <w:pPr>
        <w:spacing w:before="120" w:after="120"/>
        <w:rPr>
          <w:rFonts w:cs="Times New Roman"/>
        </w:rPr>
      </w:pPr>
      <w:r>
        <w:rPr>
          <w:rFonts w:cs="Times New Roman"/>
        </w:rPr>
        <w:t xml:space="preserve">The data analysis for this study has been completed with the relevant findings obtained. A pilot test was first performed through </w:t>
      </w:r>
      <w:r>
        <w:rPr>
          <w:rFonts w:eastAsia="宋体" w:cs="Times New Roman"/>
        </w:rPr>
        <w:t>40</w:t>
      </w:r>
      <w:r>
        <w:rPr>
          <w:rFonts w:cs="Times New Roman"/>
        </w:rPr>
        <w:t xml:space="preserve"> selected respondents to check the instrument suitability for the study and ascertain whether the appropriate statistical analysis could be carried for the purpose of this research. After a period of data collection, the descriptive analysis was performed to understand the demographic profile of the sample as well as observe if it could be a representative of the actual overall population of study. Several preliminary tests as well as multiple regression was performed to initiate hypothesis testing in order to ascertain if the framework adopted for this study was a fit with the variables and constructs. Chapter 5 will further explore the discussion of the findings in order to evaluate the viability and relevance of the findings obtain to compare with the research objectives, research questions, as well as to provide recommendations for the industry.</w:t>
      </w:r>
    </w:p>
    <w:p>
      <w:pPr>
        <w:spacing w:before="120" w:after="120"/>
        <w:rPr>
          <w:rFonts w:cs="Times New Roman"/>
        </w:rPr>
      </w:pPr>
    </w:p>
    <w:p>
      <w:pPr>
        <w:spacing w:before="120" w:after="120"/>
        <w:rPr>
          <w:rFonts w:cs="Times New Roman"/>
        </w:rPr>
      </w:pPr>
    </w:p>
    <w:p>
      <w:pPr>
        <w:spacing w:before="120" w:after="120"/>
        <w:rPr>
          <w:rFonts w:cs="Times New Roman"/>
        </w:rPr>
      </w:pPr>
    </w:p>
    <w:p>
      <w:pPr>
        <w:spacing w:before="120" w:after="120"/>
        <w:rPr>
          <w:rFonts w:hint="eastAsia" w:cs="Times New Roman"/>
        </w:rPr>
      </w:pPr>
    </w:p>
    <w:p>
      <w:pPr>
        <w:pStyle w:val="2"/>
        <w:spacing w:before="360" w:after="120"/>
        <w:rPr>
          <w:rFonts w:cs="Times New Roman"/>
          <w:szCs w:val="28"/>
        </w:rPr>
      </w:pPr>
      <w:bookmarkStart w:id="261" w:name="_Toc28883_WPSOffice_Level1"/>
      <w:bookmarkStart w:id="262" w:name="_Toc25736_WPSOffice_Level1"/>
      <w:r>
        <w:rPr>
          <w:rFonts w:hint="eastAsia" w:cs="Times New Roman"/>
          <w:szCs w:val="28"/>
        </w:rPr>
        <w:t>CHAPTER</w:t>
      </w:r>
      <w:r>
        <w:rPr>
          <w:rFonts w:cs="Times New Roman"/>
          <w:szCs w:val="28"/>
          <w:lang w:eastAsia="en-GB"/>
        </w:rPr>
        <w:t xml:space="preserve"> 5</w:t>
      </w:r>
      <w:r>
        <w:rPr>
          <w:rFonts w:hint="eastAsia" w:cs="Times New Roman"/>
          <w:szCs w:val="28"/>
        </w:rPr>
        <w:t>.</w:t>
      </w:r>
      <w:r>
        <w:rPr>
          <w:rFonts w:cs="Times New Roman"/>
          <w:szCs w:val="28"/>
          <w:lang w:eastAsia="en-GB"/>
        </w:rPr>
        <w:t xml:space="preserve"> C</w:t>
      </w:r>
      <w:r>
        <w:rPr>
          <w:rFonts w:hint="eastAsia" w:cs="Times New Roman"/>
          <w:szCs w:val="28"/>
        </w:rPr>
        <w:t>ONCLUSION</w:t>
      </w:r>
      <w:r>
        <w:rPr>
          <w:rFonts w:cs="Times New Roman"/>
          <w:szCs w:val="28"/>
          <w:lang w:eastAsia="en-GB"/>
        </w:rPr>
        <w:t xml:space="preserve"> </w:t>
      </w:r>
      <w:r>
        <w:rPr>
          <w:rFonts w:hint="eastAsia" w:cs="Times New Roman"/>
          <w:szCs w:val="28"/>
        </w:rPr>
        <w:t>AND</w:t>
      </w:r>
      <w:r>
        <w:rPr>
          <w:rFonts w:cs="Times New Roman"/>
          <w:szCs w:val="28"/>
          <w:lang w:eastAsia="en-GB"/>
        </w:rPr>
        <w:t xml:space="preserve"> </w:t>
      </w:r>
      <w:r>
        <w:rPr>
          <w:rFonts w:hint="eastAsia" w:cs="Times New Roman"/>
          <w:szCs w:val="28"/>
        </w:rPr>
        <w:t>RECOMMENDATIONS</w:t>
      </w:r>
      <w:bookmarkEnd w:id="261"/>
      <w:bookmarkEnd w:id="262"/>
    </w:p>
    <w:p>
      <w:pPr>
        <w:pStyle w:val="2"/>
        <w:spacing w:before="360" w:after="120"/>
        <w:rPr>
          <w:lang w:eastAsia="en-GB"/>
        </w:rPr>
      </w:pPr>
      <w:bookmarkStart w:id="263" w:name="_Toc6362_WPSOffice_Level1"/>
      <w:bookmarkStart w:id="264" w:name="_Toc25010_WPSOffice_Level1"/>
      <w:r>
        <w:rPr>
          <w:lang w:eastAsia="en-GB"/>
        </w:rPr>
        <w:t xml:space="preserve">5.0 </w:t>
      </w:r>
      <w:r>
        <w:rPr>
          <w:rFonts w:hint="eastAsia"/>
        </w:rPr>
        <w:t>O</w:t>
      </w:r>
      <w:r>
        <w:rPr>
          <w:lang w:eastAsia="en-GB"/>
        </w:rPr>
        <w:t>verview</w:t>
      </w:r>
      <w:bookmarkEnd w:id="263"/>
      <w:bookmarkEnd w:id="264"/>
      <w:r>
        <w:rPr>
          <w:lang w:eastAsia="en-GB"/>
        </w:rPr>
        <w:t xml:space="preserve"> </w:t>
      </w:r>
    </w:p>
    <w:p>
      <w:pPr>
        <w:spacing w:before="120" w:after="120"/>
        <w:rPr>
          <w:lang w:eastAsia="en-GB"/>
        </w:rPr>
      </w:pPr>
      <w:r>
        <w:rPr>
          <w:rFonts w:cs="Times New Roman"/>
        </w:rPr>
        <w:t>This chapter will look into the concluding of the study conducted. The findings of this study will be compared and contrasted with previous researches to gain an overall understanding of the study as well as look into newer gaps that could be addressed by future researchers as well as managerial implications and suggestions deemed useful for the education industry in China.</w:t>
      </w:r>
    </w:p>
    <w:p>
      <w:pPr>
        <w:pStyle w:val="2"/>
        <w:spacing w:before="360" w:after="120"/>
        <w:rPr>
          <w:lang w:eastAsia="en-GB"/>
        </w:rPr>
      </w:pPr>
      <w:bookmarkStart w:id="265" w:name="_Toc12378_WPSOffice_Level2"/>
      <w:bookmarkStart w:id="266" w:name="_Toc32328_WPSOffice_Level2"/>
      <w:r>
        <w:rPr>
          <w:lang w:eastAsia="en-GB"/>
        </w:rPr>
        <w:t>5.1 Discussion of findings</w:t>
      </w:r>
      <w:bookmarkEnd w:id="265"/>
      <w:bookmarkEnd w:id="266"/>
    </w:p>
    <w:p>
      <w:pPr>
        <w:spacing w:before="120" w:after="120"/>
        <w:rPr>
          <w:rFonts w:cs="Times New Roman"/>
        </w:rPr>
      </w:pPr>
      <w:r>
        <w:rPr>
          <w:rFonts w:cs="Times New Roman"/>
        </w:rPr>
        <w:t xml:space="preserve">According to what have been discussed in chapter 2 on literature review and the data analysis that has been conducted in chapter 4, it was discovered that </w:t>
      </w:r>
      <w:r>
        <w:rPr>
          <w:rFonts w:cs="Times New Roman"/>
          <w:b/>
          <w:bCs/>
        </w:rPr>
        <w:t>the first objective</w:t>
      </w:r>
      <w:r>
        <w:rPr>
          <w:rFonts w:cs="Times New Roman"/>
        </w:rPr>
        <w:t xml:space="preserve"> of this research has been fulfilled which is to determine whether there is a relationship between western corporate culture (Deal &amp; Kennedy’s corporate culture dimensions and Trompenaars cultural dimensions) with the performance of education industry in China and positive outcomes that lead to the result whereby it was found that these two construts of corporate culture with the performance of education industry has a relationship with positive outcomes. </w:t>
      </w:r>
    </w:p>
    <w:p>
      <w:pPr>
        <w:spacing w:before="120" w:after="120"/>
        <w:rPr>
          <w:rFonts w:cs="Times New Roman"/>
        </w:rPr>
      </w:pPr>
      <w:r>
        <w:rPr>
          <w:rFonts w:cs="Times New Roman"/>
          <w:b/>
          <w:bCs/>
        </w:rPr>
        <w:t>The second objective</w:t>
      </w:r>
      <w:r>
        <w:rPr>
          <w:rFonts w:cs="Times New Roman"/>
        </w:rPr>
        <w:t xml:space="preserve"> of this research has been achieved also after conducting the multiple regression analysis. Based from these tests included that have been conducted which are multiple regression analysis, it was discovered that both Deal &amp; Kennedy’s corporate culture dimensions and Trompenaars cultural dimensions is actually has influence towards the performance of education industry in China and the relationship between has positive outcomes.</w:t>
      </w:r>
    </w:p>
    <w:p>
      <w:pPr>
        <w:spacing w:before="120" w:after="120"/>
        <w:rPr>
          <w:rFonts w:cs="Times New Roman"/>
        </w:rPr>
      </w:pPr>
    </w:p>
    <w:p>
      <w:pPr>
        <w:spacing w:before="120" w:after="120"/>
        <w:rPr>
          <w:rFonts w:cs="Times New Roman"/>
        </w:rPr>
      </w:pPr>
      <w:r>
        <w:rPr>
          <w:rFonts w:cs="Times New Roman"/>
        </w:rPr>
        <w:t>For H1, the results of this study showed that there is significant relationship between Deal &amp; Kennedy’s corporate culture dimensions and the performance of education industry in China because the p-value for this hypothesis was smaller than 0.05. This result has proved that the influence of western corporate culture has on China’ education industry in valid. This result is aligned with some of the previous studies done by the other researchers which also found out that there was relationship between Deal &amp; Kennedy’s corporate culture dimensions and education fields in China (Choi, 2015;</w:t>
      </w:r>
      <w:r>
        <w:rPr>
          <w:rFonts w:hint="eastAsia" w:eastAsia="宋体" w:cs="Times New Roman"/>
        </w:rPr>
        <w:t xml:space="preserve"> </w:t>
      </w:r>
      <w:r>
        <w:rPr>
          <w:rFonts w:cs="Times New Roman"/>
        </w:rPr>
        <w:t>Hickman and Silva, 2016; Ma, 2012).</w:t>
      </w:r>
    </w:p>
    <w:p>
      <w:pPr>
        <w:spacing w:before="120" w:after="120"/>
        <w:jc w:val="left"/>
        <w:rPr>
          <w:rFonts w:cs="Times New Roman"/>
        </w:rPr>
      </w:pPr>
      <w:r>
        <w:rPr>
          <w:rFonts w:cs="Times New Roman"/>
        </w:rPr>
        <w:t>For H2, the results of this study showed that there is a significant relationship between Trompenaars cultural dimensions and the performance of education industry in China because the p-value for this hypothesis was less than 0.05. But the result of beta coefficients is negative number( -0.143) which means the Trompenaars cultural dimensions has negative influence to the DV.</w:t>
      </w:r>
    </w:p>
    <w:p>
      <w:pPr>
        <w:spacing w:before="120" w:after="120"/>
        <w:rPr>
          <w:rFonts w:cs="Times New Roman"/>
        </w:rPr>
      </w:pPr>
      <w:r>
        <w:rPr>
          <w:rFonts w:eastAsia="宋体" w:cs="Times New Roman"/>
          <w:b/>
          <w:bCs/>
        </w:rPr>
        <w:t xml:space="preserve">The third </w:t>
      </w:r>
      <w:r>
        <w:rPr>
          <w:rFonts w:cs="Times New Roman"/>
          <w:b/>
          <w:bCs/>
        </w:rPr>
        <w:t>Research Objective</w:t>
      </w:r>
      <w:r>
        <w:rPr>
          <w:rFonts w:cs="Times New Roman"/>
        </w:rPr>
        <w:t xml:space="preserve"> </w:t>
      </w:r>
      <w:r>
        <w:rPr>
          <w:rFonts w:eastAsia="宋体" w:cs="Times New Roman"/>
        </w:rPr>
        <w:t>of this study is</w:t>
      </w:r>
      <w:r>
        <w:rPr>
          <w:rFonts w:cs="Times New Roman"/>
        </w:rPr>
        <w:t xml:space="preserve"> </w:t>
      </w:r>
      <w:r>
        <w:rPr>
          <w:rFonts w:eastAsia="宋体" w:cs="Times New Roman"/>
        </w:rPr>
        <w:t>t</w:t>
      </w:r>
      <w:r>
        <w:rPr>
          <w:rFonts w:cs="Times New Roman"/>
        </w:rPr>
        <w:t xml:space="preserve">o model the contributors towards </w:t>
      </w:r>
      <w:r>
        <w:rPr>
          <w:rFonts w:eastAsia="宋体" w:cs="Times New Roman"/>
        </w:rPr>
        <w:t xml:space="preserve">the performance </w:t>
      </w:r>
      <w:r>
        <w:rPr>
          <w:rFonts w:cs="Times New Roman"/>
        </w:rPr>
        <w:t xml:space="preserve">in </w:t>
      </w:r>
      <w:r>
        <w:rPr>
          <w:rFonts w:eastAsia="宋体" w:cs="Times New Roman"/>
        </w:rPr>
        <w:t xml:space="preserve">education industry in China. </w:t>
      </w:r>
      <w:r>
        <w:rPr>
          <w:rFonts w:cs="Times New Roman"/>
        </w:rPr>
        <w:t xml:space="preserve">In order to achieve the third research objective, </w:t>
      </w:r>
      <w:r>
        <w:rPr>
          <w:rFonts w:hint="eastAsia" w:eastAsia="宋体"/>
        </w:rPr>
        <w:t>R</w:t>
      </w:r>
      <w:r>
        <w:rPr>
          <w:rFonts w:hint="eastAsia" w:eastAsia="宋体"/>
          <w:vertAlign w:val="superscript"/>
        </w:rPr>
        <w:t xml:space="preserve">2 </w:t>
      </w:r>
      <w:r>
        <w:rPr>
          <w:rFonts w:cs="Times New Roman"/>
        </w:rPr>
        <w:t xml:space="preserve">was used to analyse the goodness of fit for the model (Sekaran and Bougie, 2010). </w:t>
      </w:r>
      <w:r>
        <w:rPr>
          <w:rFonts w:hint="eastAsia" w:eastAsia="宋体"/>
        </w:rPr>
        <w:t>R</w:t>
      </w:r>
      <w:r>
        <w:rPr>
          <w:rFonts w:hint="eastAsia" w:eastAsia="宋体"/>
          <w:vertAlign w:val="superscript"/>
        </w:rPr>
        <w:t>2</w:t>
      </w:r>
      <w:r>
        <w:rPr>
          <w:rFonts w:hint="eastAsia" w:eastAsia="宋体" w:cs="Times New Roman"/>
        </w:rPr>
        <w:t xml:space="preserve"> </w:t>
      </w:r>
      <w:r>
        <w:rPr>
          <w:rFonts w:cs="Times New Roman"/>
        </w:rPr>
        <w:t xml:space="preserve">for the dependent variable of </w:t>
      </w:r>
      <w:r>
        <w:rPr>
          <w:rFonts w:eastAsia="宋体" w:cs="Times New Roman"/>
        </w:rPr>
        <w:t xml:space="preserve">both </w:t>
      </w:r>
      <w:r>
        <w:rPr>
          <w:rFonts w:cs="Times New Roman"/>
        </w:rPr>
        <w:t>Deal &amp; Kennedy’s corporate culture dimensions</w:t>
      </w:r>
      <w:r>
        <w:rPr>
          <w:rFonts w:eastAsia="宋体" w:cs="Times New Roman"/>
        </w:rPr>
        <w:t xml:space="preserve"> and </w:t>
      </w:r>
      <w:r>
        <w:rPr>
          <w:rFonts w:cs="Times New Roman"/>
        </w:rPr>
        <w:t>Trompenaars cultural</w:t>
      </w:r>
      <w:r>
        <w:rPr>
          <w:rFonts w:cs="Times New Roman"/>
          <w:bCs/>
        </w:rPr>
        <w:t xml:space="preserve"> </w:t>
      </w:r>
      <w:r>
        <w:rPr>
          <w:rFonts w:cs="Times New Roman"/>
        </w:rPr>
        <w:t>dimensions</w:t>
      </w:r>
      <w:r>
        <w:rPr>
          <w:rFonts w:eastAsia="宋体" w:cs="Times New Roman"/>
        </w:rPr>
        <w:t xml:space="preserve"> </w:t>
      </w:r>
      <w:r>
        <w:rPr>
          <w:rFonts w:cs="Times New Roman"/>
        </w:rPr>
        <w:t>was 0.</w:t>
      </w:r>
      <w:r>
        <w:rPr>
          <w:rFonts w:eastAsia="宋体" w:cs="Times New Roman"/>
        </w:rPr>
        <w:t>591</w:t>
      </w:r>
      <w:r>
        <w:rPr>
          <w:rFonts w:cs="Times New Roman"/>
        </w:rPr>
        <w:t xml:space="preserve"> and this shows that there is a moderate goodness of fit for this model (Lee and Chen, 2013). This indicates that </w:t>
      </w:r>
      <w:r>
        <w:rPr>
          <w:rFonts w:eastAsia="宋体" w:cs="Times New Roman"/>
        </w:rPr>
        <w:t>59.1</w:t>
      </w:r>
      <w:r>
        <w:rPr>
          <w:rFonts w:cs="Times New Roman"/>
        </w:rPr>
        <w:t xml:space="preserve">% of the </w:t>
      </w:r>
      <w:r>
        <w:rPr>
          <w:rFonts w:eastAsia="宋体" w:cs="Times New Roman"/>
        </w:rPr>
        <w:t>workers from China’s education industry</w:t>
      </w:r>
      <w:r>
        <w:rPr>
          <w:rFonts w:cs="Times New Roman"/>
        </w:rPr>
        <w:t xml:space="preserve"> can be explained by the </w:t>
      </w:r>
      <w:r>
        <w:rPr>
          <w:rFonts w:eastAsia="宋体" w:cs="Times New Roman"/>
        </w:rPr>
        <w:t>two</w:t>
      </w:r>
      <w:r>
        <w:rPr>
          <w:rFonts w:cs="Times New Roman"/>
        </w:rPr>
        <w:t xml:space="preserve"> independent variables. The higher the </w:t>
      </w:r>
      <w:r>
        <w:rPr>
          <w:rFonts w:hint="eastAsia" w:eastAsia="宋体"/>
        </w:rPr>
        <w:t>R</w:t>
      </w:r>
      <w:r>
        <w:rPr>
          <w:rFonts w:hint="eastAsia" w:eastAsia="宋体"/>
          <w:vertAlign w:val="superscript"/>
        </w:rPr>
        <w:t>2</w:t>
      </w:r>
      <w:r>
        <w:rPr>
          <w:rFonts w:cs="Times New Roman"/>
        </w:rPr>
        <w:t>, the better the model fits the data. This shows that the model moderately fits the data and hence, the results confirm that the model for this study is relevant and appropriate.</w:t>
      </w:r>
    </w:p>
    <w:p>
      <w:pPr>
        <w:shd w:val="clear" w:color="auto" w:fill="FFFFFF"/>
        <w:spacing w:before="120" w:after="120" w:line="240" w:lineRule="auto"/>
        <w:jc w:val="left"/>
        <w:rPr>
          <w:rFonts w:eastAsia="Times New Roman" w:cs="Times New Roman"/>
          <w:color w:val="222222"/>
          <w:lang w:eastAsia="en-GB"/>
        </w:rPr>
      </w:pPr>
    </w:p>
    <w:p>
      <w:pPr>
        <w:shd w:val="clear" w:color="auto" w:fill="FFFFFF"/>
        <w:spacing w:before="120" w:after="120" w:line="240" w:lineRule="auto"/>
        <w:jc w:val="left"/>
        <w:rPr>
          <w:rFonts w:eastAsia="Times New Roman" w:cs="Times New Roman"/>
          <w:color w:val="222222"/>
          <w:lang w:eastAsia="en-GB"/>
        </w:rPr>
      </w:pPr>
    </w:p>
    <w:p>
      <w:pPr>
        <w:pStyle w:val="2"/>
        <w:spacing w:before="360" w:after="120"/>
        <w:rPr>
          <w:rFonts w:cs="Times New Roman"/>
          <w:lang w:eastAsia="en-GB"/>
        </w:rPr>
      </w:pPr>
      <w:bookmarkStart w:id="267" w:name="_Toc28072_WPSOffice_Level2"/>
      <w:bookmarkStart w:id="268" w:name="_Toc859_WPSOffice_Level2"/>
      <w:r>
        <w:rPr>
          <w:rFonts w:cs="Times New Roman"/>
          <w:lang w:eastAsia="en-GB"/>
        </w:rPr>
        <w:t>5.2 Recommendations</w:t>
      </w:r>
      <w:bookmarkEnd w:id="267"/>
      <w:bookmarkEnd w:id="268"/>
    </w:p>
    <w:p>
      <w:pPr>
        <w:spacing w:before="120" w:after="120"/>
        <w:rPr>
          <w:rFonts w:cs="Times New Roman"/>
        </w:rPr>
      </w:pPr>
      <w:r>
        <w:rPr>
          <w:rFonts w:cs="Times New Roman"/>
        </w:rPr>
        <w:t xml:space="preserve">In the 21st century, </w:t>
      </w:r>
      <w:r>
        <w:rPr>
          <w:rFonts w:hint="eastAsia" w:eastAsia="宋体" w:cs="Times New Roman"/>
        </w:rPr>
        <w:t>corporate</w:t>
      </w:r>
      <w:r>
        <w:rPr>
          <w:rFonts w:cs="Times New Roman"/>
        </w:rPr>
        <w:t xml:space="preserve"> management has become more important than ever before in </w:t>
      </w:r>
      <w:r>
        <w:rPr>
          <w:rFonts w:hint="eastAsia" w:eastAsia="宋体" w:cs="Times New Roman"/>
        </w:rPr>
        <w:t>every</w:t>
      </w:r>
      <w:r>
        <w:rPr>
          <w:rFonts w:cs="Times New Roman"/>
        </w:rPr>
        <w:t xml:space="preserve"> </w:t>
      </w:r>
      <w:r>
        <w:rPr>
          <w:rFonts w:hint="eastAsia" w:eastAsia="宋体" w:cs="Times New Roman"/>
        </w:rPr>
        <w:t xml:space="preserve">distinct </w:t>
      </w:r>
      <w:r>
        <w:rPr>
          <w:rFonts w:cs="Times New Roman"/>
        </w:rPr>
        <w:t>industr</w:t>
      </w:r>
      <w:r>
        <w:rPr>
          <w:rFonts w:hint="eastAsia" w:eastAsia="宋体" w:cs="Times New Roman"/>
        </w:rPr>
        <w:t>ies</w:t>
      </w:r>
      <w:r>
        <w:rPr>
          <w:rFonts w:cs="Times New Roman"/>
        </w:rPr>
        <w:t xml:space="preserve">, traditional management methods are kind of outdated. In 20th century 80s a new concept of corporate culture was come up and it has become an important element in management. Many enterprises now have their unique and outstanding corporate culture which benefit them. However in China, there are lots of enterprises whose corporate culture are poor which leads to various of problems and issues. Thus the author has analyzed the corporate culture in </w:t>
      </w:r>
      <w:r>
        <w:rPr>
          <w:rFonts w:hint="eastAsia" w:eastAsia="宋体" w:cs="Times New Roman"/>
        </w:rPr>
        <w:t>education industry</w:t>
      </w:r>
      <w:r>
        <w:rPr>
          <w:rFonts w:cs="Times New Roman"/>
        </w:rPr>
        <w:t xml:space="preserve"> in China in order to give a reasonable suggestion on how to improve the quality of corporate culture in the Chinese </w:t>
      </w:r>
      <w:r>
        <w:rPr>
          <w:rFonts w:hint="eastAsia" w:eastAsia="宋体" w:cs="Times New Roman"/>
        </w:rPr>
        <w:t>education</w:t>
      </w:r>
      <w:r>
        <w:rPr>
          <w:rFonts w:cs="Times New Roman"/>
        </w:rPr>
        <w:t xml:space="preserve"> industry.</w:t>
      </w:r>
    </w:p>
    <w:p>
      <w:pPr>
        <w:spacing w:before="120" w:after="120"/>
        <w:rPr>
          <w:rFonts w:cs="Times New Roman"/>
        </w:rPr>
      </w:pPr>
      <w:r>
        <w:rPr>
          <w:rFonts w:cs="Times New Roman"/>
        </w:rPr>
        <w:t>First of all, relationship is one of the most important thing between employees and managers and also within employees themselves. It is the basic of building corporate culture. From the studies the author find out that Trompenaars cultural dimensions might have negative influence but still significant. One of the factor from it is cooperation and teamwork (Individualism versus Communitarianism). Teamwork makes people united and could make the work more efficient, thus to improve the connection between employees could help to build a better atmosphere. Considering the situation of Chinese custom the author tend to think dining together once every two months could be a good way to enhance teamwork. The dining doesn’t have to be compulsory but once people try to take part in and most of them might fall in love with it cause everyone is eager to be involved in an organization. Setting restrooms and restaurants for employees can not only help them get to know each other better but also improve their satisfaction.</w:t>
      </w:r>
    </w:p>
    <w:p>
      <w:pPr>
        <w:spacing w:before="120" w:after="120"/>
        <w:rPr>
          <w:rFonts w:cs="Times New Roman"/>
        </w:rPr>
      </w:pPr>
      <w:r>
        <w:rPr>
          <w:rFonts w:cs="Times New Roman"/>
        </w:rPr>
        <w:t>Second, an enterprise should have clear core value and vision. According to the Deal &amp; Kennedy corporate culture dimensions the core value is always remind them of their mission and how they should act. It has a positive influence on the performance of staffs. The</w:t>
      </w:r>
      <w:r>
        <w:rPr>
          <w:rFonts w:hint="eastAsia" w:eastAsia="宋体" w:cs="Times New Roman"/>
        </w:rPr>
        <w:t xml:space="preserve"> </w:t>
      </w:r>
      <w:r>
        <w:rPr>
          <w:rFonts w:cs="Times New Roman"/>
        </w:rPr>
        <w:t xml:space="preserve">core value </w:t>
      </w:r>
      <w:r>
        <w:rPr>
          <w:rFonts w:hint="eastAsia" w:eastAsia="宋体" w:cs="Times New Roman"/>
        </w:rPr>
        <w:t xml:space="preserve">of certain company </w:t>
      </w:r>
      <w:r>
        <w:rPr>
          <w:rFonts w:cs="Times New Roman"/>
        </w:rPr>
        <w:t>is to change their own fate with their hands. The vision and mission are clear so that the staffs have the passion to work and the core value is shared to everyone, most of employees come from countrysides and offers them the opportunity to live and settle down in big cities. So the suggestion is that every manager should have clear awareness of the importance of core value and core value, furthermore the deeds should follow the words to make a good example for staffs.</w:t>
      </w:r>
    </w:p>
    <w:p>
      <w:pPr>
        <w:spacing w:before="120" w:after="120"/>
        <w:rPr>
          <w:rFonts w:cs="Times New Roman"/>
        </w:rPr>
      </w:pPr>
      <w:r>
        <w:rPr>
          <w:rFonts w:hint="eastAsia" w:eastAsia="宋体" w:cs="Times New Roman"/>
        </w:rPr>
        <w:t>Third</w:t>
      </w:r>
      <w:r>
        <w:rPr>
          <w:rFonts w:cs="Times New Roman"/>
        </w:rPr>
        <w:t xml:space="preserve">, excitation is necessary within an enterprise, </w:t>
      </w:r>
      <w:r>
        <w:rPr>
          <w:rFonts w:hint="eastAsia" w:eastAsia="宋体" w:cs="Times New Roman"/>
        </w:rPr>
        <w:t xml:space="preserve">most education institutions in China </w:t>
      </w:r>
      <w:r>
        <w:rPr>
          <w:rFonts w:cs="Times New Roman"/>
        </w:rPr>
        <w:t xml:space="preserve">have mature award and punishment system, many companies in China only set award for attendance per month but if someone is late then he or she will lose it which will absolutely depress them. These are not excitation but constraint, </w:t>
      </w:r>
      <w:r>
        <w:rPr>
          <w:rFonts w:hint="eastAsia" w:eastAsia="宋体" w:cs="Times New Roman"/>
        </w:rPr>
        <w:t>Big institution like Hujiang</w:t>
      </w:r>
      <w:r>
        <w:rPr>
          <w:rFonts w:cs="Times New Roman"/>
        </w:rPr>
        <w:t xml:space="preserve"> give out some of the share as welfare to their employees and they select one people as the best employee every month. Awards should contain target incentive and honor incentive and be more abundant so that the employees are eager to work for you. The proper competition can help to enhance the atmosphere in an enterprise as well. Treatment is also a part of it. Hilton has resting room and restaurants for staffs and </w:t>
      </w:r>
      <w:r>
        <w:rPr>
          <w:rFonts w:hint="eastAsia" w:eastAsia="宋体" w:cs="Times New Roman"/>
        </w:rPr>
        <w:t>Xindongfang</w:t>
      </w:r>
      <w:r>
        <w:rPr>
          <w:rFonts w:cs="Times New Roman"/>
        </w:rPr>
        <w:t xml:space="preserve"> offers them accommodations, moreover they are helping staffs get involved in big cities and they have guarantee if they leave. These factors make them feel safe and moved.</w:t>
      </w:r>
    </w:p>
    <w:p>
      <w:pPr>
        <w:spacing w:before="120" w:after="120"/>
        <w:rPr>
          <w:rFonts w:eastAsia="宋体" w:cs="Times New Roman"/>
        </w:rPr>
      </w:pPr>
      <w:r>
        <w:rPr>
          <w:rFonts w:hint="eastAsia" w:eastAsia="宋体" w:cs="Times New Roman"/>
        </w:rPr>
        <w:t>Fourth, currently there are many elements which might have negative impact on the quality of corporate and it is necessary to make changes, for example, some employees are not well educated in terms of a non-teaching position in their organization, a lot of companies may just ignore them as long as they are making profit for them. In order to be responsible for the majority of learners, systematic education should be provided by the firms before everyone enters especially in the education institutions, the etiquette and the manner should be learned by each employee. And the promotion within an enterprise doesn</w:t>
      </w:r>
      <w:r>
        <w:rPr>
          <w:rFonts w:eastAsia="宋体" w:cs="Times New Roman"/>
        </w:rPr>
        <w:t>’</w:t>
      </w:r>
      <w:r>
        <w:rPr>
          <w:rFonts w:hint="eastAsia" w:eastAsia="宋体" w:cs="Times New Roman"/>
        </w:rPr>
        <w:t>t always depend on the performance of an employee but the relationship between workers and their boss, this phenomenon should be rubbished by setting specific rules and system. The promotion that relies on the relationship will reduce the enthusiasm of employees directly.</w:t>
      </w:r>
    </w:p>
    <w:p>
      <w:pPr>
        <w:spacing w:before="120" w:after="120"/>
        <w:rPr>
          <w:rFonts w:cs="Times New Roman"/>
          <w:lang w:eastAsia="en-GB"/>
        </w:rPr>
      </w:pPr>
    </w:p>
    <w:p>
      <w:pPr>
        <w:pStyle w:val="2"/>
        <w:spacing w:before="360" w:after="120"/>
        <w:rPr>
          <w:lang w:eastAsia="en-GB"/>
        </w:rPr>
      </w:pPr>
      <w:bookmarkStart w:id="269" w:name="_Toc16727_WPSOffice_Level2"/>
      <w:bookmarkStart w:id="270" w:name="_Toc10397_WPSOffice_Level2"/>
      <w:r>
        <w:rPr>
          <w:lang w:eastAsia="en-GB"/>
        </w:rPr>
        <w:t>5.3 Contribution</w:t>
      </w:r>
      <w:bookmarkEnd w:id="269"/>
      <w:bookmarkEnd w:id="270"/>
    </w:p>
    <w:p>
      <w:pPr>
        <w:pStyle w:val="4"/>
        <w:spacing w:before="120" w:after="120"/>
        <w:rPr>
          <w:lang w:eastAsia="en-MY"/>
        </w:rPr>
      </w:pPr>
      <w:bookmarkStart w:id="271" w:name="_Toc12378_WPSOffice_Level3"/>
      <w:bookmarkStart w:id="272" w:name="_Toc20950_WPSOffice_Level3"/>
      <w:r>
        <w:rPr>
          <w:rFonts w:cs="Times New Roman"/>
          <w:lang w:eastAsia="en-MY"/>
        </w:rPr>
        <w:t>5.3.1 Contribution to Academia</w:t>
      </w:r>
      <w:bookmarkEnd w:id="271"/>
      <w:bookmarkEnd w:id="272"/>
    </w:p>
    <w:p>
      <w:pPr>
        <w:spacing w:before="120" w:after="120"/>
        <w:rPr>
          <w:rFonts w:cs="Times New Roman"/>
        </w:rPr>
      </w:pPr>
      <w:r>
        <w:rPr>
          <w:rFonts w:cs="Times New Roman"/>
        </w:rPr>
        <w:t>This research contributes to academia because the result provides other researchers with better understanding in-depth regarding corporate culture. Researchers will be able to obtain useful information if they are going to conduct any other research that has similar topic with this research. It also provided them with broader view on how corporate culture dimensions responded on the education industry in China. With the result of this research, researcher will be able to conduct a follow up research for example on how the corporate culture influence education industry in China and which factors need to be focused therefore this research will be able to provide them with information and as well as help them to reduce their workload in obtaining data which will lead to more efficiency in both effort and time.</w:t>
      </w:r>
    </w:p>
    <w:p>
      <w:pPr>
        <w:spacing w:before="120" w:after="120"/>
        <w:rPr>
          <w:rFonts w:cs="Times New Roman"/>
        </w:rPr>
      </w:pPr>
      <w:r>
        <w:rPr>
          <w:rFonts w:cs="Times New Roman"/>
        </w:rPr>
        <w:t>Another thing that this research contribute to academia is based on the period that researcher conducted this research, it is still relatively new therefore the accuracy of the findings will reflect on the latest condition in education industry in China therefore if other researchers followed and used the data given, it will give them more accuracy on data collection</w:t>
      </w:r>
      <w:r>
        <w:rPr>
          <w:rFonts w:hint="eastAsia" w:cs="Times New Roman"/>
        </w:rPr>
        <w:t xml:space="preserve"> </w:t>
      </w:r>
      <w:r>
        <w:rPr>
          <w:rFonts w:cs="Times New Roman"/>
        </w:rPr>
        <w:t>(Choi, 2015;</w:t>
      </w:r>
      <w:r>
        <w:rPr>
          <w:rFonts w:hint="eastAsia" w:eastAsia="宋体" w:cs="Times New Roman"/>
        </w:rPr>
        <w:t xml:space="preserve"> </w:t>
      </w:r>
      <w:r>
        <w:rPr>
          <w:rFonts w:cs="Times New Roman"/>
        </w:rPr>
        <w:t xml:space="preserve">Hickman and Silva, 2016; Ma, 2012). In a nutshell, the result of this study highlighted the point regarding the Deal &amp; Kennedy’s corporate culture dimensions and Trompenaars cultural dimensions towards the performance of education institutions in China and clarify how will the influence affect education institutions’ performance. In, brief, these findings will provide other researchers with more critical views. </w:t>
      </w:r>
    </w:p>
    <w:p>
      <w:pPr>
        <w:spacing w:before="120" w:after="120"/>
        <w:rPr>
          <w:rFonts w:cs="Times New Roman"/>
        </w:rPr>
      </w:pPr>
    </w:p>
    <w:p>
      <w:pPr>
        <w:pStyle w:val="4"/>
        <w:spacing w:before="120" w:after="120"/>
        <w:rPr>
          <w:lang w:eastAsia="en-MY"/>
        </w:rPr>
      </w:pPr>
      <w:bookmarkStart w:id="273" w:name="_Toc10558_WPSOffice_Level3"/>
      <w:bookmarkStart w:id="274" w:name="_Toc28072_WPSOffice_Level3"/>
      <w:r>
        <w:rPr>
          <w:lang w:eastAsia="en-MY"/>
        </w:rPr>
        <w:t>5.3.</w:t>
      </w:r>
      <w:r>
        <w:t>2</w:t>
      </w:r>
      <w:r>
        <w:rPr>
          <w:lang w:eastAsia="en-MY"/>
        </w:rPr>
        <w:t xml:space="preserve"> Contribution to Industry</w:t>
      </w:r>
      <w:bookmarkEnd w:id="273"/>
      <w:bookmarkEnd w:id="274"/>
    </w:p>
    <w:p>
      <w:pPr>
        <w:spacing w:before="120" w:after="120"/>
      </w:pPr>
      <w:r>
        <w:t>In addition, the result of this research determines that the Deal &amp; Kennedy’s corporate culture dimensions actually has positive influence with positive outcomes on the education industry in China which means that in order to help education institutions to perform better, institutions should properly enhance their organizations’ corporate culture to achieve high performance level of their staff and organization. In additions, it will also benefit large number of learners in China who enrolled in these institutions.  This research provided a useful and genuine feedback for the industry to contribute in building a sustainable corporate culture system which intended to create a positive perception especially for education institutions that eventually could lead to achieve higher performance. This study also provided suggestions to highlight the importance of enhance corporate culture to the organization and details in the benefits by implementing enhance corporate culture dimensions which will be more attractive and helpful for the employees and managers who work in education industry in China.</w:t>
      </w:r>
    </w:p>
    <w:p>
      <w:pPr>
        <w:spacing w:before="120" w:after="120"/>
      </w:pPr>
    </w:p>
    <w:p>
      <w:pPr>
        <w:pStyle w:val="2"/>
        <w:spacing w:before="360" w:after="120"/>
        <w:rPr>
          <w:lang w:eastAsia="en-GB"/>
        </w:rPr>
      </w:pPr>
      <w:bookmarkStart w:id="275" w:name="_Toc12274_WPSOffice_Level2"/>
      <w:bookmarkStart w:id="276" w:name="_Toc19608_WPSOffice_Level2"/>
      <w:r>
        <w:rPr>
          <w:lang w:eastAsia="en-GB"/>
        </w:rPr>
        <w:t>5.4 Future research direction</w:t>
      </w:r>
      <w:bookmarkEnd w:id="275"/>
      <w:bookmarkEnd w:id="276"/>
    </w:p>
    <w:p>
      <w:pPr>
        <w:spacing w:before="120" w:after="120"/>
        <w:rPr>
          <w:rFonts w:cs="Times New Roman"/>
        </w:rPr>
      </w:pPr>
      <w:r>
        <w:rPr>
          <w:rFonts w:cs="Times New Roman"/>
        </w:rPr>
        <w:t>To understand more on the influence of western corporate culture has on the education industry in China, future research can be carried out on bigger scale and respondents could be taken from other private and public institu</w:t>
      </w:r>
      <w:r>
        <w:rPr>
          <w:rFonts w:hint="eastAsia" w:cs="Times New Roman"/>
        </w:rPr>
        <w:t>t</w:t>
      </w:r>
      <w:r>
        <w:rPr>
          <w:rFonts w:cs="Times New Roman"/>
        </w:rPr>
        <w:t>ions from different cities in China so that a more accurate data could be obtained. Another thing is that future research could be conducted for public educational institu</w:t>
      </w:r>
      <w:r>
        <w:rPr>
          <w:rFonts w:hint="eastAsia" w:cs="Times New Roman"/>
        </w:rPr>
        <w:t>t</w:t>
      </w:r>
      <w:r>
        <w:rPr>
          <w:rFonts w:cs="Times New Roman"/>
        </w:rPr>
        <w:t>ions that are owned by government so there will be a clear comparison on the level of the outcome performance for those who are working in private institutions and public institutions.</w:t>
      </w:r>
    </w:p>
    <w:p>
      <w:pPr>
        <w:spacing w:before="120" w:after="120"/>
        <w:rPr>
          <w:rFonts w:cs="Times New Roman"/>
        </w:rPr>
      </w:pPr>
      <w:r>
        <w:rPr>
          <w:rFonts w:cs="Times New Roman"/>
        </w:rPr>
        <w:t xml:space="preserve">Moreover, future research could explore more different variables which have an impact on the performance of education industry in China. </w:t>
      </w:r>
    </w:p>
    <w:p>
      <w:pPr>
        <w:spacing w:before="120" w:after="120"/>
        <w:rPr>
          <w:rFonts w:cs="Times New Roman"/>
        </w:rPr>
      </w:pPr>
      <w:r>
        <w:rPr>
          <w:rFonts w:cs="Times New Roman"/>
        </w:rPr>
        <w:t>In addition, future research could concentrate on the participants who are working for the education institu</w:t>
      </w:r>
      <w:r>
        <w:rPr>
          <w:rFonts w:hint="eastAsia" w:cs="Times New Roman"/>
        </w:rPr>
        <w:t>t</w:t>
      </w:r>
      <w:r>
        <w:rPr>
          <w:rFonts w:cs="Times New Roman"/>
        </w:rPr>
        <w:t>ions, they can be categorized and differentiated among the operator level, middle and top managers.</w:t>
      </w:r>
    </w:p>
    <w:p>
      <w:pPr>
        <w:spacing w:before="120" w:after="120"/>
        <w:rPr>
          <w:rFonts w:cs="Times New Roman"/>
        </w:rPr>
      </w:pPr>
      <w:r>
        <w:rPr>
          <w:rFonts w:cs="Times New Roman"/>
        </w:rPr>
        <w:t>Finally, future researcher might consider conducting quantitative and qualitative research together when they collect data. Combining quantitative and qualitative techniques researcher could utilize various instruments such as questionnaires, and even focusing groups if possible, so that they are able to collect rich information about employee job satisfaction for further and profound study.</w:t>
      </w:r>
    </w:p>
    <w:p>
      <w:pPr>
        <w:spacing w:before="120" w:after="120"/>
        <w:rPr>
          <w:rFonts w:cs="Times New Roman"/>
        </w:rPr>
      </w:pPr>
    </w:p>
    <w:p>
      <w:pPr>
        <w:pStyle w:val="2"/>
        <w:spacing w:before="360" w:after="120"/>
        <w:rPr>
          <w:rFonts w:cs="Times New Roman"/>
          <w:lang w:eastAsia="en-GB"/>
        </w:rPr>
      </w:pPr>
      <w:bookmarkStart w:id="277" w:name="_Toc20950_WPSOffice_Level2"/>
      <w:bookmarkStart w:id="278" w:name="_Toc16859_WPSOffice_Level2"/>
      <w:r>
        <w:rPr>
          <w:rFonts w:cs="Times New Roman"/>
          <w:lang w:eastAsia="en-GB"/>
        </w:rPr>
        <w:t>5.5 Personal reflection</w:t>
      </w:r>
      <w:bookmarkEnd w:id="277"/>
      <w:bookmarkEnd w:id="278"/>
    </w:p>
    <w:p>
      <w:pPr>
        <w:spacing w:before="120" w:after="120"/>
        <w:rPr>
          <w:rFonts w:cs="Times New Roman"/>
        </w:rPr>
      </w:pPr>
      <w:r>
        <w:rPr>
          <w:rFonts w:cs="Times New Roman"/>
        </w:rPr>
        <w:t xml:space="preserve">Upon completion of this MBA project, I feel grateful that the challenges faced in this process would enhance my knowledge and perception on how </w:t>
      </w:r>
      <w:r>
        <w:rPr>
          <w:rFonts w:hint="eastAsia" w:eastAsia="宋体" w:cs="Times New Roman"/>
        </w:rPr>
        <w:t>corporate culture</w:t>
      </w:r>
      <w:r>
        <w:rPr>
          <w:rFonts w:cs="Times New Roman"/>
        </w:rPr>
        <w:t xml:space="preserve"> could influence the </w:t>
      </w:r>
      <w:r>
        <w:rPr>
          <w:rFonts w:hint="eastAsia" w:eastAsia="宋体" w:cs="Times New Roman"/>
        </w:rPr>
        <w:t>education industry in China</w:t>
      </w:r>
      <w:r>
        <w:rPr>
          <w:rFonts w:cs="Times New Roman"/>
        </w:rPr>
        <w:t xml:space="preserve">. This study has taught me </w:t>
      </w:r>
      <w:r>
        <w:rPr>
          <w:rFonts w:hint="eastAsia" w:eastAsia="宋体" w:cs="Times New Roman"/>
        </w:rPr>
        <w:t>many</w:t>
      </w:r>
      <w:r>
        <w:rPr>
          <w:rFonts w:cs="Times New Roman"/>
        </w:rPr>
        <w:t xml:space="preserve"> things and helped me enhance my understanding towards statistical analysis, business research methodologies as well as look into past literature and compare with the present world. Some of the key findings of previous literature are still widely applicable; but some are no longer applicable which shows that in a business environment the </w:t>
      </w:r>
      <w:r>
        <w:rPr>
          <w:rFonts w:hint="eastAsia" w:eastAsia="宋体" w:cs="Times New Roman"/>
        </w:rPr>
        <w:t>influence</w:t>
      </w:r>
      <w:r>
        <w:rPr>
          <w:rFonts w:cs="Times New Roman"/>
        </w:rPr>
        <w:t xml:space="preserve"> of  </w:t>
      </w:r>
      <w:r>
        <w:rPr>
          <w:rFonts w:hint="eastAsia" w:eastAsia="宋体" w:cs="Times New Roman"/>
        </w:rPr>
        <w:t xml:space="preserve">corporate culture </w:t>
      </w:r>
      <w:r>
        <w:rPr>
          <w:rFonts w:cs="Times New Roman"/>
        </w:rPr>
        <w:t xml:space="preserve">keep changing over time. </w:t>
      </w:r>
    </w:p>
    <w:p>
      <w:pPr>
        <w:spacing w:before="120" w:after="120"/>
        <w:rPr>
          <w:rFonts w:cs="Times New Roman"/>
        </w:rPr>
      </w:pPr>
      <w:r>
        <w:rPr>
          <w:rFonts w:cs="Times New Roman"/>
        </w:rPr>
        <w:t>In addition, as a</w:t>
      </w:r>
      <w:r>
        <w:rPr>
          <w:rFonts w:hint="eastAsia" w:eastAsia="宋体" w:cs="Times New Roman"/>
        </w:rPr>
        <w:t>n international student</w:t>
      </w:r>
      <w:r>
        <w:rPr>
          <w:rFonts w:cs="Times New Roman"/>
        </w:rPr>
        <w:t xml:space="preserve"> who work and study concurrently, meeting up with the deadline is challenging. Time management as well as stress management are essential to make sure that there is no delay in work and study. Nevertheless, this project could not be completed so smoothly without the guidance of Assoc. Prof. Dr. Lee Kar Ling. I appreciate the patient and guidance provided from Prof. Lee in all aspect.</w:t>
      </w:r>
      <w:r>
        <w:rPr>
          <w:rFonts w:hint="eastAsia" w:eastAsia="宋体" w:cs="Times New Roman"/>
        </w:rPr>
        <w:t xml:space="preserve"> And the fellow MBA students has also provided tremendous help to me in this whole learning journey which I highly appreciated.</w:t>
      </w:r>
      <w:r>
        <w:rPr>
          <w:rFonts w:cs="Times New Roman"/>
        </w:rPr>
        <w:t xml:space="preserve"> Lastly, I would like to conclude that, overall it is a very good experience and I believed that the knowledge I gained will enhance my expertise in my career.</w:t>
      </w:r>
    </w:p>
    <w:p>
      <w:pPr>
        <w:spacing w:before="120" w:after="120"/>
        <w:rPr>
          <w:rFonts w:cs="Times New Roman"/>
        </w:rPr>
      </w:pPr>
    </w:p>
    <w:p>
      <w:pPr>
        <w:pStyle w:val="2"/>
        <w:spacing w:before="360" w:after="120"/>
        <w:rPr>
          <w:lang w:eastAsia="en-GB"/>
        </w:rPr>
      </w:pPr>
      <w:bookmarkStart w:id="279" w:name="_Toc10558_WPSOffice_Level2"/>
      <w:bookmarkStart w:id="280" w:name="_Toc25310_WPSOffice_Level2"/>
      <w:r>
        <w:rPr>
          <w:rFonts w:cs="Times New Roman"/>
          <w:lang w:eastAsia="en-GB"/>
        </w:rPr>
        <w:t>5.6 conclusion</w:t>
      </w:r>
      <w:bookmarkEnd w:id="279"/>
      <w:bookmarkEnd w:id="280"/>
    </w:p>
    <w:p>
      <w:pPr>
        <w:spacing w:before="120" w:after="120"/>
        <w:rPr>
          <w:rFonts w:cs="Times New Roman"/>
        </w:rPr>
      </w:pPr>
      <w:r>
        <w:rPr>
          <w:rFonts w:cs="Times New Roman"/>
        </w:rPr>
        <w:t xml:space="preserve">This is the last chapter of this research. The chapter discussed about the key findings </w:t>
      </w:r>
      <w:r>
        <w:rPr>
          <w:rFonts w:cs="Times New Roman"/>
          <w:lang w:eastAsia="en-MY"/>
        </w:rPr>
        <w:t>that have been discussed in previous chapter</w:t>
      </w:r>
      <w:r>
        <w:rPr>
          <w:rFonts w:cs="Times New Roman"/>
        </w:rPr>
        <w:t>, the contributions and also the recommendations based on the result from the analysis. Lastly, this chapter was concluded with a personal reflection behind conducting this research study in the MBA program.</w:t>
      </w: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spacing w:before="120" w:after="120"/>
      </w:pPr>
    </w:p>
    <w:p>
      <w:pPr>
        <w:pStyle w:val="2"/>
        <w:spacing w:before="360" w:after="120"/>
        <w:jc w:val="center"/>
        <w:rPr>
          <w:rFonts w:cs="Times New Roman"/>
        </w:rPr>
      </w:pPr>
      <w:bookmarkStart w:id="281" w:name="_Toc332563664"/>
      <w:bookmarkStart w:id="282" w:name="_Toc4850_WPSOffice_Level1"/>
      <w:bookmarkStart w:id="283" w:name="_Toc30422_WPSOffice_Level1"/>
      <w:bookmarkStart w:id="284" w:name="_Toc3526_WPSOffice_Level1"/>
      <w:bookmarkStart w:id="285" w:name="_Toc5215_WPSOffice_Level1"/>
      <w:bookmarkStart w:id="286" w:name="_Toc10268_WPSOffice_Level1"/>
      <w:r>
        <w:rPr>
          <w:rFonts w:cs="Times New Roman"/>
        </w:rPr>
        <w:t>R</w:t>
      </w:r>
      <w:bookmarkEnd w:id="281"/>
      <w:r>
        <w:rPr>
          <w:rFonts w:cs="Times New Roman"/>
        </w:rPr>
        <w:t>EFERENCES</w:t>
      </w:r>
      <w:bookmarkEnd w:id="282"/>
      <w:bookmarkEnd w:id="283"/>
      <w:bookmarkEnd w:id="284"/>
      <w:bookmarkEnd w:id="285"/>
      <w:bookmarkEnd w:id="286"/>
    </w:p>
    <w:p>
      <w:pPr>
        <w:spacing w:before="240" w:beforeLines="100" w:after="120"/>
        <w:ind w:left="480" w:hanging="480" w:hangingChars="200"/>
        <w:rPr>
          <w:rFonts w:cs="Times New Roman"/>
          <w:kern w:val="3"/>
        </w:rPr>
      </w:pPr>
      <w:r>
        <w:rPr>
          <w:rFonts w:cs="Times New Roman"/>
          <w:kern w:val="3"/>
        </w:rPr>
        <w:t xml:space="preserve">Andersen, G. and Bech, K. (2013). </w:t>
      </w:r>
      <w:r>
        <w:rPr>
          <w:rFonts w:cs="Times New Roman"/>
          <w:i/>
          <w:kern w:val="3"/>
        </w:rPr>
        <w:t>English corpus linguistics</w:t>
      </w:r>
      <w:r>
        <w:rPr>
          <w:rFonts w:cs="Times New Roman"/>
          <w:kern w:val="3"/>
        </w:rPr>
        <w:t>. Amsterdam: Rodopi.</w:t>
      </w:r>
    </w:p>
    <w:p>
      <w:pPr>
        <w:spacing w:before="240" w:beforeLines="100" w:after="120"/>
        <w:ind w:left="480" w:hanging="480" w:hangingChars="200"/>
        <w:rPr>
          <w:rFonts w:cs="Times New Roman"/>
          <w:kern w:val="3"/>
        </w:rPr>
      </w:pPr>
      <w:r>
        <w:rPr>
          <w:rFonts w:cs="Times New Roman"/>
          <w:kern w:val="3"/>
        </w:rPr>
        <w:t xml:space="preserve">Anghel, G. (2012). </w:t>
      </w:r>
      <w:r>
        <w:rPr>
          <w:rFonts w:cs="Times New Roman"/>
          <w:i/>
          <w:kern w:val="3"/>
        </w:rPr>
        <w:t>Doomed to internationalization and modernization of corporate culture</w:t>
      </w:r>
      <w:r>
        <w:rPr>
          <w:rFonts w:cs="Times New Roman"/>
          <w:kern w:val="3"/>
        </w:rPr>
        <w:t>. Wiesbaden: Gabler Verlag.</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kern w:val="3"/>
        </w:rPr>
        <w:t xml:space="preserve">Argenti, P. (2013). </w:t>
      </w:r>
      <w:r>
        <w:rPr>
          <w:rFonts w:cs="Times New Roman"/>
          <w:i/>
          <w:kern w:val="3"/>
        </w:rPr>
        <w:t>Corporate communication</w:t>
      </w:r>
      <w:r>
        <w:rPr>
          <w:rFonts w:cs="Times New Roman"/>
          <w:kern w:val="3"/>
        </w:rPr>
        <w:t>. Boston: McGraw-Hill Irwin.</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Agrawal, T. and Agrawal, A. (2017). Vocational education and training in India: a labour market perspective. </w:t>
      </w:r>
      <w:r>
        <w:rPr>
          <w:rFonts w:cs="Times New Roman"/>
          <w:i/>
          <w:color w:val="000000" w:themeColor="text1"/>
          <w14:textFill>
            <w14:solidFill>
              <w14:schemeClr w14:val="tx1"/>
            </w14:solidFill>
          </w14:textFill>
        </w:rPr>
        <w:t>Journal of Vocational Education &amp; Training</w:t>
      </w:r>
      <w:r>
        <w:rPr>
          <w:rFonts w:cs="Times New Roman"/>
          <w:color w:val="000000" w:themeColor="text1"/>
          <w14:textFill>
            <w14:solidFill>
              <w14:schemeClr w14:val="tx1"/>
            </w14:solidFill>
          </w14:textFill>
        </w:rPr>
        <w:t>, 69(2), pp.246-265.</w:t>
      </w:r>
    </w:p>
    <w:p>
      <w:pPr>
        <w:spacing w:before="240" w:beforeLines="100" w:after="120"/>
        <w:ind w:left="480" w:hanging="480" w:hangingChars="200"/>
        <w:rPr>
          <w:rFonts w:cs="Times New Roman"/>
          <w:kern w:val="3"/>
        </w:rPr>
      </w:pPr>
      <w:r>
        <w:rPr>
          <w:rFonts w:cs="Times New Roman"/>
          <w:kern w:val="3"/>
        </w:rPr>
        <w:t xml:space="preserve">Brothers, L. (2007). </w:t>
      </w:r>
      <w:r>
        <w:rPr>
          <w:rFonts w:cs="Times New Roman"/>
          <w:i/>
          <w:kern w:val="3"/>
        </w:rPr>
        <w:t>Organization-level human resource policies, culture, and managerial practices</w:t>
      </w:r>
      <w:r>
        <w:rPr>
          <w:rFonts w:cs="Times New Roman"/>
          <w:kern w:val="3"/>
        </w:rPr>
        <w:t>.</w:t>
      </w:r>
    </w:p>
    <w:p>
      <w:pPr>
        <w:spacing w:before="240" w:beforeLines="100" w:after="120"/>
        <w:ind w:left="480" w:hanging="480" w:hangingChars="200"/>
        <w:rPr>
          <w:rFonts w:eastAsia="Times New Roman" w:cs="Times New Roman"/>
          <w:color w:val="000000" w:themeColor="text1"/>
          <w14:textFill>
            <w14:solidFill>
              <w14:schemeClr w14:val="tx1"/>
            </w14:solidFill>
          </w14:textFill>
        </w:rPr>
      </w:pPr>
      <w:r>
        <w:rPr>
          <w:rFonts w:eastAsia="Times New Roman" w:cs="Times New Roman"/>
          <w:color w:val="000000" w:themeColor="text1"/>
          <w14:textFill>
            <w14:solidFill>
              <w14:schemeClr w14:val="tx1"/>
            </w14:solidFill>
          </w14:textFill>
        </w:rPr>
        <w:t>Baker, T.L. (1994)</w:t>
      </w:r>
      <w:r>
        <w:rPr>
          <w:rFonts w:eastAsia="宋体" w:cs="Times New Roman"/>
          <w:color w:val="000000" w:themeColor="text1"/>
          <w14:textFill>
            <w14:solidFill>
              <w14:schemeClr w14:val="tx1"/>
            </w14:solidFill>
          </w14:textFill>
        </w:rPr>
        <w:t>.</w:t>
      </w:r>
      <w:r>
        <w:rPr>
          <w:rFonts w:eastAsia="Times New Roman" w:cs="Times New Roman"/>
          <w:color w:val="000000" w:themeColor="text1"/>
          <w14:textFill>
            <w14:solidFill>
              <w14:schemeClr w14:val="tx1"/>
            </w14:solidFill>
          </w14:textFill>
        </w:rPr>
        <w:t> </w:t>
      </w:r>
      <w:r>
        <w:rPr>
          <w:rFonts w:eastAsia="Times New Roman" w:cs="Times New Roman"/>
          <w:i/>
          <w:color w:val="000000" w:themeColor="text1"/>
          <w14:textFill>
            <w14:solidFill>
              <w14:schemeClr w14:val="tx1"/>
            </w14:solidFill>
          </w14:textFill>
        </w:rPr>
        <w:t>Doing Social Research</w:t>
      </w:r>
      <w:r>
        <w:rPr>
          <w:rFonts w:eastAsia="Times New Roman" w:cs="Times New Roman"/>
          <w:color w:val="000000" w:themeColor="text1"/>
          <w14:textFill>
            <w14:solidFill>
              <w14:schemeClr w14:val="tx1"/>
            </w14:solidFill>
          </w14:textFill>
        </w:rPr>
        <w:t> (2nd Edn.), New York: McGraw-Hill Inc.</w:t>
      </w:r>
    </w:p>
    <w:p>
      <w:pPr>
        <w:spacing w:before="240" w:beforeLines="100" w:after="120"/>
        <w:ind w:left="480" w:hanging="480" w:hangingChars="200"/>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Baxter, P., &amp; Jack, S. (2008). Qualitative Case Study Methodology: Study Design and Implementation for Novice Researchers . </w:t>
      </w:r>
      <w:r>
        <w:rPr>
          <w:rStyle w:val="12"/>
          <w:rFonts w:eastAsia="宋体" w:cs="Times New Roman"/>
          <w:color w:val="000000" w:themeColor="text1"/>
          <w14:textFill>
            <w14:solidFill>
              <w14:schemeClr w14:val="tx1"/>
            </w14:solidFill>
          </w14:textFill>
        </w:rPr>
        <w:t>The Qualitative Report</w:t>
      </w:r>
      <w:r>
        <w:rPr>
          <w:rFonts w:eastAsia="宋体" w:cs="Times New Roman"/>
          <w:color w:val="000000" w:themeColor="text1"/>
          <w14:textFill>
            <w14:solidFill>
              <w14:schemeClr w14:val="tx1"/>
            </w14:solidFill>
          </w14:textFill>
        </w:rPr>
        <w:t>, </w:t>
      </w:r>
      <w:r>
        <w:rPr>
          <w:rStyle w:val="12"/>
          <w:rFonts w:eastAsia="宋体" w:cs="Times New Roman"/>
          <w:color w:val="000000" w:themeColor="text1"/>
          <w14:textFill>
            <w14:solidFill>
              <w14:schemeClr w14:val="tx1"/>
            </w14:solidFill>
          </w14:textFill>
        </w:rPr>
        <w:t>13</w:t>
      </w:r>
      <w:r>
        <w:rPr>
          <w:rFonts w:eastAsia="宋体" w:cs="Times New Roman"/>
          <w:color w:val="000000" w:themeColor="text1"/>
          <w14:textFill>
            <w14:solidFill>
              <w14:schemeClr w14:val="tx1"/>
            </w14:solidFill>
          </w14:textFill>
        </w:rPr>
        <w:t>(4), 544-559. </w:t>
      </w:r>
    </w:p>
    <w:p>
      <w:pPr>
        <w:spacing w:before="240" w:beforeLines="100" w:after="120"/>
        <w:ind w:left="480" w:hanging="480" w:hangingChars="200"/>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 xml:space="preserve">Brown, J. D. (2002). Statistics Corner. Questions and answers about language testing statistics: Can we use the Spearman-Brown prophecy formula to defend low reliability? </w:t>
      </w:r>
      <w:r>
        <w:rPr>
          <w:rFonts w:eastAsia="宋体" w:cs="Times New Roman"/>
          <w:i/>
          <w:iCs/>
          <w:color w:val="000000" w:themeColor="text1"/>
          <w14:textFill>
            <w14:solidFill>
              <w14:schemeClr w14:val="tx1"/>
            </w14:solidFill>
          </w14:textFill>
        </w:rPr>
        <w:t>Shiken: JALT Testing &amp; Evaluation SIG Newsletter</w:t>
      </w:r>
      <w:r>
        <w:rPr>
          <w:rFonts w:eastAsia="宋体" w:cs="Times New Roman"/>
          <w:color w:val="000000" w:themeColor="text1"/>
          <w14:textFill>
            <w14:solidFill>
              <w14:schemeClr w14:val="tx1"/>
            </w14:solidFill>
          </w14:textFill>
        </w:rPr>
        <w:t>, 4 (3), 7-9.</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Baensch, R. (2017). </w:t>
      </w:r>
      <w:r>
        <w:rPr>
          <w:rFonts w:cs="Times New Roman"/>
          <w:i/>
          <w:color w:val="000000" w:themeColor="text1"/>
          <w14:textFill>
            <w14:solidFill>
              <w14:schemeClr w14:val="tx1"/>
            </w14:solidFill>
          </w14:textFill>
        </w:rPr>
        <w:t>The Publishing Industry in China</w:t>
      </w:r>
      <w:r>
        <w:rPr>
          <w:rFonts w:cs="Times New Roman"/>
          <w:color w:val="000000" w:themeColor="text1"/>
          <w14:textFill>
            <w14:solidFill>
              <w14:schemeClr w14:val="tx1"/>
            </w14:solidFill>
          </w14:textFill>
        </w:rPr>
        <w:t>. Milton: Taylor and Francis.</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Boshchenko, T. and Fokina, N. (2013). Searching for effective methodical system of student training in computer graphics. </w:t>
      </w:r>
      <w:r>
        <w:rPr>
          <w:rFonts w:cs="Times New Roman"/>
          <w:i/>
          <w:color w:val="000000" w:themeColor="text1"/>
          <w14:textFill>
            <w14:solidFill>
              <w14:schemeClr w14:val="tx1"/>
            </w14:solidFill>
          </w14:textFill>
        </w:rPr>
        <w:t>Геометрия и графика</w:t>
      </w:r>
      <w:r>
        <w:rPr>
          <w:rFonts w:cs="Times New Roman"/>
          <w:color w:val="000000" w:themeColor="text1"/>
          <w14:textFill>
            <w14:solidFill>
              <w14:schemeClr w14:val="tx1"/>
            </w14:solidFill>
          </w14:textFill>
        </w:rPr>
        <w:t>, 1(1), pp.68-69.</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Chan, S. (2014). Recruiting Students from China. </w:t>
      </w:r>
      <w:r>
        <w:rPr>
          <w:rFonts w:cs="Times New Roman"/>
          <w:i/>
          <w:color w:val="000000" w:themeColor="text1"/>
          <w14:textFill>
            <w14:solidFill>
              <w14:schemeClr w14:val="tx1"/>
            </w14:solidFill>
          </w14:textFill>
        </w:rPr>
        <w:t>Chinese Education &amp; Society</w:t>
      </w:r>
      <w:r>
        <w:rPr>
          <w:rFonts w:cs="Times New Roman"/>
          <w:color w:val="000000" w:themeColor="text1"/>
          <w14:textFill>
            <w14:solidFill>
              <w14:schemeClr w14:val="tx1"/>
            </w14:solidFill>
          </w14:textFill>
        </w:rPr>
        <w:t>, 47(1), pp.65-82.</w:t>
      </w:r>
    </w:p>
    <w:p>
      <w:pPr>
        <w:spacing w:before="240" w:beforeLines="100" w:after="120"/>
        <w:ind w:left="480" w:hanging="480" w:hangingChars="200"/>
        <w:rPr>
          <w:rFonts w:cs="Times New Roman"/>
          <w:kern w:val="3"/>
        </w:rPr>
      </w:pPr>
      <w:r>
        <w:rPr>
          <w:rFonts w:cs="Times New Roman"/>
          <w:kern w:val="3"/>
        </w:rPr>
        <w:t xml:space="preserve">Choi Won Oh. (2015). The Cultural‐Historical Contributions andHumanistic Values of 'Orality'. </w:t>
      </w:r>
      <w:r>
        <w:rPr>
          <w:rFonts w:cs="Times New Roman"/>
          <w:i/>
          <w:kern w:val="3"/>
        </w:rPr>
        <w:t>Journal of Korean Literature in Classical Chinese</w:t>
      </w:r>
      <w:r>
        <w:rPr>
          <w:rFonts w:cs="Times New Roman"/>
          <w:kern w:val="3"/>
        </w:rPr>
        <w:t>, null(57), pp.65-101.</w:t>
      </w:r>
    </w:p>
    <w:p>
      <w:pPr>
        <w:spacing w:before="240" w:beforeLines="100" w:after="120"/>
        <w:ind w:left="480" w:hanging="480" w:hangingChars="200"/>
        <w:rPr>
          <w:rFonts w:eastAsia="宋体" w:cs="Times New Roman"/>
          <w:color w:val="000000" w:themeColor="text1"/>
          <w:shd w:val="clear" w:color="auto" w:fill="FFFFFF"/>
          <w14:textFill>
            <w14:solidFill>
              <w14:schemeClr w14:val="tx1"/>
            </w14:solidFill>
          </w14:textFill>
        </w:rPr>
      </w:pPr>
      <w:r>
        <w:rPr>
          <w:rFonts w:eastAsia="宋体" w:cs="Times New Roman"/>
          <w:color w:val="000000" w:themeColor="text1"/>
          <w:shd w:val="clear" w:color="auto" w:fill="FFFFFF"/>
          <w14:textFill>
            <w14:solidFill>
              <w14:schemeClr w14:val="tx1"/>
            </w14:solidFill>
          </w14:textFill>
        </w:rPr>
        <w:t xml:space="preserve">Chen X, Chen M, Ning K. (2006). </w:t>
      </w:r>
      <w:r>
        <w:rPr>
          <w:rFonts w:eastAsia="宋体" w:cs="Times New Roman"/>
          <w:i/>
          <w:iCs/>
          <w:color w:val="000000" w:themeColor="text1"/>
          <w:shd w:val="clear" w:color="auto" w:fill="FFFFFF"/>
          <w14:textFill>
            <w14:solidFill>
              <w14:schemeClr w14:val="tx1"/>
            </w14:solidFill>
          </w14:textFill>
        </w:rPr>
        <w:t>Bnarray: an package for constructing gene regulatory networks from microarray data by using bayesian network</w:t>
      </w:r>
      <w:r>
        <w:rPr>
          <w:rFonts w:eastAsia="宋体" w:cs="Times New Roman"/>
          <w:color w:val="000000" w:themeColor="text1"/>
          <w:shd w:val="clear" w:color="auto" w:fill="FFFFFF"/>
          <w14:textFill>
            <w14:solidFill>
              <w14:schemeClr w14:val="tx1"/>
            </w14:solidFill>
          </w14:textFill>
        </w:rPr>
        <w:t>. Bioinformatics 22: 2952.</w:t>
      </w:r>
    </w:p>
    <w:p>
      <w:pPr>
        <w:spacing w:before="240" w:beforeLines="100" w:after="120"/>
        <w:ind w:left="480" w:hanging="480" w:hangingChars="200"/>
        <w:rPr>
          <w:rFonts w:eastAsia="Times New Roman" w:cs="Times New Roman"/>
          <w:color w:val="000000" w:themeColor="text1"/>
          <w14:textFill>
            <w14:solidFill>
              <w14:schemeClr w14:val="tx1"/>
            </w14:solidFill>
          </w14:textFill>
        </w:rPr>
      </w:pPr>
      <w:r>
        <w:rPr>
          <w:rFonts w:eastAsia="宋体" w:cs="Times New Roman"/>
          <w:color w:val="000000"/>
          <w:shd w:val="clear" w:color="auto" w:fill="FFFFFF"/>
        </w:rPr>
        <w:t>Creswell, J. W. (2013). Qualitative Inquiry &amp; Research Design: Choosing among Five Approaches (3rd ed.). Thousand Oaks, CA: SAGE.</w:t>
      </w:r>
    </w:p>
    <w:p>
      <w:pPr>
        <w:spacing w:before="240" w:beforeLines="100" w:after="120"/>
        <w:ind w:left="480" w:hanging="480" w:hangingChars="200"/>
        <w:rPr>
          <w:rFonts w:eastAsia="Times New Roman"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Cooper, D. and Schindler, P. (2011). </w:t>
      </w:r>
      <w:r>
        <w:rPr>
          <w:rFonts w:eastAsia="Arial" w:cs="Times New Roman"/>
          <w:i/>
          <w:color w:val="000000" w:themeColor="text1"/>
          <w14:textFill>
            <w14:solidFill>
              <w14:schemeClr w14:val="tx1"/>
            </w14:solidFill>
          </w14:textFill>
        </w:rPr>
        <w:t>Business research methods</w:t>
      </w:r>
      <w:r>
        <w:rPr>
          <w:rFonts w:eastAsia="Arial" w:cs="Times New Roman"/>
          <w:color w:val="000000" w:themeColor="text1"/>
          <w14:textFill>
            <w14:solidFill>
              <w14:schemeClr w14:val="tx1"/>
            </w14:solidFill>
          </w14:textFill>
        </w:rPr>
        <w:t>. New York: McGraw-Hill/Irwin.</w:t>
      </w:r>
    </w:p>
    <w:p>
      <w:pPr>
        <w:spacing w:before="240" w:beforeLines="100" w:after="120"/>
        <w:ind w:left="480" w:hanging="480" w:hangingChars="200"/>
        <w:rPr>
          <w:rFonts w:eastAsia="Times New Roman" w:cs="Times New Roman"/>
          <w:color w:val="000000" w:themeColor="text1"/>
          <w14:textFill>
            <w14:solidFill>
              <w14:schemeClr w14:val="tx1"/>
            </w14:solidFill>
          </w14:textFill>
        </w:rPr>
      </w:pPr>
      <w:r>
        <w:rPr>
          <w:rFonts w:eastAsia="Times New Roman" w:cs="Times New Roman"/>
          <w:color w:val="000000" w:themeColor="text1"/>
          <w14:textFill>
            <w14:solidFill>
              <w14:schemeClr w14:val="tx1"/>
            </w14:solidFill>
          </w14:textFill>
        </w:rPr>
        <w:t>De Vaus, D.A. (1993), </w:t>
      </w:r>
      <w:r>
        <w:rPr>
          <w:rFonts w:eastAsia="Times New Roman" w:cs="Times New Roman"/>
          <w:i/>
          <w:color w:val="000000" w:themeColor="text1"/>
          <w14:textFill>
            <w14:solidFill>
              <w14:schemeClr w14:val="tx1"/>
            </w14:solidFill>
          </w14:textFill>
        </w:rPr>
        <w:t>Surveys in Social Research</w:t>
      </w:r>
      <w:r>
        <w:rPr>
          <w:rFonts w:eastAsia="Times New Roman" w:cs="Times New Roman"/>
          <w:color w:val="000000" w:themeColor="text1"/>
          <w14:textFill>
            <w14:solidFill>
              <w14:schemeClr w14:val="tx1"/>
            </w14:solidFill>
          </w14:textFill>
        </w:rPr>
        <w:t> (3rd edn.), London: UCL Press.</w:t>
      </w:r>
    </w:p>
    <w:p>
      <w:pPr>
        <w:spacing w:before="240" w:beforeLines="100" w:after="120"/>
        <w:ind w:left="480" w:hanging="480" w:hangingChars="200"/>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 xml:space="preserve">DiCicco-Bloom B. (2013). </w:t>
      </w:r>
      <w:r>
        <w:rPr>
          <w:rFonts w:eastAsia="宋体" w:cs="Times New Roman"/>
          <w:i/>
          <w:iCs/>
          <w:color w:val="000000" w:themeColor="text1"/>
          <w14:textFill>
            <w14:solidFill>
              <w14:schemeClr w14:val="tx1"/>
            </w14:solidFill>
          </w14:textFill>
        </w:rPr>
        <w:t>The racialised and gendered experiences of immigrant nurses from Kerala</w:t>
      </w:r>
      <w:r>
        <w:rPr>
          <w:rFonts w:eastAsia="宋体" w:cs="Times New Roman"/>
          <w:color w:val="000000" w:themeColor="text1"/>
          <w14:textFill>
            <w14:solidFill>
              <w14:schemeClr w14:val="tx1"/>
            </w14:solidFill>
          </w14:textFill>
        </w:rPr>
        <w:t>, India. J Transcultural Nurs 2006;15(1):26–33.</w:t>
      </w:r>
    </w:p>
    <w:p>
      <w:pPr>
        <w:spacing w:before="240" w:beforeLines="100" w:after="120"/>
        <w:ind w:left="480" w:hanging="480" w:hangingChars="200"/>
        <w:rPr>
          <w:rFonts w:eastAsia="Arial" w:cs="Times New Roman"/>
          <w:color w:val="000000" w:themeColor="text1"/>
          <w:shd w:val="clear" w:color="auto" w:fill="FFFFFF"/>
          <w14:textFill>
            <w14:solidFill>
              <w14:schemeClr w14:val="tx1"/>
            </w14:solidFill>
          </w14:textFill>
        </w:rPr>
      </w:pPr>
      <w:r>
        <w:rPr>
          <w:rFonts w:eastAsia="Arial" w:cs="Times New Roman"/>
          <w:color w:val="000000" w:themeColor="text1"/>
          <w:shd w:val="clear" w:color="auto" w:fill="FFFFFF"/>
          <w14:textFill>
            <w14:solidFill>
              <w14:schemeClr w14:val="tx1"/>
            </w14:solidFill>
          </w14:textFill>
        </w:rPr>
        <w:t>Deal, T. and Kennedy, A. (2000). </w:t>
      </w:r>
      <w:r>
        <w:rPr>
          <w:rFonts w:eastAsia="Arial" w:cs="Times New Roman"/>
          <w:i/>
          <w:color w:val="000000" w:themeColor="text1"/>
          <w:shd w:val="clear" w:color="auto" w:fill="FFFFFF"/>
          <w14:textFill>
            <w14:solidFill>
              <w14:schemeClr w14:val="tx1"/>
            </w14:solidFill>
          </w14:textFill>
        </w:rPr>
        <w:t>Corporate cultures</w:t>
      </w:r>
      <w:r>
        <w:rPr>
          <w:rFonts w:eastAsia="Arial" w:cs="Times New Roman"/>
          <w:color w:val="000000" w:themeColor="text1"/>
          <w:shd w:val="clear" w:color="auto" w:fill="FFFFFF"/>
          <w14:textFill>
            <w14:solidFill>
              <w14:schemeClr w14:val="tx1"/>
            </w14:solidFill>
          </w14:textFill>
        </w:rPr>
        <w:t>. Cambridge, Mass.: Basic.</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rPr>
        <w:t xml:space="preserve">Deal, T. and Kennedy, A. (2008). </w:t>
      </w:r>
      <w:r>
        <w:rPr>
          <w:rFonts w:cs="Times New Roman"/>
          <w:i/>
        </w:rPr>
        <w:t>The New Corporate Cultures</w:t>
      </w:r>
      <w:r>
        <w:rPr>
          <w:rFonts w:cs="Times New Roman"/>
        </w:rPr>
        <w:t>. Reading, MA: Basic Books.</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Dreyfus, M. and Heurgué-Hamard, V. (2010). Termination troubles in Escherichia coli K12. </w:t>
      </w:r>
      <w:r>
        <w:rPr>
          <w:rFonts w:cs="Times New Roman"/>
          <w:i/>
          <w:color w:val="000000" w:themeColor="text1"/>
          <w14:textFill>
            <w14:solidFill>
              <w14:schemeClr w14:val="tx1"/>
            </w14:solidFill>
          </w14:textFill>
        </w:rPr>
        <w:t>Molecular Microbiology</w:t>
      </w:r>
      <w:r>
        <w:rPr>
          <w:rFonts w:cs="Times New Roman"/>
          <w:color w:val="000000" w:themeColor="text1"/>
          <w14:textFill>
            <w14:solidFill>
              <w14:schemeClr w14:val="tx1"/>
            </w14:solidFill>
          </w14:textFill>
        </w:rPr>
        <w:t>, 79(2), pp.288-291.</w:t>
      </w:r>
    </w:p>
    <w:p>
      <w:pPr>
        <w:spacing w:before="240" w:beforeLines="100" w:after="120"/>
        <w:ind w:left="480" w:hanging="480" w:hangingChars="200"/>
        <w:rPr>
          <w:rFonts w:cs="Times New Roman"/>
          <w:kern w:val="3"/>
        </w:rPr>
      </w:pPr>
      <w:r>
        <w:rPr>
          <w:rFonts w:cs="Times New Roman"/>
          <w:kern w:val="3"/>
        </w:rPr>
        <w:t xml:space="preserve">Ellinas, A. and Lamprianou, I. (2016). How far right local party organizations develop. </w:t>
      </w:r>
      <w:r>
        <w:rPr>
          <w:rFonts w:cs="Times New Roman"/>
          <w:i/>
          <w:kern w:val="3"/>
        </w:rPr>
        <w:t>Party Politics</w:t>
      </w:r>
      <w:r>
        <w:rPr>
          <w:rFonts w:cs="Times New Roman"/>
          <w:kern w:val="3"/>
        </w:rPr>
        <w:t>, 23(6), pp.804-820.</w:t>
      </w:r>
    </w:p>
    <w:p>
      <w:pPr>
        <w:spacing w:before="240" w:beforeLines="100" w:after="120"/>
        <w:ind w:left="480" w:hanging="480" w:hangingChars="200"/>
        <w:rPr>
          <w:rFonts w:eastAsia="Arial"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Eccles, R., Ioannou, I. and Serafeim, G. (2012). </w:t>
      </w:r>
      <w:r>
        <w:rPr>
          <w:rFonts w:eastAsia="Arial" w:cs="Times New Roman"/>
          <w:i/>
          <w:color w:val="000000" w:themeColor="text1"/>
          <w14:textFill>
            <w14:solidFill>
              <w14:schemeClr w14:val="tx1"/>
            </w14:solidFill>
          </w14:textFill>
        </w:rPr>
        <w:t>The impact of a corporate culture of sustainability on corporate behavior and performance</w:t>
      </w:r>
      <w:r>
        <w:rPr>
          <w:rFonts w:eastAsia="Arial" w:cs="Times New Roman"/>
          <w:color w:val="000000" w:themeColor="text1"/>
          <w14:textFill>
            <w14:solidFill>
              <w14:schemeClr w14:val="tx1"/>
            </w14:solidFill>
          </w14:textFill>
        </w:rPr>
        <w:t>. Cambridge, Mass.: National Bureau of Economic Research.</w:t>
      </w:r>
    </w:p>
    <w:p>
      <w:pPr>
        <w:spacing w:before="240" w:beforeLines="100" w:after="120"/>
        <w:ind w:left="480" w:hanging="480" w:hangingChars="200"/>
        <w:rPr>
          <w:rFonts w:eastAsia="Arial"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Fan, F. (2017). Teaching laboratory management and quality assurance/quality improvement skills in a cytopathology fellowship program. </w:t>
      </w:r>
      <w:r>
        <w:rPr>
          <w:rFonts w:eastAsia="Arial" w:cs="Times New Roman"/>
          <w:i/>
          <w:color w:val="000000" w:themeColor="text1"/>
          <w14:textFill>
            <w14:solidFill>
              <w14:schemeClr w14:val="tx1"/>
            </w14:solidFill>
          </w14:textFill>
        </w:rPr>
        <w:t>Cancer Cytopathology</w:t>
      </w:r>
      <w:r>
        <w:rPr>
          <w:rFonts w:eastAsia="Arial" w:cs="Times New Roman"/>
          <w:color w:val="000000" w:themeColor="text1"/>
          <w14:textFill>
            <w14:solidFill>
              <w14:schemeClr w14:val="tx1"/>
            </w14:solidFill>
          </w14:textFill>
        </w:rPr>
        <w:t>, 125(9), pp.667-668.</w:t>
      </w:r>
    </w:p>
    <w:p>
      <w:pPr>
        <w:spacing w:before="240" w:beforeLines="100" w:after="120"/>
        <w:ind w:left="480" w:hanging="480" w:hangingChars="200"/>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 xml:space="preserve">Fox, N, Hunn, A, &amp; Mathers, N. (2007). </w:t>
      </w:r>
      <w:r>
        <w:rPr>
          <w:rFonts w:eastAsia="宋体" w:cs="Times New Roman"/>
          <w:i/>
          <w:iCs/>
          <w:color w:val="000000" w:themeColor="text1"/>
          <w14:textFill>
            <w14:solidFill>
              <w14:schemeClr w14:val="tx1"/>
            </w14:solidFill>
          </w14:textFill>
        </w:rPr>
        <w:t>Sampling and sample size calculation</w:t>
      </w:r>
      <w:r>
        <w:rPr>
          <w:rFonts w:eastAsia="宋体" w:cs="Times New Roman"/>
          <w:color w:val="000000" w:themeColor="text1"/>
          <w14:textFill>
            <w14:solidFill>
              <w14:schemeClr w14:val="tx1"/>
            </w14:solidFill>
          </w14:textFill>
        </w:rPr>
        <w:t>. The NIHR RDS for the east Midlands/Yorkshire &amp; the Humber 2007.</w:t>
      </w:r>
    </w:p>
    <w:p>
      <w:pPr>
        <w:spacing w:before="240" w:beforeLines="100" w:after="120"/>
        <w:ind w:left="480" w:hanging="480" w:hangingChars="200"/>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Field, A. (2000).</w:t>
      </w:r>
      <w:r>
        <w:rPr>
          <w:rFonts w:eastAsia="宋体" w:cs="Times New Roman"/>
          <w:i/>
          <w:iCs/>
          <w:color w:val="000000" w:themeColor="text1"/>
          <w14:textFill>
            <w14:solidFill>
              <w14:schemeClr w14:val="tx1"/>
            </w14:solidFill>
          </w14:textFill>
        </w:rPr>
        <w:t xml:space="preserve"> Discovering Statistics using SPSS for Windows</w:t>
      </w:r>
      <w:r>
        <w:rPr>
          <w:rFonts w:eastAsia="宋体" w:cs="Times New Roman"/>
          <w:color w:val="000000" w:themeColor="text1"/>
          <w14:textFill>
            <w14:solidFill>
              <w14:schemeClr w14:val="tx1"/>
            </w14:solidFill>
          </w14:textFill>
        </w:rPr>
        <w:t>. London – Thousand Oaks – New Delhi: Sage publications.</w:t>
      </w:r>
    </w:p>
    <w:p>
      <w:pPr>
        <w:spacing w:before="240" w:beforeLines="100" w:after="120"/>
        <w:ind w:left="480" w:hanging="480" w:hangingChars="200"/>
        <w:rPr>
          <w:rFonts w:eastAsia="宋体"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Finch, D., Hillenbrand, C. and Rubin, H. (2015). Proximity, Strategic Groups and Reputation: An Exploratory Study of Reputation in Higher Education. </w:t>
      </w:r>
      <w:r>
        <w:rPr>
          <w:rFonts w:eastAsia="Arial" w:cs="Times New Roman"/>
          <w:i/>
          <w:color w:val="000000" w:themeColor="text1"/>
          <w14:textFill>
            <w14:solidFill>
              <w14:schemeClr w14:val="tx1"/>
            </w14:solidFill>
          </w14:textFill>
        </w:rPr>
        <w:t>Corporate Reputation Review</w:t>
      </w:r>
      <w:r>
        <w:rPr>
          <w:rFonts w:eastAsia="Arial" w:cs="Times New Roman"/>
          <w:color w:val="000000" w:themeColor="text1"/>
          <w14:textFill>
            <w14:solidFill>
              <w14:schemeClr w14:val="tx1"/>
            </w14:solidFill>
          </w14:textFill>
        </w:rPr>
        <w:t>, 18(3), pp.174-194.</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Gao, P. (2014). Using Personalized Education to Take the Place of Standardized Education. </w:t>
      </w:r>
      <w:r>
        <w:rPr>
          <w:rFonts w:cs="Times New Roman"/>
          <w:i/>
          <w:color w:val="000000" w:themeColor="text1"/>
          <w14:textFill>
            <w14:solidFill>
              <w14:schemeClr w14:val="tx1"/>
            </w14:solidFill>
          </w14:textFill>
        </w:rPr>
        <w:t>Journal of Education and Training Studies</w:t>
      </w:r>
      <w:r>
        <w:rPr>
          <w:rFonts w:cs="Times New Roman"/>
          <w:color w:val="000000" w:themeColor="text1"/>
          <w14:textFill>
            <w14:solidFill>
              <w14:schemeClr w14:val="tx1"/>
            </w14:solidFill>
          </w14:textFill>
        </w:rPr>
        <w:t>, 2(2).</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Gong, P. (2014). Applied Modes and Current Problems of e-Learning in the Primary and Secondary Schools of China. </w:t>
      </w:r>
      <w:r>
        <w:rPr>
          <w:rFonts w:cs="Times New Roman"/>
          <w:i/>
          <w:color w:val="000000" w:themeColor="text1"/>
          <w14:textFill>
            <w14:solidFill>
              <w14:schemeClr w14:val="tx1"/>
            </w14:solidFill>
          </w14:textFill>
        </w:rPr>
        <w:t>International Journal of e-Education, e-Business, e-Management and e-Learning</w:t>
      </w:r>
      <w:r>
        <w:rPr>
          <w:rFonts w:cs="Times New Roman"/>
          <w:color w:val="000000" w:themeColor="text1"/>
          <w14:textFill>
            <w14:solidFill>
              <w14:schemeClr w14:val="tx1"/>
            </w14:solidFill>
          </w14:textFill>
        </w:rPr>
        <w:t>, 4(3).</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Gremaud, T. (2017). Vocational education in Canada. </w:t>
      </w:r>
      <w:r>
        <w:rPr>
          <w:rFonts w:cs="Times New Roman"/>
          <w:i/>
          <w:color w:val="000000" w:themeColor="text1"/>
          <w14:textFill>
            <w14:solidFill>
              <w14:schemeClr w14:val="tx1"/>
            </w14:solidFill>
          </w14:textFill>
        </w:rPr>
        <w:t>Journal of Vocational Education &amp; Training</w:t>
      </w:r>
      <w:r>
        <w:rPr>
          <w:rFonts w:cs="Times New Roman"/>
          <w:color w:val="000000" w:themeColor="text1"/>
          <w14:textFill>
            <w14:solidFill>
              <w14:schemeClr w14:val="tx1"/>
            </w14:solidFill>
          </w14:textFill>
        </w:rPr>
        <w:t>, 69(2), pp.282-285.</w:t>
      </w:r>
    </w:p>
    <w:p>
      <w:pPr>
        <w:spacing w:before="240" w:beforeLines="100" w:after="120"/>
        <w:ind w:left="480" w:hanging="480" w:hangingChars="200"/>
        <w:rPr>
          <w:rFonts w:eastAsia="Arial"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Guiso, L., Sapienza, P. and Zingales, L. (2013). </w:t>
      </w:r>
      <w:r>
        <w:rPr>
          <w:rFonts w:eastAsia="Arial" w:cs="Times New Roman"/>
          <w:i/>
          <w:color w:val="000000" w:themeColor="text1"/>
          <w14:textFill>
            <w14:solidFill>
              <w14:schemeClr w14:val="tx1"/>
            </w14:solidFill>
          </w14:textFill>
        </w:rPr>
        <w:t>The Value of Corporate Culture</w:t>
      </w:r>
      <w:r>
        <w:rPr>
          <w:rFonts w:eastAsia="Arial" w:cs="Times New Roman"/>
          <w:color w:val="000000" w:themeColor="text1"/>
          <w14:textFill>
            <w14:solidFill>
              <w14:schemeClr w14:val="tx1"/>
            </w14:solidFill>
          </w14:textFill>
        </w:rPr>
        <w:t>. Cambridge, Mass.: National Bureau of Economic Research.</w:t>
      </w:r>
    </w:p>
    <w:p>
      <w:pPr>
        <w:spacing w:before="240" w:beforeLines="100" w:after="120"/>
        <w:ind w:left="480" w:hanging="480" w:hangingChars="200"/>
        <w:rPr>
          <w:rFonts w:eastAsia="Arial" w:cs="Times New Roman"/>
          <w:color w:val="000000" w:themeColor="text1"/>
          <w14:textFill>
            <w14:solidFill>
              <w14:schemeClr w14:val="tx1"/>
            </w14:solidFill>
          </w14:textFill>
        </w:rPr>
      </w:pPr>
      <w:r>
        <w:rPr>
          <w:rFonts w:cs="Times New Roman"/>
          <w:kern w:val="3"/>
        </w:rPr>
        <w:t xml:space="preserve">Guiso, L., Sapienza, P. and Zingales, L. (2015). Corporate Culture, Societal Culture, and Institutions. </w:t>
      </w:r>
      <w:r>
        <w:rPr>
          <w:rFonts w:cs="Times New Roman"/>
          <w:i/>
          <w:kern w:val="3"/>
        </w:rPr>
        <w:t>American Economic Review</w:t>
      </w:r>
      <w:r>
        <w:rPr>
          <w:rFonts w:cs="Times New Roman"/>
          <w:kern w:val="3"/>
        </w:rPr>
        <w:t>, 105(5), pp.336-339.</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Haifeng, L. (2015). The College Entrance Examination in China. </w:t>
      </w:r>
      <w:r>
        <w:rPr>
          <w:rFonts w:cs="Times New Roman"/>
          <w:i/>
          <w:color w:val="000000" w:themeColor="text1"/>
          <w14:textFill>
            <w14:solidFill>
              <w14:schemeClr w14:val="tx1"/>
            </w14:solidFill>
          </w14:textFill>
        </w:rPr>
        <w:t>International Higher Education</w:t>
      </w:r>
      <w:r>
        <w:rPr>
          <w:rFonts w:cs="Times New Roman"/>
          <w:color w:val="000000" w:themeColor="text1"/>
          <w14:textFill>
            <w14:solidFill>
              <w14:schemeClr w14:val="tx1"/>
            </w14:solidFill>
          </w14:textFill>
        </w:rPr>
        <w:t>, (68), p.23.</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Hu, G., Yang, Y. and Tang, L. (2018). Retraction and Research Integrity Education in China. </w:t>
      </w:r>
      <w:r>
        <w:rPr>
          <w:rFonts w:cs="Times New Roman"/>
          <w:i/>
          <w:color w:val="000000" w:themeColor="text1"/>
          <w14:textFill>
            <w14:solidFill>
              <w14:schemeClr w14:val="tx1"/>
            </w14:solidFill>
          </w14:textFill>
        </w:rPr>
        <w:t>Science and Engineering Ethics</w:t>
      </w:r>
      <w:r>
        <w:rPr>
          <w:rFonts w:cs="Times New Roman"/>
          <w:color w:val="000000" w:themeColor="text1"/>
          <w14:textFill>
            <w14:solidFill>
              <w14:schemeClr w14:val="tx1"/>
            </w14:solidFill>
          </w14:textFill>
        </w:rPr>
        <w:t>.</w:t>
      </w:r>
    </w:p>
    <w:p>
      <w:pPr>
        <w:spacing w:before="240" w:beforeLines="100" w:after="120"/>
        <w:ind w:left="480" w:hanging="480" w:hangingChars="200"/>
        <w:rPr>
          <w:rFonts w:eastAsia="sans-serif" w:cs="Times New Roman"/>
          <w:color w:val="000000" w:themeColor="text1"/>
          <w14:textFill>
            <w14:solidFill>
              <w14:schemeClr w14:val="tx1"/>
            </w14:solidFill>
          </w14:textFill>
        </w:rPr>
      </w:pPr>
      <w:r>
        <w:rPr>
          <w:rFonts w:eastAsia="sans-serif" w:cs="Times New Roman"/>
          <w:color w:val="000000" w:themeColor="text1"/>
          <w14:textFill>
            <w14:solidFill>
              <w14:schemeClr w14:val="tx1"/>
            </w14:solidFill>
          </w14:textFill>
        </w:rPr>
        <w:t xml:space="preserve">Hair, Joseph F., et al. </w:t>
      </w:r>
      <w:r>
        <w:rPr>
          <w:rFonts w:eastAsia="sans-serif" w:cs="Times New Roman"/>
          <w:i/>
          <w:iCs/>
          <w:color w:val="000000" w:themeColor="text1"/>
          <w14:textFill>
            <w14:solidFill>
              <w14:schemeClr w14:val="tx1"/>
            </w14:solidFill>
          </w14:textFill>
        </w:rPr>
        <w:t>Multivariate Data Analysis: A Global Perspective</w:t>
      </w:r>
      <w:r>
        <w:rPr>
          <w:rFonts w:eastAsia="sans-serif" w:cs="Times New Roman"/>
          <w:color w:val="000000" w:themeColor="text1"/>
          <w14:textFill>
            <w14:solidFill>
              <w14:schemeClr w14:val="tx1"/>
            </w14:solidFill>
          </w14:textFill>
        </w:rPr>
        <w:t>. 7th ed. Upper Saddle River: Prentice Hall, 2009. Print.</w:t>
      </w:r>
    </w:p>
    <w:p>
      <w:pPr>
        <w:spacing w:before="240" w:beforeLines="100" w:after="120"/>
        <w:ind w:left="480" w:hanging="480" w:hangingChars="200"/>
        <w:rPr>
          <w:rFonts w:cs="Times New Roman"/>
          <w:kern w:val="3"/>
        </w:rPr>
      </w:pPr>
      <w:r>
        <w:rPr>
          <w:rFonts w:cs="Times New Roman"/>
          <w:kern w:val="3"/>
        </w:rPr>
        <w:t xml:space="preserve">Hickman, C. and Silva, M. (2018). </w:t>
      </w:r>
      <w:r>
        <w:rPr>
          <w:rFonts w:cs="Times New Roman"/>
          <w:i/>
          <w:kern w:val="3"/>
        </w:rPr>
        <w:t>Creating Excellence</w:t>
      </w:r>
      <w:r>
        <w:rPr>
          <w:rFonts w:cs="Times New Roman"/>
          <w:kern w:val="3"/>
        </w:rPr>
        <w:t>. Milton: Routledge.</w:t>
      </w:r>
    </w:p>
    <w:p>
      <w:pPr>
        <w:spacing w:before="240" w:beforeLines="100" w:after="120"/>
        <w:ind w:left="480" w:hanging="480" w:hangingChars="200"/>
        <w:rPr>
          <w:rFonts w:cs="Times New Roman"/>
          <w:kern w:val="3"/>
        </w:rPr>
      </w:pPr>
      <w:r>
        <w:rPr>
          <w:rFonts w:cs="Times New Roman"/>
          <w:kern w:val="3"/>
        </w:rPr>
        <w:t xml:space="preserve">Hickman, C. and Silva, M. (2018). </w:t>
      </w:r>
      <w:r>
        <w:rPr>
          <w:rFonts w:cs="Times New Roman"/>
          <w:i/>
          <w:kern w:val="3"/>
        </w:rPr>
        <w:t>Creating Excellence</w:t>
      </w:r>
      <w:r>
        <w:rPr>
          <w:rFonts w:cs="Times New Roman"/>
          <w:kern w:val="3"/>
        </w:rPr>
        <w:t>. Milton: Routledge.</w:t>
      </w:r>
    </w:p>
    <w:p>
      <w:pPr>
        <w:spacing w:before="240" w:beforeLines="100" w:after="120"/>
        <w:ind w:left="480" w:hanging="480" w:hangingChars="200"/>
        <w:rPr>
          <w:rFonts w:cs="Times New Roman"/>
          <w:kern w:val="3"/>
        </w:rPr>
      </w:pPr>
      <w:r>
        <w:rPr>
          <w:rFonts w:cs="Times New Roman"/>
          <w:kern w:val="3"/>
        </w:rPr>
        <w:t xml:space="preserve">Howard-Grenville, J. (2009). </w:t>
      </w:r>
      <w:r>
        <w:rPr>
          <w:rFonts w:cs="Times New Roman"/>
          <w:i/>
          <w:kern w:val="3"/>
        </w:rPr>
        <w:t>Corporate culture and environmental practice</w:t>
      </w:r>
      <w:r>
        <w:rPr>
          <w:rFonts w:cs="Times New Roman"/>
          <w:kern w:val="3"/>
        </w:rPr>
        <w:t>. Cheltenham: Edward Elgar.</w:t>
      </w:r>
    </w:p>
    <w:p>
      <w:pPr>
        <w:spacing w:before="240" w:beforeLines="100" w:after="120"/>
        <w:ind w:left="480" w:hanging="480" w:hangingChars="200"/>
        <w:rPr>
          <w:rFonts w:cs="Times New Roman"/>
          <w:kern w:val="3"/>
        </w:rPr>
      </w:pPr>
      <w:r>
        <w:rPr>
          <w:rFonts w:cs="Times New Roman"/>
          <w:kern w:val="3"/>
        </w:rPr>
        <w:t xml:space="preserve">Hawes, C. (2015). </w:t>
      </w:r>
      <w:r>
        <w:rPr>
          <w:rFonts w:cs="Times New Roman"/>
          <w:i/>
          <w:kern w:val="3"/>
        </w:rPr>
        <w:t>Chinese transformation of corporate culture</w:t>
      </w:r>
      <w:r>
        <w:rPr>
          <w:rFonts w:cs="Times New Roman"/>
          <w:kern w:val="3"/>
        </w:rPr>
        <w:t>. Routledge.</w:t>
      </w:r>
    </w:p>
    <w:p>
      <w:pPr>
        <w:spacing w:before="240" w:beforeLines="100" w:after="120"/>
        <w:ind w:left="480" w:hanging="480" w:hangingChars="200"/>
        <w:rPr>
          <w:rFonts w:cs="Times New Roman"/>
          <w:kern w:val="3"/>
        </w:rPr>
      </w:pPr>
      <w:r>
        <w:rPr>
          <w:rFonts w:cs="Times New Roman"/>
          <w:kern w:val="3"/>
        </w:rPr>
        <w:t xml:space="preserve">Herrmann-Pillath, C. (2016). </w:t>
      </w:r>
      <w:r>
        <w:rPr>
          <w:rFonts w:cs="Times New Roman"/>
          <w:i/>
          <w:kern w:val="3"/>
        </w:rPr>
        <w:t>China's Economic Culture</w:t>
      </w:r>
      <w:r>
        <w:rPr>
          <w:rFonts w:cs="Times New Roman"/>
          <w:kern w:val="3"/>
        </w:rPr>
        <w:t>. Florence: Taylor and Francis.</w:t>
      </w:r>
    </w:p>
    <w:p>
      <w:pPr>
        <w:spacing w:before="240" w:beforeLines="100" w:after="120"/>
        <w:ind w:left="480" w:hanging="480" w:hangingChars="200"/>
        <w:rPr>
          <w:rFonts w:eastAsia="Arial"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Holm, A. and Lundström, U. (2011). “Living with Market Forces”Principals’ Perceptions of Market Competition in Swedish Upper Secondary School Education. </w:t>
      </w:r>
      <w:r>
        <w:rPr>
          <w:rFonts w:eastAsia="Arial" w:cs="Times New Roman"/>
          <w:i/>
          <w:color w:val="000000" w:themeColor="text1"/>
          <w14:textFill>
            <w14:solidFill>
              <w14:schemeClr w14:val="tx1"/>
            </w14:solidFill>
          </w14:textFill>
        </w:rPr>
        <w:t>Education Inquiry</w:t>
      </w:r>
      <w:r>
        <w:rPr>
          <w:rFonts w:eastAsia="Arial" w:cs="Times New Roman"/>
          <w:color w:val="000000" w:themeColor="text1"/>
          <w14:textFill>
            <w14:solidFill>
              <w14:schemeClr w14:val="tx1"/>
            </w14:solidFill>
          </w14:textFill>
        </w:rPr>
        <w:t>, 2(4), pp.601-617.</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kern w:val="3"/>
        </w:rPr>
        <w:t xml:space="preserve">Iribarne, P. (2012). </w:t>
      </w:r>
      <w:r>
        <w:rPr>
          <w:rFonts w:cs="Times New Roman"/>
          <w:i/>
          <w:kern w:val="3"/>
        </w:rPr>
        <w:t>Managing corporate values in diverse national cultures</w:t>
      </w:r>
      <w:r>
        <w:rPr>
          <w:rFonts w:cs="Times New Roman"/>
          <w:kern w:val="3"/>
        </w:rPr>
        <w:t>. Abingdon, Oxon: Routledge.</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Jain, S. (2012). Compendium Alternative Investments Education Series. </w:t>
      </w:r>
      <w:r>
        <w:rPr>
          <w:rFonts w:cs="Times New Roman"/>
          <w:i/>
          <w:color w:val="000000" w:themeColor="text1"/>
          <w14:textFill>
            <w14:solidFill>
              <w14:schemeClr w14:val="tx1"/>
            </w14:solidFill>
          </w14:textFill>
        </w:rPr>
        <w:t>SSRN Electronic Journal</w:t>
      </w:r>
      <w:r>
        <w:rPr>
          <w:rFonts w:cs="Times New Roman"/>
          <w:color w:val="000000" w:themeColor="text1"/>
          <w14:textFill>
            <w14:solidFill>
              <w14:schemeClr w14:val="tx1"/>
            </w14:solidFill>
          </w14:textFill>
        </w:rPr>
        <w:t>.</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Jia, J. (2015). Route Choice: Higher Vocational Education to Further Development in China. </w:t>
      </w:r>
      <w:r>
        <w:rPr>
          <w:rFonts w:cs="Times New Roman"/>
          <w:i/>
          <w:color w:val="000000" w:themeColor="text1"/>
          <w14:textFill>
            <w14:solidFill>
              <w14:schemeClr w14:val="tx1"/>
            </w14:solidFill>
          </w14:textFill>
        </w:rPr>
        <w:t>Education Journal</w:t>
      </w:r>
      <w:r>
        <w:rPr>
          <w:rFonts w:cs="Times New Roman"/>
          <w:color w:val="000000" w:themeColor="text1"/>
          <w14:textFill>
            <w14:solidFill>
              <w14:schemeClr w14:val="tx1"/>
            </w14:solidFill>
          </w14:textFill>
        </w:rPr>
        <w:t>, 4(6), p.352.</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Jian, S. (2013). Age Distribution of a Zero-Growth Population: Implications for China. </w:t>
      </w:r>
      <w:r>
        <w:rPr>
          <w:rFonts w:cs="Times New Roman"/>
          <w:i/>
          <w:color w:val="000000" w:themeColor="text1"/>
          <w14:textFill>
            <w14:solidFill>
              <w14:schemeClr w14:val="tx1"/>
            </w14:solidFill>
          </w14:textFill>
        </w:rPr>
        <w:t>Chinese Studies</w:t>
      </w:r>
      <w:r>
        <w:rPr>
          <w:rFonts w:cs="Times New Roman"/>
          <w:color w:val="000000" w:themeColor="text1"/>
          <w14:textFill>
            <w14:solidFill>
              <w14:schemeClr w14:val="tx1"/>
            </w14:solidFill>
          </w14:textFill>
        </w:rPr>
        <w:t>, 02(02), pp.77-83.</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John, R. (2015). Projecting Power Overseas: U.S. Postal Policy and International Standard-Setting at the 1863 Paris Postal Conference. </w:t>
      </w:r>
      <w:r>
        <w:rPr>
          <w:rFonts w:cs="Times New Roman"/>
          <w:i/>
          <w:color w:val="000000" w:themeColor="text1"/>
          <w14:textFill>
            <w14:solidFill>
              <w14:schemeClr w14:val="tx1"/>
            </w14:solidFill>
          </w14:textFill>
        </w:rPr>
        <w:t>Journal of Policy History</w:t>
      </w:r>
      <w:r>
        <w:rPr>
          <w:rFonts w:cs="Times New Roman"/>
          <w:color w:val="000000" w:themeColor="text1"/>
          <w14:textFill>
            <w14:solidFill>
              <w14:schemeClr w14:val="tx1"/>
            </w14:solidFill>
          </w14:textFill>
        </w:rPr>
        <w:t>, 27(03), pp.416-438.</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Kilic, C. (2013). Parents’ opinions of the pre-school education concerning pre-school education institutions. </w:t>
      </w:r>
      <w:r>
        <w:rPr>
          <w:rFonts w:cs="Times New Roman"/>
          <w:i/>
          <w:color w:val="000000" w:themeColor="text1"/>
          <w14:textFill>
            <w14:solidFill>
              <w14:schemeClr w14:val="tx1"/>
            </w14:solidFill>
          </w14:textFill>
        </w:rPr>
        <w:t>International Journal of Academic Research</w:t>
      </w:r>
      <w:r>
        <w:rPr>
          <w:rFonts w:cs="Times New Roman"/>
          <w:color w:val="000000" w:themeColor="text1"/>
          <w14:textFill>
            <w14:solidFill>
              <w14:schemeClr w14:val="tx1"/>
            </w14:solidFill>
          </w14:textFill>
        </w:rPr>
        <w:t>, 5(6), pp.37-40.</w:t>
      </w:r>
    </w:p>
    <w:p>
      <w:pPr>
        <w:spacing w:before="240" w:beforeLines="100" w:after="120"/>
        <w:ind w:left="480" w:hanging="480" w:hangingChars="200"/>
        <w:rPr>
          <w:rFonts w:eastAsia="Arial"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Khan, D. (2011). Fostering Sustainable Development and Environmental Education Programmes: Role of Teacher Training Institutions and Colleges of Teacher Education. </w:t>
      </w:r>
      <w:r>
        <w:rPr>
          <w:rFonts w:eastAsia="Arial" w:cs="Times New Roman"/>
          <w:i/>
          <w:color w:val="000000" w:themeColor="text1"/>
          <w14:textFill>
            <w14:solidFill>
              <w14:schemeClr w14:val="tx1"/>
            </w14:solidFill>
          </w14:textFill>
        </w:rPr>
        <w:t>Indian Journal of Applied Research</w:t>
      </w:r>
      <w:r>
        <w:rPr>
          <w:rFonts w:eastAsia="Arial" w:cs="Times New Roman"/>
          <w:color w:val="000000" w:themeColor="text1"/>
          <w14:textFill>
            <w14:solidFill>
              <w14:schemeClr w14:val="tx1"/>
            </w14:solidFill>
          </w14:textFill>
        </w:rPr>
        <w:t>, 3(5), pp.194-200.</w:t>
      </w:r>
    </w:p>
    <w:p>
      <w:pPr>
        <w:spacing w:before="240" w:beforeLines="100" w:after="120"/>
        <w:ind w:left="480" w:hanging="480" w:hangingChars="200"/>
        <w:rPr>
          <w:rFonts w:eastAsia="Arial"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Kothari, S. and Rajagopal, R. (2013). </w:t>
      </w:r>
      <w:r>
        <w:rPr>
          <w:rFonts w:eastAsia="Arial" w:cs="Times New Roman"/>
          <w:i/>
          <w:color w:val="000000" w:themeColor="text1"/>
          <w14:textFill>
            <w14:solidFill>
              <w14:schemeClr w14:val="tx1"/>
            </w14:solidFill>
          </w14:textFill>
        </w:rPr>
        <w:t>Clinical profile of patients with peripheral ulcerative keratitis</w:t>
      </w:r>
      <w:r>
        <w:rPr>
          <w:rFonts w:eastAsia="Arial" w:cs="Times New Roman"/>
          <w:color w:val="000000" w:themeColor="text1"/>
          <w14:textFill>
            <w14:solidFill>
              <w14:schemeClr w14:val="tx1"/>
            </w14:solidFill>
          </w14:textFill>
        </w:rPr>
        <w:t>. Saarbrücken: Scholars' Press.</w:t>
      </w:r>
    </w:p>
    <w:p>
      <w:pPr>
        <w:spacing w:before="240" w:beforeLines="100" w:after="120"/>
        <w:ind w:left="480" w:hanging="480" w:hangingChars="200"/>
        <w:rPr>
          <w:rFonts w:eastAsia="Arial" w:cs="Times New Roman"/>
          <w:color w:val="000000" w:themeColor="text1"/>
          <w14:textFill>
            <w14:solidFill>
              <w14:schemeClr w14:val="tx1"/>
            </w14:solidFill>
          </w14:textFill>
        </w:rPr>
      </w:pPr>
      <w:r>
        <w:rPr>
          <w:rFonts w:cs="Times New Roman"/>
          <w:kern w:val="3"/>
        </w:rPr>
        <w:t xml:space="preserve">Ko, H. (2016). </w:t>
      </w:r>
      <w:r>
        <w:rPr>
          <w:rFonts w:cs="Times New Roman"/>
          <w:i/>
          <w:kern w:val="3"/>
        </w:rPr>
        <w:t>The Making of the Modern Chinese State</w:t>
      </w:r>
      <w:r>
        <w:rPr>
          <w:rFonts w:cs="Times New Roman"/>
          <w:kern w:val="3"/>
        </w:rPr>
        <w:t>. Singapore: Springer Singapore.</w:t>
      </w:r>
    </w:p>
    <w:p>
      <w:pPr>
        <w:spacing w:before="240" w:beforeLines="100" w:after="120"/>
        <w:ind w:left="480" w:hanging="480" w:hangingChars="200"/>
        <w:rPr>
          <w:rFonts w:eastAsia="Arial"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Loyola Tyutereva, D. (2013). International Market for Higher Education and a Higher Education Policy: The Case of France and China. </w:t>
      </w:r>
      <w:r>
        <w:rPr>
          <w:rFonts w:eastAsia="Arial" w:cs="Times New Roman"/>
          <w:i/>
          <w:color w:val="000000" w:themeColor="text1"/>
          <w14:textFill>
            <w14:solidFill>
              <w14:schemeClr w14:val="tx1"/>
            </w14:solidFill>
          </w14:textFill>
        </w:rPr>
        <w:t>International Journal for Cross-Disciplinary Subjects in Education</w:t>
      </w:r>
      <w:r>
        <w:rPr>
          <w:rFonts w:eastAsia="Arial" w:cs="Times New Roman"/>
          <w:color w:val="000000" w:themeColor="text1"/>
          <w14:textFill>
            <w14:solidFill>
              <w14:schemeClr w14:val="tx1"/>
            </w14:solidFill>
          </w14:textFill>
        </w:rPr>
        <w:t>, 4(3), pp.1256-1262.</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Li, A. (2018). “One Belt One Road” and Central Asia: A New Trend in Internationalization of Higher Education?. </w:t>
      </w:r>
      <w:r>
        <w:rPr>
          <w:rFonts w:cs="Times New Roman"/>
          <w:i/>
          <w:color w:val="000000" w:themeColor="text1"/>
          <w14:textFill>
            <w14:solidFill>
              <w14:schemeClr w14:val="tx1"/>
            </w14:solidFill>
          </w14:textFill>
        </w:rPr>
        <w:t>International Higher Education</w:t>
      </w:r>
      <w:r>
        <w:rPr>
          <w:rFonts w:cs="Times New Roman"/>
          <w:color w:val="000000" w:themeColor="text1"/>
          <w14:textFill>
            <w14:solidFill>
              <w14:schemeClr w14:val="tx1"/>
            </w14:solidFill>
          </w14:textFill>
        </w:rPr>
        <w:t>, (92), p.14.</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Li, T. (2012). Remedial Education with Incentivized Peer-Tutoring: Evidence from Migrant Children Schools in China. </w:t>
      </w:r>
      <w:r>
        <w:rPr>
          <w:rFonts w:cs="Times New Roman"/>
          <w:i/>
          <w:color w:val="000000" w:themeColor="text1"/>
          <w14:textFill>
            <w14:solidFill>
              <w14:schemeClr w14:val="tx1"/>
            </w14:solidFill>
          </w14:textFill>
        </w:rPr>
        <w:t>The Developing Economies</w:t>
      </w:r>
      <w:r>
        <w:rPr>
          <w:rFonts w:cs="Times New Roman"/>
          <w:color w:val="000000" w:themeColor="text1"/>
          <w14:textFill>
            <w14:solidFill>
              <w14:schemeClr w14:val="tx1"/>
            </w14:solidFill>
          </w14:textFill>
        </w:rPr>
        <w:t>, 50(4), pp.334-350.</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Lin, J. (2015). China: Private Trends. </w:t>
      </w:r>
      <w:r>
        <w:rPr>
          <w:rFonts w:cs="Times New Roman"/>
          <w:i/>
          <w:color w:val="000000" w:themeColor="text1"/>
          <w14:textFill>
            <w14:solidFill>
              <w14:schemeClr w14:val="tx1"/>
            </w14:solidFill>
          </w14:textFill>
        </w:rPr>
        <w:t>International Higher Education</w:t>
      </w:r>
      <w:r>
        <w:rPr>
          <w:rFonts w:cs="Times New Roman"/>
          <w:color w:val="000000" w:themeColor="text1"/>
          <w14:textFill>
            <w14:solidFill>
              <w14:schemeClr w14:val="tx1"/>
            </w14:solidFill>
          </w14:textFill>
        </w:rPr>
        <w:t>, (36).</w:t>
      </w:r>
    </w:p>
    <w:p>
      <w:pPr>
        <w:spacing w:before="240" w:beforeLines="100" w:after="120"/>
        <w:ind w:left="480" w:hanging="480" w:hangingChars="200"/>
        <w:rPr>
          <w:rFonts w:cs="Times New Roman"/>
          <w:kern w:val="3"/>
        </w:rPr>
      </w:pPr>
      <w:r>
        <w:rPr>
          <w:rFonts w:cs="Times New Roman"/>
          <w:kern w:val="3"/>
        </w:rPr>
        <w:t xml:space="preserve">Li, L. (2017). Chinese Activities and Chinese Culture Within Community Arts in Melbourne. </w:t>
      </w:r>
      <w:r>
        <w:rPr>
          <w:rFonts w:cs="Times New Roman"/>
          <w:i/>
          <w:kern w:val="3"/>
        </w:rPr>
        <w:t>International Journal of Literature and Arts</w:t>
      </w:r>
      <w:r>
        <w:rPr>
          <w:rFonts w:cs="Times New Roman"/>
          <w:kern w:val="3"/>
        </w:rPr>
        <w:t>, 5(4), p.40.</w:t>
      </w:r>
    </w:p>
    <w:p>
      <w:pPr>
        <w:spacing w:before="240" w:beforeLines="100" w:after="120"/>
        <w:ind w:left="520" w:right="838" w:hanging="520" w:hangingChars="200"/>
        <w:rPr>
          <w:rFonts w:cs="Times New Roman"/>
          <w:kern w:val="3"/>
        </w:rPr>
      </w:pPr>
      <w:r>
        <w:rPr>
          <w:rFonts w:cs="Times New Roman"/>
          <w:sz w:val="26"/>
        </w:rPr>
        <w:t>Leon, A. C., Davis, L. L., &amp; Kraemer, H. C. (2011). The role and interpretation of pilot studies in clinical research. Journal of psychiatric research, 45(5), 626- 629.</w:t>
      </w:r>
    </w:p>
    <w:p>
      <w:pPr>
        <w:spacing w:before="240" w:beforeLines="100" w:after="120"/>
        <w:ind w:left="480" w:hanging="480" w:hangingChars="200"/>
        <w:rPr>
          <w:rFonts w:eastAsia="Arial"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Leedy, P. and Ormrod, J. (2010). </w:t>
      </w:r>
      <w:r>
        <w:rPr>
          <w:rFonts w:eastAsia="Arial" w:cs="Times New Roman"/>
          <w:i/>
          <w:color w:val="000000" w:themeColor="text1"/>
          <w14:textFill>
            <w14:solidFill>
              <w14:schemeClr w14:val="tx1"/>
            </w14:solidFill>
          </w14:textFill>
        </w:rPr>
        <w:t>Practical research</w:t>
      </w:r>
      <w:r>
        <w:rPr>
          <w:rFonts w:eastAsia="Arial" w:cs="Times New Roman"/>
          <w:color w:val="000000" w:themeColor="text1"/>
          <w14:textFill>
            <w14:solidFill>
              <w14:schemeClr w14:val="tx1"/>
            </w14:solidFill>
          </w14:textFill>
        </w:rPr>
        <w:t>. Upper Saddle River, NJ: Merrill.</w:t>
      </w:r>
    </w:p>
    <w:p>
      <w:pPr>
        <w:spacing w:before="240" w:beforeLines="100" w:after="120"/>
        <w:ind w:left="480" w:hanging="480" w:hangingChars="200"/>
        <w:rPr>
          <w:rFonts w:eastAsia="sans-serif" w:cs="Times New Roman"/>
          <w:color w:val="000000" w:themeColor="text1"/>
          <w14:textFill>
            <w14:solidFill>
              <w14:schemeClr w14:val="tx1"/>
            </w14:solidFill>
          </w14:textFill>
        </w:rPr>
      </w:pPr>
      <w:r>
        <w:rPr>
          <w:rFonts w:eastAsia="sans-serif" w:cs="Times New Roman"/>
          <w:color w:val="000000" w:themeColor="text1"/>
          <w14:textFill>
            <w14:solidFill>
              <w14:schemeClr w14:val="tx1"/>
            </w14:solidFill>
          </w14:textFill>
        </w:rPr>
        <w:t>Rahi S (2017) Research Design and Methods: A Systematic Review of Research Paradigms, Sampling Issues and Instruments Development. Int J Econ Manag Sci 6: 403.</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Morgan, G. (2016). Allied healthcare undergraduate education: international students at the clinical interface. </w:t>
      </w:r>
      <w:r>
        <w:rPr>
          <w:rFonts w:cs="Times New Roman"/>
          <w:i/>
          <w:color w:val="000000" w:themeColor="text1"/>
          <w14:textFill>
            <w14:solidFill>
              <w14:schemeClr w14:val="tx1"/>
            </w14:solidFill>
          </w14:textFill>
        </w:rPr>
        <w:t>Journal of Further and Higher Education</w:t>
      </w:r>
      <w:r>
        <w:rPr>
          <w:rFonts w:cs="Times New Roman"/>
          <w:color w:val="000000" w:themeColor="text1"/>
          <w14:textFill>
            <w14:solidFill>
              <w14:schemeClr w14:val="tx1"/>
            </w14:solidFill>
          </w14:textFill>
        </w:rPr>
        <w:t>, 41(3), pp.286-300.</w:t>
      </w:r>
    </w:p>
    <w:p>
      <w:pPr>
        <w:spacing w:before="240" w:beforeLines="100" w:after="120"/>
        <w:ind w:left="480" w:hanging="480" w:hangingChars="200"/>
        <w:rPr>
          <w:rFonts w:cs="Times New Roman"/>
          <w:kern w:val="3"/>
        </w:rPr>
      </w:pPr>
      <w:r>
        <w:rPr>
          <w:rFonts w:cs="Times New Roman"/>
          <w:kern w:val="3"/>
        </w:rPr>
        <w:t xml:space="preserve">Miller, I. (2011). </w:t>
      </w:r>
      <w:r>
        <w:rPr>
          <w:rFonts w:cs="Times New Roman"/>
          <w:i/>
          <w:kern w:val="3"/>
        </w:rPr>
        <w:t>Weight management for triathletes</w:t>
      </w:r>
      <w:r>
        <w:rPr>
          <w:rFonts w:cs="Times New Roman"/>
          <w:kern w:val="3"/>
        </w:rPr>
        <w:t>. Aachen: Meyer &amp; Meyer Sport.</w:t>
      </w:r>
    </w:p>
    <w:p>
      <w:pPr>
        <w:spacing w:before="240" w:beforeLines="100" w:after="120"/>
        <w:ind w:left="480" w:hanging="480" w:hangingChars="200"/>
        <w:rPr>
          <w:rFonts w:cs="Times New Roman"/>
          <w:kern w:val="3"/>
        </w:rPr>
      </w:pPr>
      <w:r>
        <w:rPr>
          <w:rFonts w:cs="Times New Roman"/>
          <w:kern w:val="3"/>
        </w:rPr>
        <w:t xml:space="preserve">Mullins, L. (2011). </w:t>
      </w:r>
      <w:r>
        <w:rPr>
          <w:rFonts w:cs="Times New Roman"/>
          <w:i/>
          <w:kern w:val="3"/>
        </w:rPr>
        <w:t>Essentials of organisational behaviour</w:t>
      </w:r>
      <w:r>
        <w:rPr>
          <w:rFonts w:cs="Times New Roman"/>
          <w:kern w:val="3"/>
        </w:rPr>
        <w:t>. Harlow, England: Financial Times Prentice Hall/Pearson.</w:t>
      </w:r>
    </w:p>
    <w:p>
      <w:pPr>
        <w:spacing w:before="240" w:beforeLines="100" w:after="120"/>
        <w:ind w:left="480" w:hanging="480" w:hangingChars="200"/>
        <w:rPr>
          <w:rFonts w:cs="Times New Roman"/>
          <w:kern w:val="3"/>
        </w:rPr>
      </w:pPr>
      <w:r>
        <w:rPr>
          <w:rFonts w:cs="Times New Roman"/>
          <w:kern w:val="3"/>
        </w:rPr>
        <w:t xml:space="preserve">Ma, H. (2012). </w:t>
      </w:r>
      <w:r>
        <w:rPr>
          <w:rFonts w:cs="Times New Roman"/>
          <w:i/>
          <w:kern w:val="3"/>
        </w:rPr>
        <w:t>The Images of Science through Cultural Lenses</w:t>
      </w:r>
      <w:r>
        <w:rPr>
          <w:rFonts w:cs="Times New Roman"/>
          <w:kern w:val="3"/>
        </w:rPr>
        <w:t>. Rotterdam: SensePublishers.</w:t>
      </w:r>
    </w:p>
    <w:p>
      <w:pPr>
        <w:spacing w:before="240" w:beforeLines="100" w:after="120"/>
        <w:ind w:left="480" w:hanging="480" w:hangingChars="200"/>
        <w:rPr>
          <w:rFonts w:cs="Times New Roman"/>
          <w:kern w:val="3"/>
        </w:rPr>
      </w:pPr>
      <w:r>
        <w:rPr>
          <w:rFonts w:cs="Times New Roman"/>
          <w:kern w:val="3"/>
        </w:rPr>
        <w:t xml:space="preserve">Manning, E. (2012). </w:t>
      </w:r>
      <w:r>
        <w:rPr>
          <w:rFonts w:cs="Times New Roman"/>
          <w:i/>
          <w:kern w:val="3"/>
        </w:rPr>
        <w:t>Up the Corporate Ladder</w:t>
      </w:r>
      <w:r>
        <w:rPr>
          <w:rFonts w:cs="Times New Roman"/>
          <w:kern w:val="3"/>
        </w:rPr>
        <w:t>. Cape Town: Penguin Random House South Africa.</w:t>
      </w:r>
    </w:p>
    <w:p>
      <w:pPr>
        <w:spacing w:before="240" w:beforeLines="100" w:after="120"/>
        <w:ind w:left="480" w:hanging="480" w:hangingChars="200"/>
        <w:rPr>
          <w:rFonts w:cs="Times New Roman"/>
          <w:kern w:val="3"/>
        </w:rPr>
      </w:pPr>
      <w:r>
        <w:rPr>
          <w:rFonts w:cs="Times New Roman"/>
          <w:kern w:val="3"/>
        </w:rPr>
        <w:t xml:space="preserve">Manzoni, J. (2012). Building and Nurturing a High Performance - High Integrity Corporate Culture. </w:t>
      </w:r>
      <w:r>
        <w:rPr>
          <w:rFonts w:cs="Times New Roman"/>
          <w:i/>
          <w:kern w:val="3"/>
        </w:rPr>
        <w:t>SSRN Electronic Journal</w:t>
      </w:r>
      <w:r>
        <w:rPr>
          <w:rFonts w:cs="Times New Roman"/>
          <w:kern w:val="3"/>
        </w:rPr>
        <w:t>.</w:t>
      </w:r>
    </w:p>
    <w:p>
      <w:pPr>
        <w:spacing w:before="240" w:beforeLines="100" w:after="120"/>
        <w:ind w:left="480" w:hanging="480" w:hangingChars="200"/>
        <w:rPr>
          <w:rFonts w:cs="Times New Roman"/>
          <w:kern w:val="3"/>
        </w:rPr>
      </w:pPr>
      <w:r>
        <w:rPr>
          <w:rFonts w:cs="Times New Roman"/>
          <w:kern w:val="3"/>
        </w:rPr>
        <w:t xml:space="preserve">Mizruchi, M. (2013). </w:t>
      </w:r>
      <w:r>
        <w:rPr>
          <w:rFonts w:cs="Times New Roman"/>
          <w:i/>
          <w:kern w:val="3"/>
        </w:rPr>
        <w:t>The fracturing of the American corporate elite</w:t>
      </w:r>
      <w:r>
        <w:rPr>
          <w:rFonts w:cs="Times New Roman"/>
          <w:kern w:val="3"/>
        </w:rPr>
        <w:t>. Cambridge, Massachusetts: Harvard University Press.</w:t>
      </w:r>
    </w:p>
    <w:p>
      <w:pPr>
        <w:spacing w:before="240" w:beforeLines="100" w:after="120"/>
        <w:ind w:left="480" w:hanging="480" w:hangingChars="200"/>
        <w:rPr>
          <w:rFonts w:eastAsia="sans-serif"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Mazzanti, E. (2011). </w:t>
      </w:r>
      <w:r>
        <w:rPr>
          <w:rFonts w:eastAsia="Arial" w:cs="Times New Roman"/>
          <w:i/>
          <w:color w:val="000000" w:themeColor="text1"/>
          <w14:textFill>
            <w14:solidFill>
              <w14:schemeClr w14:val="tx1"/>
            </w14:solidFill>
          </w14:textFill>
        </w:rPr>
        <w:t>Harwell</w:t>
      </w:r>
      <w:r>
        <w:rPr>
          <w:rFonts w:eastAsia="Arial" w:cs="Times New Roman"/>
          <w:color w:val="000000" w:themeColor="text1"/>
          <w14:textFill>
            <w14:solidFill>
              <w14:schemeClr w14:val="tx1"/>
            </w14:solidFill>
          </w14:textFill>
        </w:rPr>
        <w:t>.</w:t>
      </w:r>
      <w:r>
        <w:rPr>
          <w:rFonts w:eastAsia="宋体" w:cs="Times New Roman"/>
          <w:color w:val="000000" w:themeColor="text1"/>
          <w14:textFill>
            <w14:solidFill>
              <w14:schemeClr w14:val="tx1"/>
            </w14:solidFill>
          </w14:textFill>
        </w:rPr>
        <w:t xml:space="preserve"> </w:t>
      </w:r>
      <w:r>
        <w:rPr>
          <w:rFonts w:eastAsia="Arial" w:cs="Times New Roman"/>
          <w:color w:val="000000" w:themeColor="text1"/>
          <w14:textFill>
            <w14:solidFill>
              <w14:schemeClr w14:val="tx1"/>
            </w14:solidFill>
          </w14:textFill>
        </w:rPr>
        <w:t>Gale Ecco, U S Supreme C.</w:t>
      </w:r>
    </w:p>
    <w:p>
      <w:pPr>
        <w:spacing w:before="240" w:beforeLines="100" w:after="120"/>
        <w:ind w:left="480" w:hanging="480" w:hangingChars="200"/>
        <w:rPr>
          <w:rFonts w:eastAsia="Arial"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Morse, J. and Niehaus, L. (2009). </w:t>
      </w:r>
      <w:r>
        <w:rPr>
          <w:rFonts w:eastAsia="Arial" w:cs="Times New Roman"/>
          <w:i/>
          <w:color w:val="000000" w:themeColor="text1"/>
          <w14:textFill>
            <w14:solidFill>
              <w14:schemeClr w14:val="tx1"/>
            </w14:solidFill>
          </w14:textFill>
        </w:rPr>
        <w:t>Mixed method design</w:t>
      </w:r>
      <w:r>
        <w:rPr>
          <w:rFonts w:eastAsia="Arial" w:cs="Times New Roman"/>
          <w:color w:val="000000" w:themeColor="text1"/>
          <w14:textFill>
            <w14:solidFill>
              <w14:schemeClr w14:val="tx1"/>
            </w14:solidFill>
          </w14:textFill>
        </w:rPr>
        <w:t>. Walnut Creek, Calif.: Left Coast.</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Naka, T. (2016). Encountering Others in Overseas Study Tours: An Examination of Educational Potentials. </w:t>
      </w:r>
      <w:r>
        <w:rPr>
          <w:rFonts w:cs="Times New Roman"/>
          <w:i/>
          <w:color w:val="000000" w:themeColor="text1"/>
          <w14:textFill>
            <w14:solidFill>
              <w14:schemeClr w14:val="tx1"/>
            </w14:solidFill>
          </w14:textFill>
        </w:rPr>
        <w:t>International Journal of Social Science and Humanity</w:t>
      </w:r>
      <w:r>
        <w:rPr>
          <w:rFonts w:cs="Times New Roman"/>
          <w:color w:val="000000" w:themeColor="text1"/>
          <w14:textFill>
            <w14:solidFill>
              <w14:schemeClr w14:val="tx1"/>
            </w14:solidFill>
          </w14:textFill>
        </w:rPr>
        <w:t>, 6(9), pp.714-718.</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Niu Xia (2012). Financial early warning of listed companies based on time serials data: Evidence from manufacturing listed companies in China. </w:t>
      </w:r>
      <w:r>
        <w:rPr>
          <w:rFonts w:cs="Times New Roman"/>
          <w:i/>
          <w:color w:val="000000" w:themeColor="text1"/>
          <w14:textFill>
            <w14:solidFill>
              <w14:schemeClr w14:val="tx1"/>
            </w14:solidFill>
          </w14:textFill>
        </w:rPr>
        <w:t>African Journal of Business Management</w:t>
      </w:r>
      <w:r>
        <w:rPr>
          <w:rFonts w:cs="Times New Roman"/>
          <w:color w:val="000000" w:themeColor="text1"/>
          <w14:textFill>
            <w14:solidFill>
              <w14:schemeClr w14:val="tx1"/>
            </w14:solidFill>
          </w14:textFill>
        </w:rPr>
        <w:t>, 6(4).</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Normile, D. (2017). One in three Chinese children faces an education apocalypse. An ambitious experiment hopes to save them. </w:t>
      </w:r>
      <w:r>
        <w:rPr>
          <w:rFonts w:cs="Times New Roman"/>
          <w:i/>
          <w:color w:val="000000" w:themeColor="text1"/>
          <w14:textFill>
            <w14:solidFill>
              <w14:schemeClr w14:val="tx1"/>
            </w14:solidFill>
          </w14:textFill>
        </w:rPr>
        <w:t>Science</w:t>
      </w:r>
      <w:r>
        <w:rPr>
          <w:rFonts w:cs="Times New Roman"/>
          <w:color w:val="000000" w:themeColor="text1"/>
          <w14:textFill>
            <w14:solidFill>
              <w14:schemeClr w14:val="tx1"/>
            </w14:solidFill>
          </w14:textFill>
        </w:rPr>
        <w:t>.</w:t>
      </w:r>
    </w:p>
    <w:p>
      <w:pPr>
        <w:spacing w:before="240" w:beforeLines="100" w:after="120"/>
        <w:ind w:left="484" w:hanging="484" w:hangingChars="200"/>
        <w:rPr>
          <w:rFonts w:eastAsia="ff2" w:cs="Times New Roman"/>
          <w:color w:val="000000" w:themeColor="text1"/>
          <w:spacing w:val="-2"/>
          <w:shd w:val="clear" w:color="auto" w:fill="FFFFFF"/>
          <w14:textFill>
            <w14:solidFill>
              <w14:schemeClr w14:val="tx1"/>
            </w14:solidFill>
          </w14:textFill>
        </w:rPr>
      </w:pPr>
      <w:r>
        <w:rPr>
          <w:rFonts w:eastAsia="ff2" w:cs="Times New Roman"/>
          <w:color w:val="000000" w:themeColor="text1"/>
          <w:spacing w:val="1"/>
          <w:shd w:val="clear" w:color="auto" w:fill="FFFFFF"/>
          <w14:textFill>
            <w14:solidFill>
              <w14:schemeClr w14:val="tx1"/>
            </w14:solidFill>
          </w14:textFill>
        </w:rPr>
        <w:t>Ostertagová, E.</w:t>
      </w:r>
      <w:r>
        <w:rPr>
          <w:rFonts w:eastAsia="宋体" w:cs="Times New Roman"/>
          <w:color w:val="000000" w:themeColor="text1"/>
          <w:spacing w:val="1"/>
          <w:shd w:val="clear" w:color="auto" w:fill="FFFFFF"/>
          <w14:textFill>
            <w14:solidFill>
              <w14:schemeClr w14:val="tx1"/>
            </w14:solidFill>
          </w14:textFill>
        </w:rPr>
        <w:t xml:space="preserve"> (2013).</w:t>
      </w:r>
      <w:r>
        <w:rPr>
          <w:rFonts w:eastAsia="ff2" w:cs="Times New Roman"/>
          <w:color w:val="000000" w:themeColor="text1"/>
          <w:spacing w:val="1"/>
          <w:shd w:val="clear" w:color="auto" w:fill="FFFFFF"/>
          <w14:textFill>
            <w14:solidFill>
              <w14:schemeClr w14:val="tx1"/>
            </w14:solidFill>
          </w14:textFill>
        </w:rPr>
        <w:t xml:space="preserve"> </w:t>
      </w:r>
      <w:r>
        <w:rPr>
          <w:rFonts w:eastAsia="ff1" w:cs="Times New Roman"/>
          <w:color w:val="000000" w:themeColor="text1"/>
          <w:spacing w:val="-3"/>
          <w:shd w:val="clear" w:color="auto" w:fill="FFFFFF"/>
          <w14:textFill>
            <w14:solidFill>
              <w14:schemeClr w14:val="tx1"/>
            </w14:solidFill>
          </w14:textFill>
        </w:rPr>
        <w:t>Applied Statistic</w:t>
      </w:r>
      <w:r>
        <w:rPr>
          <w:rFonts w:eastAsia="ff2" w:cs="Times New Roman"/>
          <w:color w:val="000000" w:themeColor="text1"/>
          <w:spacing w:val="1"/>
          <w:shd w:val="clear" w:color="auto" w:fill="FFFFFF"/>
          <w14:textFill>
            <w14:solidFill>
              <w14:schemeClr w14:val="tx1"/>
            </w14:solidFill>
          </w14:textFill>
        </w:rPr>
        <w:t xml:space="preserve"> </w:t>
      </w:r>
      <w:r>
        <w:rPr>
          <w:rFonts w:eastAsia="ff2" w:cs="Times New Roman"/>
          <w:color w:val="000000" w:themeColor="text1"/>
          <w:spacing w:val="-6"/>
          <w:shd w:val="clear" w:color="auto" w:fill="FFFFFF"/>
          <w14:textFill>
            <w14:solidFill>
              <w14:schemeClr w14:val="tx1"/>
            </w14:solidFill>
          </w14:textFill>
        </w:rPr>
        <w:t>(in</w:t>
      </w:r>
      <w:r>
        <w:rPr>
          <w:rFonts w:eastAsia="ff2" w:cs="Times New Roman"/>
          <w:color w:val="000000" w:themeColor="text1"/>
          <w:shd w:val="clear" w:color="auto" w:fill="FFFFFF"/>
          <w14:textFill>
            <w14:solidFill>
              <w14:schemeClr w14:val="tx1"/>
            </w14:solidFill>
          </w14:textFill>
        </w:rPr>
        <w:t xml:space="preserve"> </w:t>
      </w:r>
      <w:r>
        <w:rPr>
          <w:rFonts w:eastAsia="ff2" w:cs="Times New Roman"/>
          <w:color w:val="000000" w:themeColor="text1"/>
          <w:spacing w:val="-2"/>
          <w:shd w:val="clear" w:color="auto" w:fill="FFFFFF"/>
          <w14:textFill>
            <w14:solidFill>
              <w14:schemeClr w14:val="tx1"/>
            </w14:solidFill>
          </w14:textFill>
        </w:rPr>
        <w:t>Slovak),</w:t>
      </w:r>
      <w:r>
        <w:rPr>
          <w:rFonts w:eastAsia="ff2" w:cs="Times New Roman"/>
          <w:color w:val="000000" w:themeColor="text1"/>
          <w:spacing w:val="1"/>
          <w:shd w:val="clear" w:color="auto" w:fill="FFFFFF"/>
          <w14:textFill>
            <w14:solidFill>
              <w14:schemeClr w14:val="tx1"/>
            </w14:solidFill>
          </w14:textFill>
        </w:rPr>
        <w:t xml:space="preserve"> Elfa, Ko</w:t>
      </w:r>
      <w:r>
        <w:rPr>
          <w:rFonts w:eastAsia="ff2" w:cs="Times New Roman"/>
          <w:color w:val="000000" w:themeColor="text1"/>
          <w:shd w:val="clear" w:color="auto" w:fill="FFFFFF"/>
          <w14:textFill>
            <w14:solidFill>
              <w14:schemeClr w14:val="tx1"/>
            </w14:solidFill>
          </w14:textFill>
        </w:rPr>
        <w:t>šice</w:t>
      </w:r>
      <w:r>
        <w:rPr>
          <w:rFonts w:eastAsia="ff2" w:cs="Times New Roman"/>
          <w:color w:val="000000" w:themeColor="text1"/>
          <w:spacing w:val="-2"/>
          <w:shd w:val="clear" w:color="auto" w:fill="FFFFFF"/>
          <w14:textFill>
            <w14:solidFill>
              <w14:schemeClr w14:val="tx1"/>
            </w14:solidFill>
          </w14:textFill>
        </w:rPr>
        <w:t>.</w:t>
      </w:r>
    </w:p>
    <w:p>
      <w:pPr>
        <w:numPr>
          <w:ilvl w:val="0"/>
          <w:numId w:val="5"/>
        </w:numPr>
        <w:spacing w:before="240" w:beforeLines="100" w:after="120"/>
        <w:ind w:left="472" w:hanging="472" w:hangingChars="200"/>
        <w:rPr>
          <w:rFonts w:cs="Times New Roman"/>
          <w:kern w:val="3"/>
        </w:rPr>
      </w:pPr>
      <w:r>
        <w:rPr>
          <w:rFonts w:eastAsia="ff2" w:cs="Times New Roman"/>
          <w:color w:val="000000" w:themeColor="text1"/>
          <w:spacing w:val="-2"/>
          <w:shd w:val="clear" w:color="auto" w:fill="FFFFFF"/>
          <w14:textFill>
            <w14:solidFill>
              <w14:schemeClr w14:val="tx1"/>
            </w14:solidFill>
          </w14:textFill>
        </w:rPr>
        <w:t xml:space="preserve">Banyard and C. Flanagan (2005). </w:t>
      </w:r>
      <w:r>
        <w:rPr>
          <w:rFonts w:eastAsia="ff2" w:cs="Times New Roman"/>
          <w:i/>
          <w:iCs/>
          <w:color w:val="000000" w:themeColor="text1"/>
          <w:spacing w:val="-2"/>
          <w:shd w:val="clear" w:color="auto" w:fill="FFFFFF"/>
          <w14:textFill>
            <w14:solidFill>
              <w14:schemeClr w14:val="tx1"/>
            </w14:solidFill>
          </w14:textFill>
        </w:rPr>
        <w:t xml:space="preserve">Ethical issues and Guidelines in Psychology. </w:t>
      </w:r>
      <w:r>
        <w:rPr>
          <w:rFonts w:eastAsia="ff2" w:cs="Times New Roman"/>
          <w:color w:val="000000" w:themeColor="text1"/>
          <w:spacing w:val="-2"/>
          <w:shd w:val="clear" w:color="auto" w:fill="FFFFFF"/>
          <w14:textFill>
            <w14:solidFill>
              <w14:schemeClr w14:val="tx1"/>
            </w14:solidFill>
          </w14:textFill>
        </w:rPr>
        <w:t>London: Routledge</w:t>
      </w:r>
    </w:p>
    <w:p>
      <w:pPr>
        <w:spacing w:before="240" w:beforeLines="100" w:after="120"/>
        <w:ind w:left="480" w:hanging="480" w:hangingChars="200"/>
        <w:rPr>
          <w:rFonts w:cs="Times New Roman"/>
          <w:kern w:val="3"/>
        </w:rPr>
      </w:pPr>
      <w:r>
        <w:rPr>
          <w:rFonts w:cs="Times New Roman"/>
          <w:kern w:val="3"/>
        </w:rPr>
        <w:t xml:space="preserve">Pheysey, D. (1993). </w:t>
      </w:r>
      <w:r>
        <w:rPr>
          <w:rFonts w:cs="Times New Roman"/>
          <w:i/>
          <w:kern w:val="3"/>
        </w:rPr>
        <w:t>Organizational cultures</w:t>
      </w:r>
      <w:r>
        <w:rPr>
          <w:rFonts w:cs="Times New Roman"/>
          <w:kern w:val="3"/>
        </w:rPr>
        <w:t>. London: Routledge.</w:t>
      </w:r>
    </w:p>
    <w:p>
      <w:pPr>
        <w:spacing w:before="240" w:beforeLines="100" w:after="120"/>
        <w:ind w:left="480" w:hanging="480" w:hangingChars="200"/>
        <w:rPr>
          <w:rFonts w:cs="Times New Roman"/>
          <w:kern w:val="3"/>
        </w:rPr>
      </w:pPr>
      <w:r>
        <w:rPr>
          <w:rFonts w:cs="Times New Roman"/>
          <w:kern w:val="3"/>
        </w:rPr>
        <w:t xml:space="preserve">Pan, J. and Wei, H. (2015). </w:t>
      </w:r>
      <w:r>
        <w:rPr>
          <w:rFonts w:cs="Times New Roman"/>
          <w:i/>
          <w:kern w:val="3"/>
        </w:rPr>
        <w:t>Annual Report on Urban Development of China 2013</w:t>
      </w:r>
      <w:r>
        <w:rPr>
          <w:rFonts w:cs="Times New Roman"/>
          <w:kern w:val="3"/>
        </w:rPr>
        <w:t>. Berlin, Heidelberg: Springer Berlin Heidelberg.</w:t>
      </w:r>
    </w:p>
    <w:p>
      <w:pPr>
        <w:spacing w:before="240" w:beforeLines="100" w:after="120"/>
        <w:ind w:left="480" w:hanging="480" w:hangingChars="200"/>
        <w:rPr>
          <w:rFonts w:cs="Times New Roman"/>
          <w:kern w:val="3"/>
        </w:rPr>
      </w:pPr>
      <w:r>
        <w:rPr>
          <w:rFonts w:cs="Times New Roman"/>
          <w:kern w:val="3"/>
        </w:rPr>
        <w:t>Prysby, C. (2018). Book review: Local Party Organizations in the Twenty-First Century Roscoe, Douglas Shannon, Local Party Organizations in the Twenty-First Century, Albany, NY: State University of New York Press.</w:t>
      </w:r>
    </w:p>
    <w:p>
      <w:pPr>
        <w:spacing w:before="240" w:beforeLines="100" w:after="120"/>
        <w:ind w:left="480" w:hanging="480" w:hangingChars="200"/>
        <w:rPr>
          <w:rFonts w:cs="Times New Roman"/>
          <w:kern w:val="3"/>
        </w:rPr>
      </w:pPr>
      <w:r>
        <w:rPr>
          <w:rFonts w:cs="Times New Roman"/>
          <w:kern w:val="3"/>
        </w:rPr>
        <w:t xml:space="preserve">Rosenmann, A. (2015). Mapping Lay Perceptions of Contemporary Global Culture and Its Ideological and Political Correlates. </w:t>
      </w:r>
      <w:r>
        <w:rPr>
          <w:rFonts w:cs="Times New Roman"/>
          <w:i/>
          <w:kern w:val="3"/>
        </w:rPr>
        <w:t>Political Psychology</w:t>
      </w:r>
      <w:r>
        <w:rPr>
          <w:rFonts w:cs="Times New Roman"/>
          <w:kern w:val="3"/>
        </w:rPr>
        <w:t>, 38(2), pp.351-369.</w:t>
      </w:r>
    </w:p>
    <w:p>
      <w:pPr>
        <w:spacing w:before="240" w:beforeLines="100" w:after="120"/>
        <w:ind w:left="480" w:hanging="480" w:hangingChars="200"/>
        <w:rPr>
          <w:rFonts w:cs="Times New Roman"/>
          <w:kern w:val="3"/>
        </w:rPr>
      </w:pPr>
      <w:r>
        <w:rPr>
          <w:rFonts w:cs="Times New Roman"/>
          <w:kern w:val="3"/>
        </w:rPr>
        <w:t xml:space="preserve">Sauvant, K. and Strauss, J. (2012). State-Controlled Entities Are Important Outward Direct Investors. </w:t>
      </w:r>
      <w:r>
        <w:rPr>
          <w:rFonts w:cs="Times New Roman"/>
          <w:i/>
          <w:kern w:val="3"/>
        </w:rPr>
        <w:t>Transnational Corporations Review</w:t>
      </w:r>
      <w:r>
        <w:rPr>
          <w:rFonts w:cs="Times New Roman"/>
          <w:kern w:val="3"/>
        </w:rPr>
        <w:t>, 4(3), pp.1-9.</w:t>
      </w:r>
    </w:p>
    <w:p>
      <w:pPr>
        <w:spacing w:before="240" w:beforeLines="100" w:after="120"/>
        <w:ind w:left="480" w:hanging="480" w:hangingChars="200"/>
        <w:rPr>
          <w:rFonts w:cs="Times New Roman"/>
          <w:kern w:val="3"/>
        </w:rPr>
      </w:pPr>
      <w:r>
        <w:rPr>
          <w:rFonts w:cs="Times New Roman"/>
          <w:kern w:val="3"/>
        </w:rPr>
        <w:t xml:space="preserve">Stanley, J. (2012). Women’s absence from news photos: the role of tabloid strategies at elite and non-elite newspapers. </w:t>
      </w:r>
      <w:r>
        <w:rPr>
          <w:rFonts w:cs="Times New Roman"/>
          <w:i/>
          <w:kern w:val="3"/>
        </w:rPr>
        <w:t>Media, Culture &amp; Society</w:t>
      </w:r>
      <w:r>
        <w:rPr>
          <w:rFonts w:cs="Times New Roman"/>
          <w:kern w:val="3"/>
        </w:rPr>
        <w:t>, 34(8), pp.979-998.</w:t>
      </w:r>
    </w:p>
    <w:p>
      <w:pPr>
        <w:spacing w:before="240" w:beforeLines="100" w:after="120"/>
        <w:ind w:left="480" w:hanging="480" w:hangingChars="200"/>
        <w:rPr>
          <w:rFonts w:cs="Times New Roman"/>
          <w:kern w:val="3"/>
        </w:rPr>
      </w:pPr>
      <w:r>
        <w:rPr>
          <w:rFonts w:cs="Times New Roman"/>
          <w:kern w:val="3"/>
        </w:rPr>
        <w:t xml:space="preserve">Stealey, J. (2016). </w:t>
      </w:r>
      <w:r>
        <w:rPr>
          <w:rFonts w:cs="Times New Roman"/>
          <w:i/>
          <w:kern w:val="3"/>
        </w:rPr>
        <w:t>The Antebellum Kanawha salt business and western markets</w:t>
      </w:r>
      <w:r>
        <w:rPr>
          <w:rFonts w:cs="Times New Roman"/>
          <w:kern w:val="3"/>
        </w:rPr>
        <w:t>.</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kern w:val="3"/>
        </w:rPr>
        <w:t xml:space="preserve">Sun, T. (2012). </w:t>
      </w:r>
      <w:r>
        <w:rPr>
          <w:rFonts w:cs="Times New Roman"/>
          <w:i/>
          <w:kern w:val="3"/>
        </w:rPr>
        <w:t>Inside the Chinese business mind</w:t>
      </w:r>
      <w:r>
        <w:rPr>
          <w:rFonts w:cs="Times New Roman"/>
          <w:kern w:val="3"/>
        </w:rPr>
        <w:t>. Santa Barbara, Calif.: Praeger.</w:t>
      </w:r>
    </w:p>
    <w:p>
      <w:pPr>
        <w:spacing w:before="240" w:beforeLines="100" w:after="120"/>
        <w:ind w:left="480" w:hanging="480" w:hangingChars="200"/>
        <w:rPr>
          <w:rFonts w:cs="Times New Roman"/>
          <w:kern w:val="3"/>
        </w:rPr>
      </w:pPr>
      <w:r>
        <w:rPr>
          <w:rFonts w:cs="Times New Roman"/>
          <w:kern w:val="3"/>
        </w:rPr>
        <w:t xml:space="preserve">Schein, E. (2010). </w:t>
      </w:r>
      <w:r>
        <w:rPr>
          <w:rFonts w:cs="Times New Roman"/>
          <w:i/>
          <w:kern w:val="3"/>
        </w:rPr>
        <w:t>Psicología de la organización</w:t>
      </w:r>
      <w:r>
        <w:rPr>
          <w:rFonts w:cs="Times New Roman"/>
          <w:kern w:val="3"/>
        </w:rPr>
        <w:t>. Pearson Prentice Hall.</w:t>
      </w:r>
    </w:p>
    <w:p>
      <w:pPr>
        <w:spacing w:before="240" w:beforeLines="100" w:after="120"/>
        <w:ind w:left="480" w:hanging="480" w:hangingChars="200"/>
        <w:rPr>
          <w:rFonts w:cs="Times New Roman"/>
          <w:kern w:val="3"/>
        </w:rPr>
      </w:pPr>
      <w:r>
        <w:rPr>
          <w:rFonts w:cs="Times New Roman"/>
          <w:kern w:val="3"/>
        </w:rPr>
        <w:t xml:space="preserve">Schein, E. (2012). </w:t>
      </w:r>
      <w:r>
        <w:rPr>
          <w:rFonts w:cs="Times New Roman"/>
          <w:i/>
          <w:kern w:val="3"/>
        </w:rPr>
        <w:t>Process consultation</w:t>
      </w:r>
      <w:r>
        <w:rPr>
          <w:rFonts w:cs="Times New Roman"/>
          <w:kern w:val="3"/>
        </w:rPr>
        <w:t>.</w:t>
      </w:r>
    </w:p>
    <w:p>
      <w:pPr>
        <w:spacing w:before="240" w:beforeLines="100" w:after="120"/>
        <w:ind w:left="480" w:hanging="480" w:hangingChars="200"/>
        <w:rPr>
          <w:rFonts w:eastAsia="Arial"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Shan, H., Liu, Z. and Li, L. (2015). Vocational training for Liushou women in rural China: development by design. </w:t>
      </w:r>
      <w:r>
        <w:rPr>
          <w:rFonts w:eastAsia="Arial" w:cs="Times New Roman"/>
          <w:i/>
          <w:color w:val="000000" w:themeColor="text1"/>
          <w14:textFill>
            <w14:solidFill>
              <w14:schemeClr w14:val="tx1"/>
            </w14:solidFill>
          </w14:textFill>
        </w:rPr>
        <w:t>Journal of Vocational Education &amp; Training</w:t>
      </w:r>
      <w:r>
        <w:rPr>
          <w:rFonts w:eastAsia="Arial" w:cs="Times New Roman"/>
          <w:color w:val="000000" w:themeColor="text1"/>
          <w14:textFill>
            <w14:solidFill>
              <w14:schemeClr w14:val="tx1"/>
            </w14:solidFill>
          </w14:textFill>
        </w:rPr>
        <w:t>, 67(1), pp.11-25.</w:t>
      </w:r>
    </w:p>
    <w:p>
      <w:pPr>
        <w:spacing w:before="240" w:beforeLines="100" w:after="120"/>
        <w:ind w:left="480" w:hanging="480" w:hangingChars="200"/>
        <w:rPr>
          <w:rFonts w:eastAsia="Arial"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Shapiro, H., Latham, K. and Ross, S. (2006). </w:t>
      </w:r>
      <w:r>
        <w:rPr>
          <w:rFonts w:eastAsia="Arial" w:cs="Times New Roman"/>
          <w:i/>
          <w:color w:val="000000" w:themeColor="text1"/>
          <w14:textFill>
            <w14:solidFill>
              <w14:schemeClr w14:val="tx1"/>
            </w14:solidFill>
          </w14:textFill>
        </w:rPr>
        <w:t>The institution of education</w:t>
      </w:r>
      <w:r>
        <w:rPr>
          <w:rFonts w:eastAsia="Arial" w:cs="Times New Roman"/>
          <w:color w:val="000000" w:themeColor="text1"/>
          <w14:textFill>
            <w14:solidFill>
              <w14:schemeClr w14:val="tx1"/>
            </w14:solidFill>
          </w14:textFill>
        </w:rPr>
        <w:t>. Boston: Pearson Custom.</w:t>
      </w:r>
    </w:p>
    <w:p>
      <w:pPr>
        <w:spacing w:before="240" w:beforeLines="100" w:after="120"/>
        <w:ind w:left="480" w:hanging="480" w:hangingChars="200"/>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Saunders, M., Lewis, P. &amp; Thornhill, A. (2009). Research methods for business students, 5th ed., Harlow, Pearson Education.</w:t>
      </w:r>
    </w:p>
    <w:p>
      <w:pPr>
        <w:spacing w:before="240" w:beforeLines="100" w:after="120"/>
        <w:ind w:left="480" w:hanging="480" w:hangingChars="200"/>
        <w:rPr>
          <w:rFonts w:eastAsia="Arial"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Saunders, M. N. K., Lewis, P., &amp; Thornhill, A. (2012). Research methods for business students (6th ended.) Harlow, England: Pearson Education.</w:t>
      </w:r>
    </w:p>
    <w:p>
      <w:pPr>
        <w:spacing w:before="240" w:beforeLines="100" w:after="120"/>
        <w:ind w:left="480" w:hanging="480" w:hangingChars="200"/>
        <w:rPr>
          <w:rFonts w:eastAsia="Arial"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Shen, J. and Chanda, A. (2009). </w:t>
      </w:r>
      <w:r>
        <w:rPr>
          <w:rFonts w:eastAsia="Arial" w:cs="Times New Roman"/>
          <w:i/>
          <w:color w:val="000000" w:themeColor="text1"/>
          <w14:textFill>
            <w14:solidFill>
              <w14:schemeClr w14:val="tx1"/>
            </w14:solidFill>
          </w14:textFill>
        </w:rPr>
        <w:t>HRM Strategic Integration and Organizational Performance</w:t>
      </w:r>
      <w:r>
        <w:rPr>
          <w:rFonts w:eastAsia="Arial" w:cs="Times New Roman"/>
          <w:color w:val="000000" w:themeColor="text1"/>
          <w14:textFill>
            <w14:solidFill>
              <w14:schemeClr w14:val="tx1"/>
            </w14:solidFill>
          </w14:textFill>
        </w:rPr>
        <w:t>. New Delhi: SAGE India.</w:t>
      </w:r>
    </w:p>
    <w:p>
      <w:pPr>
        <w:spacing w:before="240" w:beforeLines="100" w:after="120"/>
        <w:ind w:left="480" w:hanging="480" w:hangingChars="200"/>
        <w:rPr>
          <w:rFonts w:eastAsia="Arial"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Månsson, J. (2001). </w:t>
      </w:r>
      <w:r>
        <w:rPr>
          <w:rFonts w:eastAsia="Arial" w:cs="Times New Roman"/>
          <w:i/>
          <w:color w:val="000000" w:themeColor="text1"/>
          <w14:textFill>
            <w14:solidFill>
              <w14:schemeClr w14:val="tx1"/>
            </w14:solidFill>
          </w14:textFill>
        </w:rPr>
        <w:t>Essays on applications of cross sectional efficiency analysis</w:t>
      </w:r>
      <w:r>
        <w:rPr>
          <w:rFonts w:eastAsia="Arial" w:cs="Times New Roman"/>
          <w:color w:val="000000" w:themeColor="text1"/>
          <w14:textFill>
            <w14:solidFill>
              <w14:schemeClr w14:val="tx1"/>
            </w14:solidFill>
          </w14:textFill>
        </w:rPr>
        <w:t>. Lund, Sweden: Distributed by the Dept. of Economics, Lund University.</w:t>
      </w:r>
    </w:p>
    <w:p>
      <w:pPr>
        <w:spacing w:before="240" w:beforeLines="100" w:after="120"/>
        <w:ind w:left="480" w:hanging="480" w:hangingChars="200"/>
        <w:rPr>
          <w:rFonts w:eastAsia="Arial"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Sekaran, U. and Bougie, R. (2016). </w:t>
      </w:r>
      <w:r>
        <w:rPr>
          <w:rFonts w:eastAsia="Arial" w:cs="Times New Roman"/>
          <w:i/>
          <w:color w:val="000000" w:themeColor="text1"/>
          <w14:textFill>
            <w14:solidFill>
              <w14:schemeClr w14:val="tx1"/>
            </w14:solidFill>
          </w14:textFill>
        </w:rPr>
        <w:t>Research Methods For Business: A Skill Building Approach Seventh Edition</w:t>
      </w:r>
      <w:r>
        <w:rPr>
          <w:rFonts w:eastAsia="Arial" w:cs="Times New Roman"/>
          <w:color w:val="000000" w:themeColor="text1"/>
          <w14:textFill>
            <w14:solidFill>
              <w14:schemeClr w14:val="tx1"/>
            </w14:solidFill>
          </w14:textFill>
        </w:rPr>
        <w:t>. John Wiley &amp; Sons.</w:t>
      </w:r>
    </w:p>
    <w:p>
      <w:pPr>
        <w:spacing w:before="240" w:beforeLines="100" w:after="120"/>
        <w:ind w:left="480" w:hanging="480" w:hangingChars="200"/>
        <w:rPr>
          <w:rFonts w:eastAsia="Arial"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Sahai, H. and Khurshid, A. (1996). </w:t>
      </w:r>
      <w:r>
        <w:rPr>
          <w:rFonts w:eastAsia="Arial" w:cs="Times New Roman"/>
          <w:i/>
          <w:color w:val="000000" w:themeColor="text1"/>
          <w14:textFill>
            <w14:solidFill>
              <w14:schemeClr w14:val="tx1"/>
            </w14:solidFill>
          </w14:textFill>
        </w:rPr>
        <w:t>Statistics in epidemiology</w:t>
      </w:r>
      <w:r>
        <w:rPr>
          <w:rFonts w:eastAsia="Arial" w:cs="Times New Roman"/>
          <w:color w:val="000000" w:themeColor="text1"/>
          <w14:textFill>
            <w14:solidFill>
              <w14:schemeClr w14:val="tx1"/>
            </w14:solidFill>
          </w14:textFill>
        </w:rPr>
        <w:t>. Boca Raton: CRC Press.</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Schmidtke, C. and Chen, P. (2012). Philosophy of Vocational Education in China: A Historical Overview. </w:t>
      </w:r>
      <w:r>
        <w:rPr>
          <w:rFonts w:cs="Times New Roman"/>
          <w:i/>
          <w:color w:val="000000" w:themeColor="text1"/>
          <w14:textFill>
            <w14:solidFill>
              <w14:schemeClr w14:val="tx1"/>
            </w14:solidFill>
          </w14:textFill>
        </w:rPr>
        <w:t>Journal of Philosophy of Education</w:t>
      </w:r>
      <w:r>
        <w:rPr>
          <w:rFonts w:cs="Times New Roman"/>
          <w:color w:val="000000" w:themeColor="text1"/>
          <w14:textFill>
            <w14:solidFill>
              <w14:schemeClr w14:val="tx1"/>
            </w14:solidFill>
          </w14:textFill>
        </w:rPr>
        <w:t>, 46(3), pp.432-448.</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Shabanifar, S. and Konyalioglu, A. (2013). Mathematics teachers’ approaches to students’ possible mistakes in exponential and square root number. </w:t>
      </w:r>
      <w:r>
        <w:rPr>
          <w:rFonts w:cs="Times New Roman"/>
          <w:i/>
          <w:color w:val="000000" w:themeColor="text1"/>
          <w14:textFill>
            <w14:solidFill>
              <w14:schemeClr w14:val="tx1"/>
            </w14:solidFill>
          </w14:textFill>
        </w:rPr>
        <w:t>International Journal of Academic Research</w:t>
      </w:r>
      <w:r>
        <w:rPr>
          <w:rFonts w:cs="Times New Roman"/>
          <w:color w:val="000000" w:themeColor="text1"/>
          <w14:textFill>
            <w14:solidFill>
              <w14:schemeClr w14:val="tx1"/>
            </w14:solidFill>
          </w14:textFill>
        </w:rPr>
        <w:t>, 5(6), pp.213-219.</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Shi-Chang, X. (2004). Creating health-promoting schools in China with a focus on nutrition. </w:t>
      </w:r>
      <w:r>
        <w:rPr>
          <w:rFonts w:cs="Times New Roman"/>
          <w:i/>
          <w:color w:val="000000" w:themeColor="text1"/>
          <w14:textFill>
            <w14:solidFill>
              <w14:schemeClr w14:val="tx1"/>
            </w14:solidFill>
          </w14:textFill>
        </w:rPr>
        <w:t>Health Promotion International</w:t>
      </w:r>
      <w:r>
        <w:rPr>
          <w:rFonts w:cs="Times New Roman"/>
          <w:color w:val="000000" w:themeColor="text1"/>
          <w14:textFill>
            <w14:solidFill>
              <w14:schemeClr w14:val="tx1"/>
            </w14:solidFill>
          </w14:textFill>
        </w:rPr>
        <w:t>, 19(4), pp.409-418.</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Shih, C. (2015). CHINA rise syndromes: Drafting national schools of international relations in Asia. </w:t>
      </w:r>
      <w:r>
        <w:rPr>
          <w:rFonts w:cs="Times New Roman"/>
          <w:i/>
          <w:color w:val="000000" w:themeColor="text1"/>
          <w14:textFill>
            <w14:solidFill>
              <w14:schemeClr w14:val="tx1"/>
            </w14:solidFill>
          </w14:textFill>
        </w:rPr>
        <w:t>Comparative Politics (Russia)</w:t>
      </w:r>
      <w:r>
        <w:rPr>
          <w:rFonts w:cs="Times New Roman"/>
          <w:color w:val="000000" w:themeColor="text1"/>
          <w14:textFill>
            <w14:solidFill>
              <w14:schemeClr w14:val="tx1"/>
            </w14:solidFill>
          </w14:textFill>
        </w:rPr>
        <w:t>, 5(3(17), p.128.</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SU, L. (2017). The Problem and Countermeasures of Market Entity in Poverty Alleviation in China. </w:t>
      </w:r>
      <w:r>
        <w:rPr>
          <w:rFonts w:cs="Times New Roman"/>
          <w:i/>
          <w:color w:val="000000" w:themeColor="text1"/>
          <w14:textFill>
            <w14:solidFill>
              <w14:schemeClr w14:val="tx1"/>
            </w14:solidFill>
          </w14:textFill>
        </w:rPr>
        <w:t>DEStech Transactions on Social Science, Education and Human Science</w:t>
      </w:r>
      <w:r>
        <w:rPr>
          <w:rFonts w:cs="Times New Roman"/>
          <w:color w:val="000000" w:themeColor="text1"/>
          <w14:textFill>
            <w14:solidFill>
              <w14:schemeClr w14:val="tx1"/>
            </w14:solidFill>
          </w14:textFill>
        </w:rPr>
        <w:t>, (hsmet).</w:t>
      </w:r>
    </w:p>
    <w:p>
      <w:pPr>
        <w:spacing w:before="240" w:beforeLines="100" w:after="120"/>
        <w:ind w:left="480" w:hanging="480" w:hangingChars="200"/>
        <w:rPr>
          <w:rFonts w:cs="Times New Roman"/>
          <w:kern w:val="3"/>
        </w:rPr>
      </w:pPr>
      <w:r>
        <w:rPr>
          <w:rFonts w:cs="Times New Roman"/>
          <w:kern w:val="3"/>
        </w:rPr>
        <w:t xml:space="preserve">Trompenaars, A. and Hampden-Turner, C. (2010). </w:t>
      </w:r>
      <w:r>
        <w:rPr>
          <w:rFonts w:cs="Times New Roman"/>
          <w:i/>
          <w:kern w:val="3"/>
        </w:rPr>
        <w:t>Riding the waves of innovation</w:t>
      </w:r>
      <w:r>
        <w:rPr>
          <w:rFonts w:cs="Times New Roman"/>
          <w:kern w:val="3"/>
        </w:rPr>
        <w:t>. New York: McGraw-Hill.</w:t>
      </w:r>
    </w:p>
    <w:p>
      <w:pPr>
        <w:spacing w:before="240" w:beforeLines="100" w:after="120"/>
        <w:ind w:left="480" w:hanging="480" w:hangingChars="200"/>
        <w:rPr>
          <w:rFonts w:cs="Times New Roman"/>
          <w:kern w:val="3"/>
        </w:rPr>
      </w:pPr>
      <w:r>
        <w:rPr>
          <w:rFonts w:cs="Times New Roman"/>
          <w:kern w:val="3"/>
        </w:rPr>
        <w:t xml:space="preserve">Trompenaars, A. and Hampden-Turner, C. (2015). </w:t>
      </w:r>
      <w:r>
        <w:rPr>
          <w:rFonts w:cs="Times New Roman"/>
          <w:i/>
          <w:kern w:val="3"/>
        </w:rPr>
        <w:t>Riding the waves of culture</w:t>
      </w:r>
      <w:r>
        <w:rPr>
          <w:rFonts w:cs="Times New Roman"/>
          <w:kern w:val="3"/>
        </w:rPr>
        <w:t>. London: Nicholas Brealey Publishing.</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kern w:val="3"/>
        </w:rPr>
        <w:t xml:space="preserve">Trompenaars, F. and Wooliams, P. (2003). </w:t>
      </w:r>
      <w:r>
        <w:rPr>
          <w:rFonts w:cs="Times New Roman"/>
          <w:i/>
          <w:kern w:val="3"/>
        </w:rPr>
        <w:t>Business across cultures</w:t>
      </w:r>
      <w:r>
        <w:rPr>
          <w:rFonts w:cs="Times New Roman"/>
          <w:kern w:val="3"/>
        </w:rPr>
        <w:t>. Oxford: Capstone.</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Trompenaars, A. and Hampden-Turner, C. (2015). </w:t>
      </w:r>
      <w:r>
        <w:rPr>
          <w:rFonts w:cs="Times New Roman"/>
          <w:i/>
          <w:color w:val="000000" w:themeColor="text1"/>
          <w14:textFill>
            <w14:solidFill>
              <w14:schemeClr w14:val="tx1"/>
            </w14:solidFill>
          </w14:textFill>
        </w:rPr>
        <w:t>Riding the waves of culture</w:t>
      </w:r>
      <w:r>
        <w:rPr>
          <w:rFonts w:cs="Times New Roman"/>
          <w:color w:val="000000" w:themeColor="text1"/>
          <w14:textFill>
            <w14:solidFill>
              <w14:schemeClr w14:val="tx1"/>
            </w14:solidFill>
          </w14:textFill>
        </w:rPr>
        <w:t>. London: Nicholas Brealey Publishing.</w:t>
      </w:r>
    </w:p>
    <w:p>
      <w:pPr>
        <w:spacing w:before="240" w:beforeLines="100" w:after="120"/>
        <w:ind w:left="480" w:hanging="480" w:hangingChars="200"/>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Taherdoost H, Sahibuddin S, and Jalaliyoon N. (2014). Perceived Barriers and Benefits of Web Based Services. in International Conference on Computational Science and Computational Intelligence.</w:t>
      </w:r>
    </w:p>
    <w:p>
      <w:pPr>
        <w:spacing w:before="240" w:beforeLines="100" w:after="120"/>
        <w:ind w:left="480" w:hanging="480" w:hangingChars="200"/>
        <w:rPr>
          <w:rFonts w:eastAsia="宋体" w:cs="Times New Roman"/>
          <w:color w:val="000000" w:themeColor="text1"/>
          <w:shd w:val="clear" w:color="auto" w:fill="FFFFFF"/>
          <w14:textFill>
            <w14:solidFill>
              <w14:schemeClr w14:val="tx1"/>
            </w14:solidFill>
          </w14:textFill>
        </w:rPr>
      </w:pPr>
      <w:r>
        <w:rPr>
          <w:rFonts w:eastAsia="宋体" w:cs="Times New Roman"/>
          <w:color w:val="000000" w:themeColor="text1"/>
          <w:shd w:val="clear" w:color="auto" w:fill="FFFFFF"/>
          <w14:textFill>
            <w14:solidFill>
              <w14:schemeClr w14:val="tx1"/>
            </w14:solidFill>
          </w14:textFill>
        </w:rPr>
        <w:t>Tavakol, M., &amp; Dennick, R. (2011). Making Sense of Cronbach’s Alpha. International Journal of Medical Education, 2, 53-55. </w:t>
      </w:r>
    </w:p>
    <w:p>
      <w:pPr>
        <w:spacing w:before="240" w:beforeLines="100" w:after="120"/>
        <w:ind w:left="480" w:hanging="480" w:hangingChars="200"/>
        <w:rPr>
          <w:rFonts w:cs="Times New Roman"/>
          <w:kern w:val="3"/>
        </w:rPr>
      </w:pPr>
      <w:r>
        <w:rPr>
          <w:rFonts w:cs="Times New Roman"/>
          <w:kern w:val="3"/>
        </w:rPr>
        <w:t xml:space="preserve">The Present English Curriculum. (2016). </w:t>
      </w:r>
      <w:r>
        <w:rPr>
          <w:rFonts w:cs="Times New Roman"/>
          <w:i/>
          <w:kern w:val="3"/>
        </w:rPr>
        <w:t>International Journal on Studies in English Language and Literature</w:t>
      </w:r>
      <w:r>
        <w:rPr>
          <w:rFonts w:cs="Times New Roman"/>
          <w:kern w:val="3"/>
        </w:rPr>
        <w:t>, 4(10).</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kern w:val="3"/>
        </w:rPr>
        <w:t xml:space="preserve">Trompenaars, A. and Hampden-Turner, C. (1998). </w:t>
      </w:r>
      <w:r>
        <w:rPr>
          <w:rFonts w:cs="Times New Roman"/>
          <w:i/>
          <w:kern w:val="3"/>
        </w:rPr>
        <w:t>Riding the waves of culture</w:t>
      </w:r>
      <w:r>
        <w:rPr>
          <w:rFonts w:cs="Times New Roman"/>
          <w:kern w:val="3"/>
        </w:rPr>
        <w:t>. New York: McGraw Hill.</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Van Genuchten, M. and Hatton, L. (2012). Compound Annual Growth Rate for Software. </w:t>
      </w:r>
      <w:r>
        <w:rPr>
          <w:rFonts w:cs="Times New Roman"/>
          <w:i/>
          <w:color w:val="000000" w:themeColor="text1"/>
          <w14:textFill>
            <w14:solidFill>
              <w14:schemeClr w14:val="tx1"/>
            </w14:solidFill>
          </w14:textFill>
        </w:rPr>
        <w:t>IEEE Software</w:t>
      </w:r>
      <w:r>
        <w:rPr>
          <w:rFonts w:cs="Times New Roman"/>
          <w:color w:val="000000" w:themeColor="text1"/>
          <w14:textFill>
            <w14:solidFill>
              <w14:schemeClr w14:val="tx1"/>
            </w14:solidFill>
          </w14:textFill>
        </w:rPr>
        <w:t>, 29(4), pp.19-21.</w:t>
      </w:r>
    </w:p>
    <w:p>
      <w:pPr>
        <w:spacing w:before="240" w:beforeLines="100" w:after="120"/>
        <w:ind w:left="480" w:hanging="480" w:hangingChars="200"/>
        <w:rPr>
          <w:rFonts w:eastAsia="Helvetica"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V</w:t>
      </w:r>
      <w:r>
        <w:rPr>
          <w:rFonts w:eastAsia="Helvetica" w:cs="Times New Roman"/>
          <w:color w:val="000000" w:themeColor="text1"/>
          <w14:textFill>
            <w14:solidFill>
              <w14:schemeClr w14:val="tx1"/>
            </w14:solidFill>
          </w14:textFill>
        </w:rPr>
        <w:t>an Teijlingen, E., Hundley, V. (2001)</w:t>
      </w:r>
      <w:r>
        <w:rPr>
          <w:rFonts w:eastAsia="宋体" w:cs="Times New Roman"/>
          <w:color w:val="000000" w:themeColor="text1"/>
          <w14:textFill>
            <w14:solidFill>
              <w14:schemeClr w14:val="tx1"/>
            </w14:solidFill>
          </w14:textFill>
        </w:rPr>
        <w:t>.</w:t>
      </w:r>
      <w:r>
        <w:rPr>
          <w:rFonts w:eastAsia="Helvetica" w:cs="Times New Roman"/>
          <w:color w:val="000000" w:themeColor="text1"/>
          <w14:textFill>
            <w14:solidFill>
              <w14:schemeClr w14:val="tx1"/>
            </w14:solidFill>
          </w14:textFill>
        </w:rPr>
        <w:t xml:space="preserve"> The importance of pilot studies. Social Research Update, 35.</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Wang, L. (2014). Internationalization with Chinese Characteristics. </w:t>
      </w:r>
      <w:r>
        <w:rPr>
          <w:rFonts w:cs="Times New Roman"/>
          <w:i/>
          <w:color w:val="000000" w:themeColor="text1"/>
          <w14:textFill>
            <w14:solidFill>
              <w14:schemeClr w14:val="tx1"/>
            </w14:solidFill>
          </w14:textFill>
        </w:rPr>
        <w:t>Chinese Education &amp; Society</w:t>
      </w:r>
      <w:r>
        <w:rPr>
          <w:rFonts w:cs="Times New Roman"/>
          <w:color w:val="000000" w:themeColor="text1"/>
          <w14:textFill>
            <w14:solidFill>
              <w14:schemeClr w14:val="tx1"/>
            </w14:solidFill>
          </w14:textFill>
        </w:rPr>
        <w:t>, 47(1), pp.7-26.</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Wang, L. and Lewin, K. (2016). </w:t>
      </w:r>
      <w:r>
        <w:rPr>
          <w:rFonts w:cs="Times New Roman"/>
          <w:i/>
          <w:color w:val="000000" w:themeColor="text1"/>
          <w14:textFill>
            <w14:solidFill>
              <w14:schemeClr w14:val="tx1"/>
            </w14:solidFill>
          </w14:textFill>
        </w:rPr>
        <w:t>Two Decades of Basic Education in Rural China</w:t>
      </w:r>
      <w:r>
        <w:rPr>
          <w:rFonts w:cs="Times New Roman"/>
          <w:color w:val="000000" w:themeColor="text1"/>
          <w14:textFill>
            <w14:solidFill>
              <w14:schemeClr w14:val="tx1"/>
            </w14:solidFill>
          </w14:textFill>
        </w:rPr>
        <w:t>. Singapore: Springer Singapore.</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Wu, Y. and Ping, X. (2014). </w:t>
      </w:r>
      <w:r>
        <w:rPr>
          <w:rFonts w:cs="Times New Roman"/>
          <w:i/>
          <w:color w:val="000000" w:themeColor="text1"/>
          <w14:textFill>
            <w14:solidFill>
              <w14:schemeClr w14:val="tx1"/>
            </w14:solidFill>
          </w14:textFill>
        </w:rPr>
        <w:t>Gaokao in China</w:t>
      </w:r>
      <w:r>
        <w:rPr>
          <w:rFonts w:cs="Times New Roman"/>
          <w:color w:val="000000" w:themeColor="text1"/>
          <w14:textFill>
            <w14:solidFill>
              <w14:schemeClr w14:val="tx1"/>
            </w14:solidFill>
          </w14:textFill>
        </w:rPr>
        <w:t>.</w:t>
      </w:r>
    </w:p>
    <w:p>
      <w:pPr>
        <w:spacing w:before="240" w:beforeLines="100" w:after="120"/>
        <w:ind w:left="480" w:hanging="480" w:hangingChars="200"/>
        <w:rPr>
          <w:rFonts w:cs="Times New Roman"/>
          <w:kern w:val="3"/>
        </w:rPr>
      </w:pPr>
      <w:r>
        <w:rPr>
          <w:rFonts w:cs="Times New Roman"/>
          <w:kern w:val="3"/>
        </w:rPr>
        <w:t xml:space="preserve">Wang, J., Guthrie, D. and Xiao, Z. (2012). The Rise of SASAC: Asset Management, Ownership Concentration, and Firm Performance in China's Capital Markets. </w:t>
      </w:r>
      <w:r>
        <w:rPr>
          <w:rFonts w:cs="Times New Roman"/>
          <w:i/>
          <w:kern w:val="3"/>
        </w:rPr>
        <w:t>Management and Organization Review</w:t>
      </w:r>
      <w:r>
        <w:rPr>
          <w:rFonts w:cs="Times New Roman"/>
          <w:kern w:val="3"/>
        </w:rPr>
        <w:t>, 8(02), pp.253-281.</w:t>
      </w:r>
    </w:p>
    <w:p>
      <w:pPr>
        <w:spacing w:before="240" w:beforeLines="100" w:after="120"/>
        <w:ind w:left="480" w:hanging="480" w:hangingChars="200"/>
        <w:rPr>
          <w:rFonts w:cs="Times New Roman"/>
          <w:kern w:val="3"/>
        </w:rPr>
      </w:pPr>
      <w:r>
        <w:rPr>
          <w:rFonts w:cs="Times New Roman"/>
          <w:kern w:val="3"/>
        </w:rPr>
        <w:t xml:space="preserve">Witzany, J., Zigler, R. and Kroftová, K. (2016). Strengthening of compressed brick masonry walls with carbon composites. </w:t>
      </w:r>
      <w:r>
        <w:rPr>
          <w:rFonts w:cs="Times New Roman"/>
          <w:i/>
          <w:kern w:val="3"/>
        </w:rPr>
        <w:t>Construction and Building Materials</w:t>
      </w:r>
      <w:r>
        <w:rPr>
          <w:rFonts w:cs="Times New Roman"/>
          <w:kern w:val="3"/>
        </w:rPr>
        <w:t>, 112, pp.1066-1079.</w:t>
      </w:r>
    </w:p>
    <w:p>
      <w:pPr>
        <w:spacing w:before="240" w:beforeLines="100" w:after="120"/>
        <w:ind w:left="480" w:hanging="480" w:hangingChars="200"/>
        <w:rPr>
          <w:rFonts w:eastAsia="Arial"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Weerts, K., Vermeulen, W. and Witjes, S. (2018). On Corporate Sustainability Integration: Analysing Corporate Leaders’ Experiences and Academic Learnings from an Organisational Culture Perspective. </w:t>
      </w:r>
      <w:r>
        <w:rPr>
          <w:rFonts w:eastAsia="Arial" w:cs="Times New Roman"/>
          <w:i/>
          <w:color w:val="000000" w:themeColor="text1"/>
          <w14:textFill>
            <w14:solidFill>
              <w14:schemeClr w14:val="tx1"/>
            </w14:solidFill>
          </w14:textFill>
        </w:rPr>
        <w:t>Journal of Cleaner Production</w:t>
      </w:r>
      <w:r>
        <w:rPr>
          <w:rFonts w:eastAsia="Arial" w:cs="Times New Roman"/>
          <w:color w:val="000000" w:themeColor="text1"/>
          <w14:textFill>
            <w14:solidFill>
              <w14:schemeClr w14:val="tx1"/>
            </w14:solidFill>
          </w14:textFill>
        </w:rPr>
        <w:t>.</w:t>
      </w:r>
    </w:p>
    <w:p>
      <w:pPr>
        <w:spacing w:before="240" w:beforeLines="100" w:after="120"/>
        <w:ind w:left="480" w:hanging="480" w:hangingChars="200"/>
        <w:rPr>
          <w:rFonts w:eastAsia="Times New Roman"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Watson, R., Atkinson, I., &amp; Rose, K. (2007). Pilot studies: To publish or not [Editorial]. Journal of Clinical Nursing, 16, 619–620.</w:t>
      </w:r>
    </w:p>
    <w:p>
      <w:pPr>
        <w:spacing w:before="240" w:beforeLines="100" w:after="120"/>
        <w:ind w:left="480" w:hanging="480" w:hangingChars="200"/>
        <w:rPr>
          <w:rFonts w:cs="Times New Roman"/>
        </w:rPr>
      </w:pPr>
      <w:r>
        <w:rPr>
          <w:rStyle w:val="12"/>
          <w:rFonts w:eastAsia="宋体" w:cs="Times New Roman"/>
          <w:bCs/>
          <w:i w:val="0"/>
          <w:color w:val="000000" w:themeColor="text1"/>
          <w14:textFill>
            <w14:solidFill>
              <w14:schemeClr w14:val="tx1"/>
            </w14:solidFill>
          </w14:textFill>
        </w:rPr>
        <w:t>Wu</w:t>
      </w:r>
      <w:r>
        <w:rPr>
          <w:rFonts w:eastAsia="宋体" w:cs="Times New Roman"/>
          <w:bCs/>
          <w:color w:val="000000" w:themeColor="text1"/>
          <w14:textFill>
            <w14:solidFill>
              <w14:schemeClr w14:val="tx1"/>
            </w14:solidFill>
          </w14:textFill>
        </w:rPr>
        <w:t>, M.C., &amp; Chen, Y.H. (</w:t>
      </w:r>
      <w:r>
        <w:rPr>
          <w:rStyle w:val="12"/>
          <w:rFonts w:eastAsia="宋体" w:cs="Times New Roman"/>
          <w:bCs/>
          <w:i w:val="0"/>
          <w:color w:val="000000" w:themeColor="text1"/>
          <w14:textFill>
            <w14:solidFill>
              <w14:schemeClr w14:val="tx1"/>
            </w14:solidFill>
          </w14:textFill>
        </w:rPr>
        <w:t>2014</w:t>
      </w:r>
      <w:r>
        <w:rPr>
          <w:rFonts w:eastAsia="宋体" w:cs="Times New Roman"/>
          <w:bCs/>
          <w:color w:val="000000" w:themeColor="text1"/>
          <w14:textFill>
            <w14:solidFill>
              <w14:schemeClr w14:val="tx1"/>
            </w14:solidFill>
          </w14:textFill>
        </w:rPr>
        <w:t>). A </w:t>
      </w:r>
      <w:r>
        <w:rPr>
          <w:rStyle w:val="12"/>
          <w:rFonts w:eastAsia="宋体" w:cs="Times New Roman"/>
          <w:bCs/>
          <w:i w:val="0"/>
          <w:color w:val="000000" w:themeColor="text1"/>
          <w14:textFill>
            <w14:solidFill>
              <w14:schemeClr w14:val="tx1"/>
            </w14:solidFill>
          </w14:textFill>
        </w:rPr>
        <w:t>factor analysis</w:t>
      </w:r>
      <w:r>
        <w:rPr>
          <w:rFonts w:eastAsia="宋体" w:cs="Times New Roman"/>
          <w:bCs/>
          <w:color w:val="000000" w:themeColor="text1"/>
          <w14:textFill>
            <w14:solidFill>
              <w14:schemeClr w14:val="tx1"/>
            </w14:solidFill>
          </w14:textFill>
        </w:rPr>
        <w:t> on teamwork performance - an empirical study of inter-instituted collaboration. Eurasian Journal of Educational.</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Xie, A. and Huang, X. (2012). </w:t>
      </w:r>
      <w:r>
        <w:rPr>
          <w:rFonts w:cs="Times New Roman"/>
          <w:i/>
          <w:color w:val="000000" w:themeColor="text1"/>
          <w14:textFill>
            <w14:solidFill>
              <w14:schemeClr w14:val="tx1"/>
            </w14:solidFill>
          </w14:textFill>
        </w:rPr>
        <w:t>Advances in computer science and education</w:t>
      </w:r>
      <w:r>
        <w:rPr>
          <w:rFonts w:cs="Times New Roman"/>
          <w:color w:val="000000" w:themeColor="text1"/>
          <w14:textFill>
            <w14:solidFill>
              <w14:schemeClr w14:val="tx1"/>
            </w14:solidFill>
          </w14:textFill>
        </w:rPr>
        <w:t>. Heidelberg: Springer.</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Xu, H. (2015). The development of teacher autonomy in collaborative lesson preparation: A multiple-case study of EFL teachers in China. </w:t>
      </w:r>
      <w:r>
        <w:rPr>
          <w:rFonts w:cs="Times New Roman"/>
          <w:i/>
          <w:color w:val="000000" w:themeColor="text1"/>
          <w14:textFill>
            <w14:solidFill>
              <w14:schemeClr w14:val="tx1"/>
            </w14:solidFill>
          </w14:textFill>
        </w:rPr>
        <w:t>System</w:t>
      </w:r>
      <w:r>
        <w:rPr>
          <w:rFonts w:cs="Times New Roman"/>
          <w:color w:val="000000" w:themeColor="text1"/>
          <w14:textFill>
            <w14:solidFill>
              <w14:schemeClr w14:val="tx1"/>
            </w14:solidFill>
          </w14:textFill>
        </w:rPr>
        <w:t>, 52, pp.139-148.</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Yea-Ling Tsao. (2015). Mathematics Perceptions of Pre-service Elementary School Teachers. </w:t>
      </w:r>
      <w:r>
        <w:rPr>
          <w:rFonts w:cs="Times New Roman"/>
          <w:i/>
          <w:color w:val="000000" w:themeColor="text1"/>
          <w14:textFill>
            <w14:solidFill>
              <w14:schemeClr w14:val="tx1"/>
            </w14:solidFill>
          </w14:textFill>
        </w:rPr>
        <w:t>US-China Education Review B</w:t>
      </w:r>
      <w:r>
        <w:rPr>
          <w:rFonts w:cs="Times New Roman"/>
          <w:color w:val="000000" w:themeColor="text1"/>
          <w14:textFill>
            <w14:solidFill>
              <w14:schemeClr w14:val="tx1"/>
            </w14:solidFill>
          </w14:textFill>
        </w:rPr>
        <w:t>, 5(5).</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Yea-Ling Tsao. (2017). Pre-Service Elementary School Teachers’ Attitude Towards Geometry. </w:t>
      </w:r>
      <w:r>
        <w:rPr>
          <w:rFonts w:cs="Times New Roman"/>
          <w:i/>
          <w:color w:val="000000" w:themeColor="text1"/>
          <w14:textFill>
            <w14:solidFill>
              <w14:schemeClr w14:val="tx1"/>
            </w14:solidFill>
          </w14:textFill>
        </w:rPr>
        <w:t>US-China Education Review B</w:t>
      </w:r>
      <w:r>
        <w:rPr>
          <w:rFonts w:cs="Times New Roman"/>
          <w:color w:val="000000" w:themeColor="text1"/>
          <w14:textFill>
            <w14:solidFill>
              <w14:schemeClr w14:val="tx1"/>
            </w14:solidFill>
          </w14:textFill>
        </w:rPr>
        <w:t>, 7(1).</w:t>
      </w:r>
    </w:p>
    <w:p>
      <w:pPr>
        <w:widowControl/>
        <w:spacing w:before="240" w:beforeLines="100" w:after="120"/>
        <w:ind w:left="480" w:hanging="480" w:hangingChars="200"/>
        <w:rPr>
          <w:rFonts w:cs="Times New Roman"/>
          <w:color w:val="000000" w:themeColor="text1"/>
          <w14:textFill>
            <w14:solidFill>
              <w14:schemeClr w14:val="tx1"/>
            </w14:solidFill>
          </w14:textFill>
        </w:rPr>
      </w:pPr>
      <w:r>
        <w:fldChar w:fldCharType="begin"/>
      </w:r>
      <w:r>
        <w:instrText xml:space="preserve"> HYPERLINK "https://www.sciencedirect.com/science/article/pii/S2212567116000502" \l "bbib0440" </w:instrText>
      </w:r>
      <w:r>
        <w:fldChar w:fldCharType="separate"/>
      </w:r>
      <w:r>
        <w:rPr>
          <w:rStyle w:val="13"/>
          <w:rFonts w:cs="Times New Roman"/>
          <w:color w:val="000000" w:themeColor="text1"/>
          <w:u w:val="none"/>
          <w14:textFill>
            <w14:solidFill>
              <w14:schemeClr w14:val="tx1"/>
            </w14:solidFill>
          </w14:textFill>
        </w:rPr>
        <w:t>Yulihasri et al., (2011</w:t>
      </w:r>
      <w:r>
        <w:rPr>
          <w:rStyle w:val="13"/>
          <w:rFonts w:cs="Times New Roman"/>
          <w:color w:val="000000" w:themeColor="text1"/>
          <w:u w:val="none"/>
          <w14:textFill>
            <w14:solidFill>
              <w14:schemeClr w14:val="tx1"/>
            </w14:solidFill>
          </w14:textFill>
        </w:rPr>
        <w:fldChar w:fldCharType="end"/>
      </w:r>
      <w:r>
        <w:rPr>
          <w:rStyle w:val="13"/>
          <w:rFonts w:cs="Times New Roman"/>
          <w:color w:val="000000" w:themeColor="text1"/>
          <w:u w:val="none"/>
          <w14:textFill>
            <w14:solidFill>
              <w14:schemeClr w14:val="tx1"/>
            </w14:solidFill>
          </w14:textFill>
        </w:rPr>
        <w:t>)</w:t>
      </w:r>
      <w:r>
        <w:rPr>
          <w:rFonts w:cs="Times New Roman"/>
          <w:color w:val="000000" w:themeColor="text1"/>
          <w14:textFill>
            <w14:solidFill>
              <w14:schemeClr w14:val="tx1"/>
            </w14:solidFill>
          </w14:textFill>
        </w:rPr>
        <w:t>. Yulihasri, Ku Amir, K.D., Md. Aminul, I. (2011, February). Factors that influence Customers’ Buying Intention on Shopping Online. International Journal of Marketing Studies, 3(1), 128-139.</w:t>
      </w:r>
    </w:p>
    <w:p>
      <w:pPr>
        <w:spacing w:before="240" w:beforeLines="100" w:after="120"/>
        <w:ind w:left="480" w:hanging="480" w:hangingChars="200"/>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Yockey, R. D. (2010). SPSS demystified: A step-by-step guide to successful data analysis (2nd ed). NY: Prentice- Hall.</w:t>
      </w:r>
    </w:p>
    <w:p>
      <w:pPr>
        <w:spacing w:before="240" w:beforeLines="100" w:after="120"/>
        <w:ind w:left="480" w:hanging="480" w:hangingChars="200"/>
        <w:rPr>
          <w:rFonts w:eastAsia="宋体" w:cs="Times New Roman"/>
          <w:color w:val="000000" w:themeColor="text1"/>
          <w:shd w:val="clear" w:color="auto" w:fill="FFFFFF"/>
          <w14:textFill>
            <w14:solidFill>
              <w14:schemeClr w14:val="tx1"/>
            </w14:solidFill>
          </w14:textFill>
        </w:rPr>
      </w:pPr>
      <w:r>
        <w:rPr>
          <w:rFonts w:eastAsia="宋体" w:cs="Times New Roman"/>
          <w:color w:val="000000" w:themeColor="text1"/>
          <w:shd w:val="clear" w:color="auto" w:fill="FFFFFF"/>
          <w14:textFill>
            <w14:solidFill>
              <w14:schemeClr w14:val="tx1"/>
            </w14:solidFill>
          </w14:textFill>
        </w:rPr>
        <w:t>Yusoff, M.S.B., A.F. Abdul Rahim and M.J. Yaacob, (2010). </w:t>
      </w:r>
      <w:bookmarkStart w:id="287" w:name="1526606_ja"/>
      <w:bookmarkEnd w:id="287"/>
      <w:r>
        <w:rPr>
          <w:rFonts w:eastAsia="宋体" w:cs="Times New Roman"/>
          <w:color w:val="000000" w:themeColor="text1"/>
          <w:shd w:val="clear" w:color="auto" w:fill="FFFFFF"/>
          <w14:textFill>
            <w14:solidFill>
              <w14:schemeClr w14:val="tx1"/>
            </w14:solidFill>
          </w14:textFill>
        </w:rPr>
        <w:t>The development and validity of the Medical Student Stressor Questionnaire (MSSQ). ASEAN J. Psychiatry, 11: 231-235.</w:t>
      </w:r>
    </w:p>
    <w:p>
      <w:pPr>
        <w:spacing w:before="240" w:beforeLines="100" w:after="120"/>
        <w:ind w:left="480" w:hanging="480" w:hangingChars="200"/>
        <w:rPr>
          <w:rFonts w:eastAsia="Times New Roman"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Yong, A. G., &amp; Pearce, S. (2013). A beginner’s guide to factor analysis: Focusing on exploratory factor analysis. </w:t>
      </w:r>
      <w:r>
        <w:rPr>
          <w:rFonts w:eastAsia="宋体" w:cs="Times New Roman"/>
          <w:i/>
          <w:color w:val="000000" w:themeColor="text1"/>
          <w14:textFill>
            <w14:solidFill>
              <w14:schemeClr w14:val="tx1"/>
            </w14:solidFill>
          </w14:textFill>
        </w:rPr>
        <w:t>Tutorials in Quantitative Methods for Psychology, 9</w:t>
      </w:r>
      <w:r>
        <w:rPr>
          <w:rFonts w:eastAsia="宋体" w:cs="Times New Roman"/>
          <w:color w:val="000000" w:themeColor="text1"/>
          <w14:textFill>
            <w14:solidFill>
              <w14:schemeClr w14:val="tx1"/>
            </w14:solidFill>
          </w14:textFill>
        </w:rPr>
        <w:t>(2), 79–94</w:t>
      </w:r>
    </w:p>
    <w:p>
      <w:pPr>
        <w:spacing w:before="240" w:beforeLines="100" w:after="120"/>
        <w:ind w:left="480" w:hanging="480" w:hangingChars="200"/>
        <w:rPr>
          <w:rFonts w:cs="Times New Roman"/>
          <w:kern w:val="3"/>
        </w:rPr>
      </w:pPr>
      <w:r>
        <w:rPr>
          <w:rFonts w:cs="Times New Roman"/>
          <w:kern w:val="3"/>
        </w:rPr>
        <w:t xml:space="preserve">Yang, J. and Webber, J. (2014). Empowering Corporate Social Responsibility in Chinese Nongovernmental Organizations. </w:t>
      </w:r>
      <w:r>
        <w:rPr>
          <w:rFonts w:cs="Times New Roman"/>
          <w:i/>
          <w:kern w:val="3"/>
        </w:rPr>
        <w:t>Journal of Psychological Issues in Organizational Culture</w:t>
      </w:r>
      <w:r>
        <w:rPr>
          <w:rFonts w:cs="Times New Roman"/>
          <w:kern w:val="3"/>
        </w:rPr>
        <w:t>, 5(1), pp.16-39.</w:t>
      </w:r>
    </w:p>
    <w:p>
      <w:pPr>
        <w:spacing w:before="240" w:beforeLines="100" w:after="120"/>
        <w:ind w:left="480" w:hanging="480" w:hangingChars="200"/>
        <w:rPr>
          <w:rFonts w:eastAsia="Times New Roman" w:cs="Times New Roman"/>
          <w:color w:val="000000" w:themeColor="text1"/>
          <w14:textFill>
            <w14:solidFill>
              <w14:schemeClr w14:val="tx1"/>
            </w14:solidFill>
          </w14:textFill>
        </w:rPr>
      </w:pPr>
      <w:r>
        <w:rPr>
          <w:rFonts w:cs="Times New Roman"/>
          <w:kern w:val="3"/>
        </w:rPr>
        <w:t xml:space="preserve">Yue, D. (2016). </w:t>
      </w:r>
      <w:r>
        <w:rPr>
          <w:rFonts w:cs="Times New Roman"/>
          <w:i/>
          <w:kern w:val="3"/>
        </w:rPr>
        <w:t>China and the West at the Crossroads</w:t>
      </w:r>
      <w:r>
        <w:rPr>
          <w:rFonts w:cs="Times New Roman"/>
          <w:kern w:val="3"/>
        </w:rPr>
        <w:t>. Singapore: Springer Singapore.</w:t>
      </w:r>
    </w:p>
    <w:p>
      <w:pPr>
        <w:spacing w:before="240" w:beforeLines="100" w:after="120"/>
        <w:ind w:left="480" w:hanging="480" w:hangingChars="200"/>
        <w:rPr>
          <w:rFonts w:eastAsia="Arial"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Zikmund, W. (2010). </w:t>
      </w:r>
      <w:r>
        <w:rPr>
          <w:rFonts w:eastAsia="Arial" w:cs="Times New Roman"/>
          <w:i/>
          <w:color w:val="000000" w:themeColor="text1"/>
          <w14:textFill>
            <w14:solidFill>
              <w14:schemeClr w14:val="tx1"/>
            </w14:solidFill>
          </w14:textFill>
        </w:rPr>
        <w:t>Marketing research</w:t>
      </w:r>
      <w:r>
        <w:rPr>
          <w:rFonts w:eastAsia="Arial" w:cs="Times New Roman"/>
          <w:color w:val="000000" w:themeColor="text1"/>
          <w14:textFill>
            <w14:solidFill>
              <w14:schemeClr w14:val="tx1"/>
            </w14:solidFill>
          </w14:textFill>
        </w:rPr>
        <w:t>. South Melbourne, Vic.: Cangage Learning.</w:t>
      </w:r>
    </w:p>
    <w:p>
      <w:pPr>
        <w:spacing w:before="240" w:beforeLines="100" w:after="120"/>
        <w:ind w:left="480" w:hanging="480" w:hangingChars="200"/>
        <w:rPr>
          <w:rFonts w:eastAsia="Arial" w:cs="Times New Roman"/>
          <w:color w:val="000000" w:themeColor="text1"/>
          <w14:textFill>
            <w14:solidFill>
              <w14:schemeClr w14:val="tx1"/>
            </w14:solidFill>
          </w14:textFill>
        </w:rPr>
      </w:pPr>
      <w:r>
        <w:rPr>
          <w:rFonts w:eastAsia="Arial" w:cs="Times New Roman"/>
          <w:color w:val="000000" w:themeColor="text1"/>
          <w14:textFill>
            <w14:solidFill>
              <w14:schemeClr w14:val="tx1"/>
            </w14:solidFill>
          </w14:textFill>
        </w:rPr>
        <w:t>Blaug, M., Lauwerys, J. and Scanlon, D. (2006). </w:t>
      </w:r>
      <w:r>
        <w:rPr>
          <w:rFonts w:eastAsia="Arial" w:cs="Times New Roman"/>
          <w:i/>
          <w:color w:val="000000" w:themeColor="text1"/>
          <w14:textFill>
            <w14:solidFill>
              <w14:schemeClr w14:val="tx1"/>
            </w14:solidFill>
          </w14:textFill>
        </w:rPr>
        <w:t>Education within industry</w:t>
      </w:r>
      <w:r>
        <w:rPr>
          <w:rFonts w:eastAsia="Arial" w:cs="Times New Roman"/>
          <w:color w:val="000000" w:themeColor="text1"/>
          <w14:textFill>
            <w14:solidFill>
              <w14:schemeClr w14:val="tx1"/>
            </w14:solidFill>
          </w14:textFill>
        </w:rPr>
        <w:t>. London: Routledge.</w:t>
      </w:r>
    </w:p>
    <w:p>
      <w:pPr>
        <w:spacing w:before="240" w:beforeLines="100" w:after="120"/>
        <w:ind w:left="480" w:hanging="480" w:hangingChars="200"/>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Zikmund, W. G., Babin, B. J., Carr, J. C., &amp; Griffin, M. (2010). Business research methods (8th ed.). Mason, HO: Cengage Learning.</w:t>
      </w:r>
    </w:p>
    <w:p>
      <w:pPr>
        <w:spacing w:before="240" w:beforeLines="100" w:after="120"/>
        <w:ind w:left="480" w:hanging="480" w:hangingChars="200"/>
        <w:rPr>
          <w:rFonts w:eastAsia="宋体" w:cs="Times New Roman"/>
          <w:color w:val="000000" w:themeColor="text1"/>
          <w14:textFill>
            <w14:solidFill>
              <w14:schemeClr w14:val="tx1"/>
            </w14:solidFill>
          </w14:textFill>
        </w:rPr>
      </w:pPr>
      <w:r>
        <w:rPr>
          <w:rFonts w:eastAsia="宋体" w:cs="Times New Roman"/>
          <w:color w:val="000000" w:themeColor="text1"/>
          <w14:textFill>
            <w14:solidFill>
              <w14:schemeClr w14:val="tx1"/>
            </w14:solidFill>
          </w14:textFill>
        </w:rPr>
        <w:t>Zigmund, W. G., Babin, B. J., Carr, J. C., and Griffin, M. (2013), Business Research Methods, South Western Cengage Learning, Mason.</w:t>
      </w:r>
    </w:p>
    <w:p>
      <w:pPr>
        <w:spacing w:before="240" w:beforeLines="100" w:after="120"/>
        <w:ind w:left="480" w:hanging="480" w:hangingChars="200"/>
        <w:rPr>
          <w:rFonts w:cs="Times New Roman"/>
        </w:rPr>
      </w:pPr>
      <w:r>
        <w:rPr>
          <w:rFonts w:eastAsia="宋体" w:cs="Times New Roman"/>
          <w:color w:val="000000" w:themeColor="text1"/>
          <w14:textFill>
            <w14:solidFill>
              <w14:schemeClr w14:val="tx1"/>
            </w14:solidFill>
          </w14:textFill>
        </w:rPr>
        <w:t>Zikmund, W. G., Babin, B. J., Carr, J. C., &amp; Griffin, M. (2010). Business research methods (8th ed.). Mason, HO: Cengage Learning.</w:t>
      </w:r>
    </w:p>
    <w:p>
      <w:pPr>
        <w:spacing w:before="240" w:beforeLines="100" w:after="120"/>
        <w:ind w:left="480" w:hanging="480" w:hangingChars="200"/>
        <w:rPr>
          <w:rFonts w:cs="Times New Roman"/>
        </w:rPr>
      </w:pPr>
      <w:r>
        <w:rPr>
          <w:rFonts w:eastAsia="Arial" w:cs="Times New Roman"/>
          <w:color w:val="000000" w:themeColor="text1"/>
          <w14:textFill>
            <w14:solidFill>
              <w14:schemeClr w14:val="tx1"/>
            </w14:solidFill>
          </w14:textFill>
        </w:rPr>
        <w:t>Zeng, J., Zuo, C. and Wang, Y. (2014). A Controlled Trial to Compare the Teaching Quality of Clinical-Skills Training Faculty: The Clinician-Educator Career Path in China. </w:t>
      </w:r>
      <w:r>
        <w:rPr>
          <w:rFonts w:eastAsia="Arial" w:cs="Times New Roman"/>
          <w:i/>
          <w:color w:val="000000" w:themeColor="text1"/>
          <w14:textFill>
            <w14:solidFill>
              <w14:schemeClr w14:val="tx1"/>
            </w14:solidFill>
          </w14:textFill>
        </w:rPr>
        <w:t>Teaching and Learning in Medicine</w:t>
      </w:r>
      <w:r>
        <w:rPr>
          <w:rFonts w:eastAsia="Arial" w:cs="Times New Roman"/>
          <w:color w:val="000000" w:themeColor="text1"/>
          <w14:textFill>
            <w14:solidFill>
              <w14:schemeClr w14:val="tx1"/>
            </w14:solidFill>
          </w14:textFill>
        </w:rPr>
        <w:t>, 26(2), pp.146-152.</w:t>
      </w:r>
    </w:p>
    <w:p>
      <w:pPr>
        <w:spacing w:before="240" w:beforeLines="100" w:after="120"/>
        <w:ind w:left="480" w:hanging="480" w:hangingChars="200"/>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 xml:space="preserve">Zheng, X. (2014). School curriculum leadership within the context of curriculum reform. </w:t>
      </w:r>
      <w:r>
        <w:rPr>
          <w:rFonts w:cs="Times New Roman"/>
          <w:i/>
          <w:color w:val="000000" w:themeColor="text1"/>
          <w14:textFill>
            <w14:solidFill>
              <w14:schemeClr w14:val="tx1"/>
            </w14:solidFill>
          </w14:textFill>
        </w:rPr>
        <w:t>Frontiers of Education in China</w:t>
      </w:r>
      <w:r>
        <w:rPr>
          <w:rFonts w:cs="Times New Roman"/>
          <w:color w:val="000000" w:themeColor="text1"/>
          <w14:textFill>
            <w14:solidFill>
              <w14:schemeClr w14:val="tx1"/>
            </w14:solidFill>
          </w14:textFill>
        </w:rPr>
        <w:t>, 9(4), pp.626-629.</w:t>
      </w:r>
    </w:p>
    <w:p>
      <w:pPr>
        <w:spacing w:before="240" w:beforeLines="100" w:after="120"/>
        <w:ind w:left="480" w:hanging="480" w:hangingChars="200"/>
        <w:rPr>
          <w:rFonts w:cs="Times New Roman"/>
        </w:rPr>
      </w:pPr>
      <w:r>
        <w:rPr>
          <w:rFonts w:cs="Times New Roman"/>
          <w:color w:val="000000" w:themeColor="text1"/>
          <w14:textFill>
            <w14:solidFill>
              <w14:schemeClr w14:val="tx1"/>
            </w14:solidFill>
          </w14:textFill>
        </w:rPr>
        <w:t xml:space="preserve">Zuo, Y. (2018). Online English Education for Teenagers in China. </w:t>
      </w:r>
      <w:r>
        <w:rPr>
          <w:rFonts w:cs="Times New Roman"/>
          <w:i/>
          <w:color w:val="000000" w:themeColor="text1"/>
          <w14:textFill>
            <w14:solidFill>
              <w14:schemeClr w14:val="tx1"/>
            </w14:solidFill>
          </w14:textFill>
        </w:rPr>
        <w:t>DEStech Transactions on Social Science, Education and Human Science</w:t>
      </w:r>
      <w:r>
        <w:rPr>
          <w:rFonts w:cs="Times New Roman"/>
          <w:color w:val="000000" w:themeColor="text1"/>
          <w14:textFill>
            <w14:solidFill>
              <w14:schemeClr w14:val="tx1"/>
            </w14:solidFill>
          </w14:textFill>
        </w:rPr>
        <w:t>.</w:t>
      </w:r>
    </w:p>
    <w:p>
      <w:pPr>
        <w:spacing w:before="240" w:beforeLines="100" w:after="120"/>
        <w:ind w:left="480" w:hanging="480" w:hangingChars="200"/>
        <w:rPr>
          <w:rFonts w:cs="Times New Roman"/>
          <w:color w:val="000000" w:themeColor="text1"/>
          <w:kern w:val="3"/>
          <w14:textFill>
            <w14:solidFill>
              <w14:schemeClr w14:val="tx1"/>
            </w14:solidFill>
          </w14:textFill>
        </w:rPr>
      </w:pPr>
      <w:r>
        <w:rPr>
          <w:rFonts w:cs="Times New Roman"/>
          <w:color w:val="000000" w:themeColor="text1"/>
          <w:kern w:val="3"/>
          <w14:textFill>
            <w14:solidFill>
              <w14:schemeClr w14:val="tx1"/>
            </w14:solidFill>
          </w14:textFill>
        </w:rPr>
        <w:t xml:space="preserve">Zhang, X. (2011). </w:t>
      </w:r>
      <w:r>
        <w:rPr>
          <w:rFonts w:cs="Times New Roman"/>
          <w:i/>
          <w:color w:val="000000" w:themeColor="text1"/>
          <w:kern w:val="3"/>
          <w14:textFill>
            <w14:solidFill>
              <w14:schemeClr w14:val="tx1"/>
            </w14:solidFill>
          </w14:textFill>
        </w:rPr>
        <w:t>The transformation of political communication in China</w:t>
      </w:r>
      <w:r>
        <w:rPr>
          <w:rFonts w:cs="Times New Roman"/>
          <w:color w:val="000000" w:themeColor="text1"/>
          <w:kern w:val="3"/>
          <w14:textFill>
            <w14:solidFill>
              <w14:schemeClr w14:val="tx1"/>
            </w14:solidFill>
          </w14:textFill>
        </w:rPr>
        <w:t>. Singapore: World Scientific.</w:t>
      </w:r>
    </w:p>
    <w:p>
      <w:pPr>
        <w:spacing w:before="120" w:after="120"/>
        <w:rPr>
          <w:rFonts w:cs="Times New Roman"/>
          <w:color w:val="000000" w:themeColor="text1"/>
          <w14:textFill>
            <w14:solidFill>
              <w14:schemeClr w14:val="tx1"/>
            </w14:solidFill>
          </w14:textFill>
        </w:rPr>
      </w:pPr>
    </w:p>
    <w:p>
      <w:pPr>
        <w:spacing w:before="120" w:after="120"/>
        <w:rPr>
          <w:rFonts w:cs="Times New Roman"/>
          <w:color w:val="000000" w:themeColor="text1"/>
          <w14:textFill>
            <w14:solidFill>
              <w14:schemeClr w14:val="tx1"/>
            </w14:solidFill>
          </w14:textFill>
        </w:rPr>
      </w:pPr>
    </w:p>
    <w:p>
      <w:pPr>
        <w:spacing w:before="120" w:after="120"/>
        <w:rPr>
          <w:rFonts w:cs="Times New Roman"/>
          <w:color w:val="000000" w:themeColor="text1"/>
          <w14:textFill>
            <w14:solidFill>
              <w14:schemeClr w14:val="tx1"/>
            </w14:solidFill>
          </w14:textFill>
        </w:rPr>
      </w:pPr>
    </w:p>
    <w:p>
      <w:pPr>
        <w:spacing w:before="120" w:after="120"/>
        <w:rPr>
          <w:rFonts w:cs="Times New Roman"/>
          <w:color w:val="000000" w:themeColor="text1"/>
          <w14:textFill>
            <w14:solidFill>
              <w14:schemeClr w14:val="tx1"/>
            </w14:solidFill>
          </w14:textFill>
        </w:rPr>
      </w:pPr>
    </w:p>
    <w:p>
      <w:pPr>
        <w:spacing w:before="120" w:after="120"/>
        <w:rPr>
          <w:rFonts w:cs="Times New Roman"/>
          <w:color w:val="000000" w:themeColor="text1"/>
          <w14:textFill>
            <w14:solidFill>
              <w14:schemeClr w14:val="tx1"/>
            </w14:solidFill>
          </w14:textFill>
        </w:rPr>
      </w:pPr>
    </w:p>
    <w:p>
      <w:pPr>
        <w:spacing w:before="120" w:after="120"/>
        <w:rPr>
          <w:rFonts w:cs="Times New Roman"/>
          <w:color w:val="000000" w:themeColor="text1"/>
          <w14:textFill>
            <w14:solidFill>
              <w14:schemeClr w14:val="tx1"/>
            </w14:solidFill>
          </w14:textFill>
        </w:rPr>
      </w:pPr>
    </w:p>
    <w:p>
      <w:pPr>
        <w:pStyle w:val="2"/>
        <w:spacing w:before="360" w:after="120"/>
        <w:rPr>
          <w:bCs/>
        </w:rPr>
      </w:pPr>
      <w:bookmarkStart w:id="288" w:name="_Toc26298_WPSOffice_Level1"/>
      <w:bookmarkStart w:id="289" w:name="_Toc23538_WPSOffice_Level1"/>
      <w:bookmarkStart w:id="290" w:name="_Toc16964_WPSOffice_Level1"/>
      <w:bookmarkStart w:id="291" w:name="_Toc12200_WPSOffice_Level1"/>
      <w:bookmarkStart w:id="292" w:name="_Toc29596_WPSOffice_Level1"/>
      <w:r>
        <w:rPr>
          <w:rFonts w:hint="eastAsia"/>
        </w:rPr>
        <w:t>APPENDIX</w:t>
      </w:r>
      <w:bookmarkEnd w:id="288"/>
      <w:r>
        <w:rPr>
          <w:rFonts w:hint="eastAsia"/>
        </w:rPr>
        <w:t xml:space="preserve"> A. </w:t>
      </w:r>
      <w:r>
        <w:rPr>
          <w:rFonts w:hint="eastAsia"/>
          <w:bCs/>
        </w:rPr>
        <w:t>LITERATURE REVIEW</w:t>
      </w:r>
      <w:bookmarkEnd w:id="289"/>
      <w:bookmarkEnd w:id="290"/>
      <w:bookmarkEnd w:id="291"/>
      <w:bookmarkEnd w:id="292"/>
    </w:p>
    <w:tbl>
      <w:tblPr>
        <w:tblStyle w:val="15"/>
        <w:tblpPr w:leftFromText="180" w:rightFromText="180" w:vertAnchor="text" w:horzAnchor="page" w:tblpX="1048" w:tblpY="269"/>
        <w:tblOverlap w:val="never"/>
        <w:tblW w:w="101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2597"/>
        <w:gridCol w:w="4603"/>
        <w:gridCol w:w="737"/>
        <w:gridCol w:w="688"/>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775" w:type="dxa"/>
          </w:tcPr>
          <w:p>
            <w:pPr>
              <w:spacing w:before="120" w:after="120"/>
              <w:rPr>
                <w:rFonts w:cs="Times New Roman"/>
                <w:b/>
                <w:bCs/>
              </w:rPr>
            </w:pPr>
            <w:r>
              <w:rPr>
                <w:rFonts w:hint="eastAsia" w:cs="Times New Roman"/>
                <w:b/>
                <w:bCs/>
              </w:rPr>
              <w:t>NO.</w:t>
            </w:r>
          </w:p>
        </w:tc>
        <w:tc>
          <w:tcPr>
            <w:tcW w:w="2597" w:type="dxa"/>
          </w:tcPr>
          <w:p>
            <w:pPr>
              <w:spacing w:before="120" w:after="120"/>
              <w:rPr>
                <w:rFonts w:cs="Times New Roman"/>
                <w:b/>
                <w:bCs/>
              </w:rPr>
            </w:pPr>
            <w:r>
              <w:rPr>
                <w:rFonts w:hint="eastAsia" w:cs="Times New Roman"/>
                <w:b/>
                <w:bCs/>
              </w:rPr>
              <w:t>Author/Year</w:t>
            </w:r>
          </w:p>
        </w:tc>
        <w:tc>
          <w:tcPr>
            <w:tcW w:w="4603" w:type="dxa"/>
          </w:tcPr>
          <w:p>
            <w:pPr>
              <w:spacing w:before="120" w:after="120"/>
              <w:rPr>
                <w:rFonts w:cs="Times New Roman"/>
                <w:b/>
                <w:bCs/>
              </w:rPr>
            </w:pPr>
            <w:r>
              <w:rPr>
                <w:rFonts w:hint="eastAsia" w:cs="Times New Roman"/>
                <w:b/>
                <w:bCs/>
              </w:rPr>
              <w:t xml:space="preserve">           Key Findings</w:t>
            </w:r>
          </w:p>
        </w:tc>
        <w:tc>
          <w:tcPr>
            <w:tcW w:w="737" w:type="dxa"/>
          </w:tcPr>
          <w:p>
            <w:pPr>
              <w:spacing w:before="120" w:after="120"/>
              <w:rPr>
                <w:rFonts w:cs="Times New Roman"/>
                <w:b/>
                <w:bCs/>
              </w:rPr>
            </w:pPr>
            <w:r>
              <w:rPr>
                <w:rFonts w:hint="eastAsia" w:cs="Times New Roman"/>
                <w:b/>
                <w:bCs/>
              </w:rPr>
              <w:t>DV</w:t>
            </w:r>
          </w:p>
        </w:tc>
        <w:tc>
          <w:tcPr>
            <w:tcW w:w="688" w:type="dxa"/>
          </w:tcPr>
          <w:p>
            <w:pPr>
              <w:spacing w:before="120" w:after="120"/>
              <w:rPr>
                <w:rFonts w:cs="Times New Roman"/>
                <w:b/>
                <w:bCs/>
              </w:rPr>
            </w:pPr>
            <w:r>
              <w:rPr>
                <w:rFonts w:hint="eastAsia" w:cs="Times New Roman"/>
                <w:b/>
                <w:bCs/>
              </w:rPr>
              <w:t>IV1</w:t>
            </w:r>
          </w:p>
        </w:tc>
        <w:tc>
          <w:tcPr>
            <w:tcW w:w="725" w:type="dxa"/>
          </w:tcPr>
          <w:p>
            <w:pPr>
              <w:spacing w:before="120" w:after="120"/>
              <w:rPr>
                <w:rFonts w:cs="Times New Roman"/>
                <w:b/>
                <w:bCs/>
              </w:rPr>
            </w:pPr>
            <w:r>
              <w:rPr>
                <w:rFonts w:hint="eastAsia" w:cs="Times New Roman"/>
                <w:b/>
                <w:bCs/>
              </w:rPr>
              <w:t>IV2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trPr>
        <w:tc>
          <w:tcPr>
            <w:tcW w:w="775" w:type="dxa"/>
          </w:tcPr>
          <w:p>
            <w:pPr>
              <w:spacing w:before="120" w:after="120"/>
              <w:jc w:val="left"/>
              <w:rPr>
                <w:rFonts w:cs="Times New Roman"/>
                <w:b/>
                <w:bCs/>
              </w:rPr>
            </w:pPr>
            <w:r>
              <w:rPr>
                <w:rFonts w:hint="eastAsia" w:cs="Times New Roman"/>
                <w:b/>
                <w:bCs/>
              </w:rPr>
              <w:t>1</w:t>
            </w:r>
          </w:p>
        </w:tc>
        <w:tc>
          <w:tcPr>
            <w:tcW w:w="2597" w:type="dxa"/>
          </w:tcPr>
          <w:p>
            <w:pPr>
              <w:spacing w:before="120" w:after="120"/>
              <w:jc w:val="left"/>
              <w:rPr>
                <w:rFonts w:eastAsia="宋体" w:cs="Times New Roman"/>
                <w:b/>
                <w:bCs/>
              </w:rPr>
            </w:pPr>
            <w:r>
              <w:rPr>
                <w:rFonts w:hint="eastAsia" w:eastAsia="宋体" w:cs="Times New Roman"/>
                <w:color w:val="000000" w:themeColor="text1"/>
                <w:shd w:val="clear" w:color="auto" w:fill="FFFFFF"/>
                <w14:textFill>
                  <w14:solidFill>
                    <w14:schemeClr w14:val="tx1"/>
                  </w14:solidFill>
                </w14:textFill>
              </w:rPr>
              <w:t>Su, 2017</w:t>
            </w:r>
          </w:p>
        </w:tc>
        <w:tc>
          <w:tcPr>
            <w:tcW w:w="4603" w:type="dxa"/>
          </w:tcPr>
          <w:p>
            <w:pPr>
              <w:spacing w:before="120" w:after="120"/>
              <w:rPr>
                <w:rFonts w:cs="Times New Roman"/>
                <w:b/>
                <w:bCs/>
              </w:rPr>
            </w:pPr>
            <w:r>
              <w:rPr>
                <w:rFonts w:hint="eastAsia"/>
              </w:rPr>
              <w:t>Definition of DV</w:t>
            </w:r>
          </w:p>
        </w:tc>
        <w:tc>
          <w:tcPr>
            <w:tcW w:w="737" w:type="dxa"/>
          </w:tcPr>
          <w:p>
            <w:pPr>
              <w:spacing w:before="120" w:after="120"/>
              <w:rPr>
                <w:rFonts w:cs="Times New Roman"/>
                <w:b/>
                <w:bCs/>
              </w:rPr>
            </w:pPr>
            <w:r>
              <w:rPr>
                <w:rFonts w:hint="eastAsia" w:cs="Times New Roman"/>
                <w:b/>
                <w:bCs/>
              </w:rPr>
              <w:t>✔</w:t>
            </w:r>
          </w:p>
        </w:tc>
        <w:tc>
          <w:tcPr>
            <w:tcW w:w="688" w:type="dxa"/>
          </w:tcPr>
          <w:p>
            <w:pPr>
              <w:spacing w:before="120" w:after="120"/>
              <w:rPr>
                <w:rFonts w:cs="Times New Roman"/>
                <w:b/>
                <w:bCs/>
              </w:rPr>
            </w:pPr>
          </w:p>
        </w:tc>
        <w:tc>
          <w:tcPr>
            <w:tcW w:w="725" w:type="dxa"/>
          </w:tcPr>
          <w:p>
            <w:pPr>
              <w:spacing w:before="120" w:after="120"/>
              <w:rPr>
                <w:rFonts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5" w:hRule="atLeast"/>
        </w:trPr>
        <w:tc>
          <w:tcPr>
            <w:tcW w:w="775" w:type="dxa"/>
          </w:tcPr>
          <w:p>
            <w:pPr>
              <w:spacing w:before="120" w:after="120"/>
              <w:jc w:val="left"/>
              <w:rPr>
                <w:rFonts w:cs="Times New Roman"/>
                <w:b/>
                <w:bCs/>
              </w:rPr>
            </w:pPr>
            <w:r>
              <w:rPr>
                <w:rFonts w:hint="eastAsia" w:cs="Times New Roman"/>
                <w:b/>
                <w:bCs/>
              </w:rPr>
              <w:t>2</w:t>
            </w:r>
          </w:p>
        </w:tc>
        <w:tc>
          <w:tcPr>
            <w:tcW w:w="2597" w:type="dxa"/>
          </w:tcPr>
          <w:p>
            <w:pPr>
              <w:spacing w:before="120" w:after="120"/>
              <w:jc w:val="left"/>
              <w:rPr>
                <w:rFonts w:cs="Times New Roman"/>
                <w:b/>
                <w:bCs/>
              </w:rPr>
            </w:pPr>
            <w:r>
              <w:rPr>
                <w:rFonts w:cs="Times New Roman"/>
                <w:kern w:val="3"/>
              </w:rPr>
              <w:t>Rosenmann,</w:t>
            </w:r>
            <w:r>
              <w:rPr>
                <w:rFonts w:hint="eastAsia" w:cs="Times New Roman"/>
                <w:kern w:val="3"/>
              </w:rPr>
              <w:t xml:space="preserve"> </w:t>
            </w:r>
            <w:r>
              <w:rPr>
                <w:rFonts w:cs="Times New Roman"/>
                <w:kern w:val="3"/>
              </w:rPr>
              <w:t>2015</w:t>
            </w:r>
          </w:p>
        </w:tc>
        <w:tc>
          <w:tcPr>
            <w:tcW w:w="4603" w:type="dxa"/>
          </w:tcPr>
          <w:p>
            <w:pPr>
              <w:spacing w:before="120" w:after="120"/>
            </w:pPr>
            <w:r>
              <w:rPr>
                <w:rFonts w:hint="eastAsia"/>
              </w:rPr>
              <w:t>Definition of DV</w:t>
            </w:r>
          </w:p>
        </w:tc>
        <w:tc>
          <w:tcPr>
            <w:tcW w:w="737" w:type="dxa"/>
          </w:tcPr>
          <w:p>
            <w:pPr>
              <w:spacing w:before="120" w:after="120"/>
            </w:pPr>
            <w:r>
              <w:rPr>
                <w:rFonts w:hint="eastAsia" w:cs="Times New Roman"/>
                <w:b/>
                <w:bCs/>
              </w:rPr>
              <w:t>✔</w:t>
            </w:r>
          </w:p>
        </w:tc>
        <w:tc>
          <w:tcPr>
            <w:tcW w:w="688" w:type="dxa"/>
          </w:tcPr>
          <w:p>
            <w:pPr>
              <w:spacing w:before="120" w:after="120"/>
            </w:pPr>
          </w:p>
        </w:tc>
        <w:tc>
          <w:tcPr>
            <w:tcW w:w="725" w:type="dxa"/>
          </w:tcPr>
          <w:p>
            <w:pPr>
              <w:spacing w:before="120" w:after="120"/>
              <w:rPr>
                <w:rFonts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1" w:hRule="atLeast"/>
        </w:trPr>
        <w:tc>
          <w:tcPr>
            <w:tcW w:w="775" w:type="dxa"/>
          </w:tcPr>
          <w:p>
            <w:pPr>
              <w:spacing w:before="120" w:after="120"/>
              <w:jc w:val="left"/>
              <w:rPr>
                <w:rFonts w:cs="Times New Roman"/>
                <w:b/>
                <w:bCs/>
              </w:rPr>
            </w:pPr>
            <w:r>
              <w:rPr>
                <w:rFonts w:hint="eastAsia" w:cs="Times New Roman"/>
                <w:b/>
                <w:bCs/>
              </w:rPr>
              <w:t>3</w:t>
            </w:r>
          </w:p>
        </w:tc>
        <w:tc>
          <w:tcPr>
            <w:tcW w:w="2597" w:type="dxa"/>
          </w:tcPr>
          <w:p>
            <w:pPr>
              <w:spacing w:before="120" w:after="120"/>
              <w:jc w:val="left"/>
              <w:rPr>
                <w:rFonts w:cs="Times New Roman"/>
                <w:b/>
                <w:bCs/>
              </w:rPr>
            </w:pPr>
            <w:r>
              <w:rPr>
                <w:rFonts w:cs="Times New Roman"/>
                <w:kern w:val="3"/>
              </w:rPr>
              <w:t>Anghel,</w:t>
            </w:r>
            <w:r>
              <w:rPr>
                <w:rFonts w:hint="eastAsia" w:cs="Times New Roman"/>
                <w:kern w:val="3"/>
              </w:rPr>
              <w:t xml:space="preserve"> </w:t>
            </w:r>
            <w:r>
              <w:rPr>
                <w:rFonts w:cs="Times New Roman"/>
                <w:kern w:val="3"/>
              </w:rPr>
              <w:t>2012</w:t>
            </w:r>
          </w:p>
        </w:tc>
        <w:tc>
          <w:tcPr>
            <w:tcW w:w="4603" w:type="dxa"/>
          </w:tcPr>
          <w:p>
            <w:pPr>
              <w:spacing w:before="120" w:after="120"/>
              <w:rPr>
                <w:rFonts w:cs="Times New Roman"/>
              </w:rPr>
            </w:pPr>
            <w:r>
              <w:rPr>
                <w:rFonts w:hint="eastAsia" w:cs="Times New Roman"/>
              </w:rPr>
              <w:t>Education institutions in China</w:t>
            </w:r>
          </w:p>
        </w:tc>
        <w:tc>
          <w:tcPr>
            <w:tcW w:w="737" w:type="dxa"/>
          </w:tcPr>
          <w:p>
            <w:pPr>
              <w:spacing w:before="120" w:after="120"/>
            </w:pPr>
            <w:r>
              <w:rPr>
                <w:rFonts w:hint="eastAsia" w:cs="Times New Roman"/>
                <w:b/>
                <w:bCs/>
              </w:rPr>
              <w:t>✔</w:t>
            </w:r>
          </w:p>
        </w:tc>
        <w:tc>
          <w:tcPr>
            <w:tcW w:w="688" w:type="dxa"/>
          </w:tcPr>
          <w:p>
            <w:pPr>
              <w:spacing w:before="120" w:after="120"/>
            </w:pPr>
          </w:p>
        </w:tc>
        <w:tc>
          <w:tcPr>
            <w:tcW w:w="725" w:type="dxa"/>
          </w:tcPr>
          <w:p>
            <w:pPr>
              <w:spacing w:before="120" w:after="1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775" w:type="dxa"/>
          </w:tcPr>
          <w:p>
            <w:pPr>
              <w:spacing w:before="120" w:after="120"/>
              <w:jc w:val="left"/>
              <w:rPr>
                <w:rFonts w:cs="Times New Roman"/>
                <w:b/>
                <w:bCs/>
              </w:rPr>
            </w:pPr>
            <w:r>
              <w:rPr>
                <w:rFonts w:hint="eastAsia" w:cs="Times New Roman"/>
                <w:b/>
                <w:bCs/>
              </w:rPr>
              <w:t>4</w:t>
            </w:r>
          </w:p>
        </w:tc>
        <w:tc>
          <w:tcPr>
            <w:tcW w:w="2597" w:type="dxa"/>
          </w:tcPr>
          <w:p>
            <w:pPr>
              <w:spacing w:before="120" w:after="120"/>
              <w:jc w:val="left"/>
              <w:rPr>
                <w:rFonts w:cs="Times New Roman"/>
              </w:rPr>
            </w:pPr>
            <w:r>
              <w:rPr>
                <w:rFonts w:hint="eastAsia" w:cs="Times New Roman"/>
              </w:rPr>
              <w:t xml:space="preserve">Ma, 2012 </w:t>
            </w:r>
          </w:p>
        </w:tc>
        <w:tc>
          <w:tcPr>
            <w:tcW w:w="4603" w:type="dxa"/>
          </w:tcPr>
          <w:p>
            <w:pPr>
              <w:spacing w:before="120" w:after="120"/>
              <w:rPr>
                <w:rFonts w:cs="Times New Roman"/>
                <w:b/>
                <w:bCs/>
              </w:rPr>
            </w:pPr>
            <w:r>
              <w:rPr>
                <w:rFonts w:hint="eastAsia" w:cs="Times New Roman"/>
              </w:rPr>
              <w:t>Education institutions in China</w:t>
            </w:r>
          </w:p>
        </w:tc>
        <w:tc>
          <w:tcPr>
            <w:tcW w:w="737" w:type="dxa"/>
          </w:tcPr>
          <w:p>
            <w:pPr>
              <w:spacing w:before="120" w:after="120"/>
            </w:pPr>
            <w:r>
              <w:rPr>
                <w:rFonts w:hint="eastAsia" w:cs="Times New Roman"/>
                <w:b/>
                <w:bCs/>
              </w:rPr>
              <w:t>✔</w:t>
            </w:r>
          </w:p>
        </w:tc>
        <w:tc>
          <w:tcPr>
            <w:tcW w:w="688" w:type="dxa"/>
          </w:tcPr>
          <w:p>
            <w:pPr>
              <w:spacing w:before="120" w:after="120"/>
            </w:pPr>
          </w:p>
        </w:tc>
        <w:tc>
          <w:tcPr>
            <w:tcW w:w="725" w:type="dxa"/>
          </w:tcPr>
          <w:p>
            <w:pPr>
              <w:spacing w:before="120" w:after="1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trPr>
        <w:tc>
          <w:tcPr>
            <w:tcW w:w="775" w:type="dxa"/>
          </w:tcPr>
          <w:p>
            <w:pPr>
              <w:spacing w:before="120" w:after="120"/>
              <w:jc w:val="left"/>
              <w:rPr>
                <w:rFonts w:cs="Times New Roman"/>
                <w:b/>
                <w:bCs/>
              </w:rPr>
            </w:pPr>
            <w:r>
              <w:rPr>
                <w:rFonts w:hint="eastAsia" w:cs="Times New Roman"/>
                <w:b/>
                <w:bCs/>
              </w:rPr>
              <w:t>5</w:t>
            </w:r>
          </w:p>
        </w:tc>
        <w:tc>
          <w:tcPr>
            <w:tcW w:w="2597" w:type="dxa"/>
          </w:tcPr>
          <w:p>
            <w:pPr>
              <w:spacing w:before="120" w:after="120"/>
              <w:jc w:val="left"/>
              <w:rPr>
                <w:rFonts w:cs="Times New Roman"/>
                <w:b/>
                <w:bCs/>
              </w:rPr>
            </w:pPr>
            <w:r>
              <w:rPr>
                <w:rFonts w:cs="Times New Roman"/>
                <w:kern w:val="3"/>
              </w:rPr>
              <w:t>Hickman</w:t>
            </w:r>
            <w:r>
              <w:rPr>
                <w:rFonts w:hint="eastAsia" w:cs="Times New Roman"/>
                <w:kern w:val="3"/>
              </w:rPr>
              <w:t xml:space="preserve"> </w:t>
            </w:r>
            <w:r>
              <w:rPr>
                <w:rFonts w:cs="Times New Roman"/>
                <w:kern w:val="3"/>
              </w:rPr>
              <w:t>and Silva,</w:t>
            </w:r>
            <w:r>
              <w:rPr>
                <w:rFonts w:hint="eastAsia" w:cs="Times New Roman"/>
                <w:kern w:val="3"/>
              </w:rPr>
              <w:t xml:space="preserve"> 2016</w:t>
            </w:r>
          </w:p>
        </w:tc>
        <w:tc>
          <w:tcPr>
            <w:tcW w:w="4603" w:type="dxa"/>
          </w:tcPr>
          <w:p>
            <w:pPr>
              <w:spacing w:before="120" w:after="120"/>
              <w:rPr>
                <w:rFonts w:cs="Times New Roman"/>
              </w:rPr>
            </w:pPr>
            <w:r>
              <w:rPr>
                <w:rFonts w:hint="eastAsia" w:cs="Times New Roman"/>
              </w:rPr>
              <w:t>The performance of education industry in China</w:t>
            </w:r>
          </w:p>
        </w:tc>
        <w:tc>
          <w:tcPr>
            <w:tcW w:w="737" w:type="dxa"/>
          </w:tcPr>
          <w:p>
            <w:pPr>
              <w:spacing w:before="120" w:after="120"/>
            </w:pPr>
            <w:r>
              <w:rPr>
                <w:rFonts w:hint="eastAsia" w:cs="Times New Roman"/>
                <w:b/>
                <w:bCs/>
              </w:rPr>
              <w:t>✔</w:t>
            </w:r>
          </w:p>
        </w:tc>
        <w:tc>
          <w:tcPr>
            <w:tcW w:w="688" w:type="dxa"/>
          </w:tcPr>
          <w:p>
            <w:pPr>
              <w:spacing w:before="120" w:after="120"/>
            </w:pPr>
          </w:p>
          <w:p>
            <w:pPr>
              <w:spacing w:before="120" w:after="120"/>
            </w:pPr>
          </w:p>
        </w:tc>
        <w:tc>
          <w:tcPr>
            <w:tcW w:w="725" w:type="dxa"/>
          </w:tcPr>
          <w:p>
            <w:pPr>
              <w:spacing w:before="120" w:after="1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trPr>
        <w:tc>
          <w:tcPr>
            <w:tcW w:w="775" w:type="dxa"/>
          </w:tcPr>
          <w:p>
            <w:pPr>
              <w:spacing w:before="120" w:after="120"/>
              <w:jc w:val="left"/>
              <w:rPr>
                <w:rFonts w:cs="Times New Roman"/>
                <w:b/>
                <w:bCs/>
              </w:rPr>
            </w:pPr>
            <w:r>
              <w:rPr>
                <w:rFonts w:hint="eastAsia" w:cs="Times New Roman"/>
                <w:b/>
                <w:bCs/>
              </w:rPr>
              <w:t>6</w:t>
            </w:r>
          </w:p>
        </w:tc>
        <w:tc>
          <w:tcPr>
            <w:tcW w:w="2597" w:type="dxa"/>
          </w:tcPr>
          <w:p>
            <w:pPr>
              <w:spacing w:before="120" w:after="120"/>
              <w:jc w:val="left"/>
              <w:rPr>
                <w:rFonts w:cs="Times New Roman"/>
                <w:b/>
                <w:bCs/>
              </w:rPr>
            </w:pPr>
            <w:r>
              <w:rPr>
                <w:rFonts w:cs="Times New Roman"/>
                <w:kern w:val="3"/>
              </w:rPr>
              <w:t>Choi</w:t>
            </w:r>
            <w:r>
              <w:rPr>
                <w:rFonts w:hint="eastAsia" w:cs="Times New Roman"/>
                <w:kern w:val="3"/>
              </w:rPr>
              <w:t>，</w:t>
            </w:r>
            <w:r>
              <w:rPr>
                <w:rFonts w:cs="Times New Roman"/>
                <w:kern w:val="3"/>
              </w:rPr>
              <w:t>2015</w:t>
            </w:r>
          </w:p>
        </w:tc>
        <w:tc>
          <w:tcPr>
            <w:tcW w:w="4603" w:type="dxa"/>
          </w:tcPr>
          <w:p>
            <w:pPr>
              <w:spacing w:before="120" w:after="120"/>
              <w:rPr>
                <w:rFonts w:cs="Times New Roman"/>
                <w:b/>
                <w:bCs/>
              </w:rPr>
            </w:pPr>
            <w:r>
              <w:rPr>
                <w:rFonts w:hint="eastAsia" w:cs="Times New Roman"/>
              </w:rPr>
              <w:t>The performance of education industry in China</w:t>
            </w:r>
          </w:p>
        </w:tc>
        <w:tc>
          <w:tcPr>
            <w:tcW w:w="737" w:type="dxa"/>
          </w:tcPr>
          <w:p>
            <w:pPr>
              <w:spacing w:before="120" w:after="120"/>
            </w:pPr>
            <w:r>
              <w:rPr>
                <w:rFonts w:hint="eastAsia" w:cs="Times New Roman"/>
                <w:b/>
                <w:bCs/>
              </w:rPr>
              <w:t>✔</w:t>
            </w:r>
          </w:p>
        </w:tc>
        <w:tc>
          <w:tcPr>
            <w:tcW w:w="688" w:type="dxa"/>
          </w:tcPr>
          <w:p>
            <w:pPr>
              <w:spacing w:before="120" w:after="120"/>
            </w:pPr>
          </w:p>
          <w:p>
            <w:pPr>
              <w:spacing w:before="120" w:after="120"/>
            </w:pPr>
          </w:p>
        </w:tc>
        <w:tc>
          <w:tcPr>
            <w:tcW w:w="725" w:type="dxa"/>
          </w:tcPr>
          <w:p>
            <w:pPr>
              <w:spacing w:before="120" w:after="1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75" w:type="dxa"/>
          </w:tcPr>
          <w:p>
            <w:pPr>
              <w:spacing w:before="120" w:after="120"/>
              <w:jc w:val="left"/>
              <w:rPr>
                <w:rFonts w:cs="Times New Roman"/>
                <w:b/>
                <w:bCs/>
              </w:rPr>
            </w:pPr>
            <w:r>
              <w:rPr>
                <w:rFonts w:hint="eastAsia" w:cs="Times New Roman"/>
                <w:b/>
                <w:bCs/>
              </w:rPr>
              <w:t>7</w:t>
            </w:r>
          </w:p>
        </w:tc>
        <w:tc>
          <w:tcPr>
            <w:tcW w:w="2597" w:type="dxa"/>
          </w:tcPr>
          <w:p>
            <w:pPr>
              <w:spacing w:before="120" w:after="120"/>
              <w:jc w:val="left"/>
              <w:rPr>
                <w:rFonts w:cs="Times New Roman"/>
                <w:b/>
                <w:bCs/>
              </w:rPr>
            </w:pPr>
            <w:r>
              <w:rPr>
                <w:rFonts w:eastAsia="Arial" w:cs="Times New Roman"/>
                <w:color w:val="000000" w:themeColor="text1"/>
                <w:shd w:val="clear" w:color="auto" w:fill="FFFFFF"/>
                <w14:textFill>
                  <w14:solidFill>
                    <w14:schemeClr w14:val="tx1"/>
                  </w14:solidFill>
                </w14:textFill>
              </w:rPr>
              <w:t>Deal</w:t>
            </w:r>
            <w:r>
              <w:rPr>
                <w:rFonts w:hint="eastAsia" w:eastAsia="宋体" w:cs="Times New Roman"/>
                <w:color w:val="000000" w:themeColor="text1"/>
                <w:shd w:val="clear" w:color="auto" w:fill="FFFFFF"/>
                <w14:textFill>
                  <w14:solidFill>
                    <w14:schemeClr w14:val="tx1"/>
                  </w14:solidFill>
                </w14:textFill>
              </w:rPr>
              <w:t xml:space="preserve"> </w:t>
            </w:r>
            <w:r>
              <w:rPr>
                <w:rFonts w:eastAsia="Arial" w:cs="Times New Roman"/>
                <w:color w:val="000000" w:themeColor="text1"/>
                <w:shd w:val="clear" w:color="auto" w:fill="FFFFFF"/>
                <w14:textFill>
                  <w14:solidFill>
                    <w14:schemeClr w14:val="tx1"/>
                  </w14:solidFill>
                </w14:textFill>
              </w:rPr>
              <w:t>and Kennedy</w:t>
            </w:r>
            <w:r>
              <w:rPr>
                <w:rFonts w:hint="eastAsia" w:eastAsia="宋体" w:cs="Times New Roman"/>
                <w:color w:val="000000" w:themeColor="text1"/>
                <w:shd w:val="clear" w:color="auto" w:fill="FFFFFF"/>
                <w14:textFill>
                  <w14:solidFill>
                    <w14:schemeClr w14:val="tx1"/>
                  </w14:solidFill>
                </w14:textFill>
              </w:rPr>
              <w:t>，     2008</w:t>
            </w:r>
          </w:p>
        </w:tc>
        <w:tc>
          <w:tcPr>
            <w:tcW w:w="4603" w:type="dxa"/>
          </w:tcPr>
          <w:p>
            <w:pPr>
              <w:spacing w:before="120" w:after="120"/>
              <w:rPr>
                <w:rFonts w:cs="Times New Roman"/>
                <w:b/>
                <w:bCs/>
              </w:rPr>
            </w:pPr>
            <w:r>
              <w:rPr>
                <w:rFonts w:hint="eastAsia"/>
              </w:rPr>
              <w:t xml:space="preserve">Definition and Origin of D &amp; K </w:t>
            </w:r>
            <w:r>
              <w:t>‘</w:t>
            </w:r>
            <w:r>
              <w:rPr>
                <w:rFonts w:hint="eastAsia"/>
              </w:rPr>
              <w:t>s c</w:t>
            </w:r>
            <w:r>
              <w:t xml:space="preserve">orporate culture </w:t>
            </w:r>
            <w:r>
              <w:rPr>
                <w:rFonts w:hint="eastAsia"/>
              </w:rPr>
              <w:t xml:space="preserve">dimensions </w:t>
            </w:r>
          </w:p>
        </w:tc>
        <w:tc>
          <w:tcPr>
            <w:tcW w:w="737" w:type="dxa"/>
          </w:tcPr>
          <w:p>
            <w:pPr>
              <w:spacing w:before="120" w:after="120"/>
            </w:pPr>
          </w:p>
        </w:tc>
        <w:tc>
          <w:tcPr>
            <w:tcW w:w="688" w:type="dxa"/>
          </w:tcPr>
          <w:p>
            <w:pPr>
              <w:spacing w:before="120" w:after="120"/>
              <w:rPr>
                <w:rFonts w:cs="Times New Roman"/>
                <w:b/>
                <w:bCs/>
              </w:rPr>
            </w:pPr>
            <w:r>
              <w:rPr>
                <w:rFonts w:hint="eastAsia" w:cs="Times New Roman"/>
                <w:b/>
                <w:bCs/>
              </w:rPr>
              <w:t>✔</w:t>
            </w:r>
          </w:p>
        </w:tc>
        <w:tc>
          <w:tcPr>
            <w:tcW w:w="725" w:type="dxa"/>
          </w:tcPr>
          <w:p>
            <w:pPr>
              <w:spacing w:before="120" w:after="1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1" w:hRule="atLeast"/>
        </w:trPr>
        <w:tc>
          <w:tcPr>
            <w:tcW w:w="775" w:type="dxa"/>
          </w:tcPr>
          <w:p>
            <w:pPr>
              <w:spacing w:before="120" w:after="120"/>
              <w:jc w:val="left"/>
              <w:rPr>
                <w:rFonts w:cs="Times New Roman"/>
                <w:b/>
                <w:bCs/>
              </w:rPr>
            </w:pPr>
            <w:r>
              <w:rPr>
                <w:rFonts w:hint="eastAsia" w:cs="Times New Roman"/>
                <w:b/>
                <w:bCs/>
              </w:rPr>
              <w:t>8</w:t>
            </w:r>
          </w:p>
        </w:tc>
        <w:tc>
          <w:tcPr>
            <w:tcW w:w="2597" w:type="dxa"/>
          </w:tcPr>
          <w:p>
            <w:pPr>
              <w:spacing w:before="120" w:after="120"/>
              <w:jc w:val="left"/>
              <w:rPr>
                <w:rFonts w:cs="Times New Roman"/>
                <w:b/>
                <w:bCs/>
              </w:rPr>
            </w:pPr>
            <w:r>
              <w:rPr>
                <w:rFonts w:cs="Times New Roman"/>
                <w:kern w:val="3"/>
              </w:rPr>
              <w:t>Ellinas</w:t>
            </w:r>
            <w:r>
              <w:rPr>
                <w:rFonts w:hint="eastAsia" w:cs="Times New Roman"/>
                <w:kern w:val="3"/>
              </w:rPr>
              <w:t xml:space="preserve"> </w:t>
            </w:r>
            <w:r>
              <w:rPr>
                <w:rFonts w:cs="Times New Roman"/>
                <w:kern w:val="3"/>
              </w:rPr>
              <w:t>and Lamprianou,</w:t>
            </w:r>
            <w:r>
              <w:rPr>
                <w:rFonts w:hint="eastAsia" w:cs="Times New Roman"/>
                <w:kern w:val="3"/>
              </w:rPr>
              <w:t xml:space="preserve"> </w:t>
            </w:r>
            <w:r>
              <w:rPr>
                <w:rFonts w:cs="Times New Roman"/>
                <w:kern w:val="3"/>
              </w:rPr>
              <w:t>2016</w:t>
            </w:r>
          </w:p>
        </w:tc>
        <w:tc>
          <w:tcPr>
            <w:tcW w:w="4603" w:type="dxa"/>
          </w:tcPr>
          <w:p>
            <w:pPr>
              <w:spacing w:before="120" w:after="120"/>
              <w:rPr>
                <w:rFonts w:eastAsia="宋体" w:cs="Times New Roman"/>
                <w:b/>
                <w:bCs/>
              </w:rPr>
            </w:pPr>
            <w:r>
              <w:rPr>
                <w:rFonts w:eastAsia="Arial" w:cs="Times New Roman"/>
                <w:color w:val="000000" w:themeColor="text1"/>
                <w:shd w:val="clear" w:color="auto" w:fill="FFFFFF"/>
                <w14:textFill>
                  <w14:solidFill>
                    <w14:schemeClr w14:val="tx1"/>
                  </w14:solidFill>
                </w14:textFill>
              </w:rPr>
              <w:t>Deal</w:t>
            </w:r>
            <w:r>
              <w:rPr>
                <w:rFonts w:hint="eastAsia" w:eastAsia="宋体" w:cs="Times New Roman"/>
                <w:color w:val="000000" w:themeColor="text1"/>
                <w:shd w:val="clear" w:color="auto" w:fill="FFFFFF"/>
                <w14:textFill>
                  <w14:solidFill>
                    <w14:schemeClr w14:val="tx1"/>
                  </w14:solidFill>
                </w14:textFill>
              </w:rPr>
              <w:t xml:space="preserve"> &amp;</w:t>
            </w:r>
            <w:r>
              <w:rPr>
                <w:rFonts w:eastAsia="Arial" w:cs="Times New Roman"/>
                <w:color w:val="000000" w:themeColor="text1"/>
                <w:shd w:val="clear" w:color="auto" w:fill="FFFFFF"/>
                <w14:textFill>
                  <w14:solidFill>
                    <w14:schemeClr w14:val="tx1"/>
                  </w14:solidFill>
                </w14:textFill>
              </w:rPr>
              <w:t xml:space="preserve"> Kennedy</w:t>
            </w:r>
            <w:r>
              <w:rPr>
                <w:rFonts w:hint="eastAsia" w:eastAsia="宋体" w:cs="Times New Roman"/>
                <w:color w:val="000000" w:themeColor="text1"/>
                <w:shd w:val="clear" w:color="auto" w:fill="FFFFFF"/>
                <w14:textFill>
                  <w14:solidFill>
                    <w14:schemeClr w14:val="tx1"/>
                  </w14:solidFill>
                </w14:textFill>
              </w:rPr>
              <w:t xml:space="preserve"> c</w:t>
            </w:r>
            <w:r>
              <w:t xml:space="preserve">orporate culture </w:t>
            </w:r>
            <w:r>
              <w:rPr>
                <w:rFonts w:hint="eastAsia"/>
              </w:rPr>
              <w:t>dimensions- B</w:t>
            </w:r>
            <w:r>
              <w:t>usiness environment</w:t>
            </w:r>
          </w:p>
        </w:tc>
        <w:tc>
          <w:tcPr>
            <w:tcW w:w="737" w:type="dxa"/>
          </w:tcPr>
          <w:p>
            <w:pPr>
              <w:spacing w:before="120" w:after="120"/>
            </w:pPr>
          </w:p>
        </w:tc>
        <w:tc>
          <w:tcPr>
            <w:tcW w:w="688" w:type="dxa"/>
          </w:tcPr>
          <w:p>
            <w:pPr>
              <w:spacing w:before="120" w:after="120"/>
            </w:pPr>
          </w:p>
          <w:p>
            <w:pPr>
              <w:spacing w:before="120" w:after="120"/>
            </w:pPr>
            <w:r>
              <w:rPr>
                <w:rFonts w:hint="eastAsia" w:cs="Times New Roman"/>
                <w:b/>
                <w:bCs/>
              </w:rPr>
              <w:t>✔</w:t>
            </w:r>
          </w:p>
        </w:tc>
        <w:tc>
          <w:tcPr>
            <w:tcW w:w="725" w:type="dxa"/>
          </w:tcPr>
          <w:p>
            <w:pPr>
              <w:spacing w:before="120" w:after="1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trPr>
        <w:tc>
          <w:tcPr>
            <w:tcW w:w="775" w:type="dxa"/>
          </w:tcPr>
          <w:p>
            <w:pPr>
              <w:spacing w:before="120" w:after="120"/>
              <w:jc w:val="left"/>
              <w:rPr>
                <w:rFonts w:cs="Times New Roman"/>
                <w:kern w:val="3"/>
              </w:rPr>
            </w:pPr>
            <w:r>
              <w:rPr>
                <w:rFonts w:hint="eastAsia" w:cs="Times New Roman"/>
                <w:b/>
                <w:bCs/>
                <w:kern w:val="3"/>
              </w:rPr>
              <w:t>9</w:t>
            </w:r>
          </w:p>
        </w:tc>
        <w:tc>
          <w:tcPr>
            <w:tcW w:w="2597" w:type="dxa"/>
          </w:tcPr>
          <w:p>
            <w:pPr>
              <w:spacing w:before="120" w:after="120"/>
              <w:jc w:val="left"/>
              <w:rPr>
                <w:rFonts w:cs="Times New Roman"/>
                <w:b/>
                <w:bCs/>
              </w:rPr>
            </w:pPr>
            <w:r>
              <w:rPr>
                <w:rFonts w:cs="Times New Roman"/>
                <w:kern w:val="3"/>
              </w:rPr>
              <w:t>Herrmann-Pillath,</w:t>
            </w:r>
            <w:r>
              <w:rPr>
                <w:rFonts w:hint="eastAsia" w:cs="Times New Roman"/>
                <w:kern w:val="3"/>
              </w:rPr>
              <w:t xml:space="preserve"> </w:t>
            </w:r>
            <w:r>
              <w:rPr>
                <w:rFonts w:cs="Times New Roman"/>
                <w:kern w:val="3"/>
              </w:rPr>
              <w:t xml:space="preserve"> 2016</w:t>
            </w:r>
          </w:p>
        </w:tc>
        <w:tc>
          <w:tcPr>
            <w:tcW w:w="4603" w:type="dxa"/>
          </w:tcPr>
          <w:p>
            <w:pPr>
              <w:spacing w:before="120" w:after="120"/>
              <w:rPr>
                <w:rFonts w:cs="Times New Roman"/>
                <w:b/>
                <w:bCs/>
              </w:rPr>
            </w:pPr>
            <w:r>
              <w:rPr>
                <w:rFonts w:eastAsia="Arial" w:cs="Times New Roman"/>
                <w:color w:val="000000" w:themeColor="text1"/>
                <w:shd w:val="clear" w:color="auto" w:fill="FFFFFF"/>
                <w14:textFill>
                  <w14:solidFill>
                    <w14:schemeClr w14:val="tx1"/>
                  </w14:solidFill>
                </w14:textFill>
              </w:rPr>
              <w:t>Deal</w:t>
            </w:r>
            <w:r>
              <w:rPr>
                <w:rFonts w:hint="eastAsia" w:eastAsia="宋体" w:cs="Times New Roman"/>
                <w:color w:val="000000" w:themeColor="text1"/>
                <w:shd w:val="clear" w:color="auto" w:fill="FFFFFF"/>
                <w14:textFill>
                  <w14:solidFill>
                    <w14:schemeClr w14:val="tx1"/>
                  </w14:solidFill>
                </w14:textFill>
              </w:rPr>
              <w:t xml:space="preserve"> &amp;</w:t>
            </w:r>
            <w:r>
              <w:rPr>
                <w:rFonts w:eastAsia="Arial" w:cs="Times New Roman"/>
                <w:color w:val="000000" w:themeColor="text1"/>
                <w:shd w:val="clear" w:color="auto" w:fill="FFFFFF"/>
                <w14:textFill>
                  <w14:solidFill>
                    <w14:schemeClr w14:val="tx1"/>
                  </w14:solidFill>
                </w14:textFill>
              </w:rPr>
              <w:t xml:space="preserve"> Kennedy</w:t>
            </w:r>
            <w:r>
              <w:rPr>
                <w:rFonts w:hint="eastAsia" w:eastAsia="宋体" w:cs="Times New Roman"/>
                <w:color w:val="000000" w:themeColor="text1"/>
                <w:shd w:val="clear" w:color="auto" w:fill="FFFFFF"/>
                <w14:textFill>
                  <w14:solidFill>
                    <w14:schemeClr w14:val="tx1"/>
                  </w14:solidFill>
                </w14:textFill>
              </w:rPr>
              <w:t xml:space="preserve"> c</w:t>
            </w:r>
            <w:r>
              <w:t xml:space="preserve">orporate culture </w:t>
            </w:r>
            <w:r>
              <w:rPr>
                <w:rFonts w:hint="eastAsia"/>
              </w:rPr>
              <w:t xml:space="preserve">dimensions- </w:t>
            </w:r>
            <w:r>
              <w:t>Values</w:t>
            </w:r>
          </w:p>
        </w:tc>
        <w:tc>
          <w:tcPr>
            <w:tcW w:w="737" w:type="dxa"/>
          </w:tcPr>
          <w:p>
            <w:pPr>
              <w:spacing w:before="120" w:after="120"/>
            </w:pPr>
          </w:p>
        </w:tc>
        <w:tc>
          <w:tcPr>
            <w:tcW w:w="688" w:type="dxa"/>
          </w:tcPr>
          <w:p>
            <w:pPr>
              <w:spacing w:before="120" w:after="120"/>
            </w:pPr>
            <w:r>
              <w:rPr>
                <w:rFonts w:hint="eastAsia" w:cs="Times New Roman"/>
                <w:b/>
                <w:bCs/>
              </w:rPr>
              <w:t>✔</w:t>
            </w:r>
          </w:p>
        </w:tc>
        <w:tc>
          <w:tcPr>
            <w:tcW w:w="725" w:type="dxa"/>
          </w:tcPr>
          <w:p>
            <w:pPr>
              <w:spacing w:before="120" w:after="120"/>
            </w:pPr>
          </w:p>
          <w:p>
            <w:pPr>
              <w:spacing w:before="120" w:after="1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trPr>
        <w:tc>
          <w:tcPr>
            <w:tcW w:w="775" w:type="dxa"/>
          </w:tcPr>
          <w:p>
            <w:pPr>
              <w:spacing w:before="120" w:after="120"/>
              <w:jc w:val="left"/>
              <w:rPr>
                <w:rFonts w:cs="Times New Roman"/>
                <w:b/>
                <w:bCs/>
              </w:rPr>
            </w:pPr>
            <w:r>
              <w:rPr>
                <w:rFonts w:hint="eastAsia" w:cs="Times New Roman"/>
                <w:b/>
                <w:bCs/>
              </w:rPr>
              <w:t>10</w:t>
            </w:r>
          </w:p>
        </w:tc>
        <w:tc>
          <w:tcPr>
            <w:tcW w:w="2597" w:type="dxa"/>
          </w:tcPr>
          <w:p>
            <w:pPr>
              <w:spacing w:before="120" w:after="120"/>
              <w:jc w:val="left"/>
              <w:rPr>
                <w:rFonts w:cs="Times New Roman"/>
                <w:b/>
                <w:bCs/>
              </w:rPr>
            </w:pPr>
            <w:r>
              <w:rPr>
                <w:rFonts w:cs="Times New Roman"/>
                <w:kern w:val="3"/>
              </w:rPr>
              <w:t>Manning, 2012</w:t>
            </w:r>
          </w:p>
        </w:tc>
        <w:tc>
          <w:tcPr>
            <w:tcW w:w="4603" w:type="dxa"/>
          </w:tcPr>
          <w:p>
            <w:pPr>
              <w:spacing w:before="120" w:after="120"/>
              <w:rPr>
                <w:rFonts w:cs="Times New Roman"/>
                <w:b/>
                <w:bCs/>
              </w:rPr>
            </w:pPr>
            <w:r>
              <w:rPr>
                <w:rFonts w:eastAsia="Arial" w:cs="Times New Roman"/>
                <w:color w:val="000000" w:themeColor="text1"/>
                <w:shd w:val="clear" w:color="auto" w:fill="FFFFFF"/>
                <w14:textFill>
                  <w14:solidFill>
                    <w14:schemeClr w14:val="tx1"/>
                  </w14:solidFill>
                </w14:textFill>
              </w:rPr>
              <w:t>Deal</w:t>
            </w:r>
            <w:r>
              <w:rPr>
                <w:rFonts w:hint="eastAsia" w:eastAsia="宋体" w:cs="Times New Roman"/>
                <w:color w:val="000000" w:themeColor="text1"/>
                <w:shd w:val="clear" w:color="auto" w:fill="FFFFFF"/>
                <w14:textFill>
                  <w14:solidFill>
                    <w14:schemeClr w14:val="tx1"/>
                  </w14:solidFill>
                </w14:textFill>
              </w:rPr>
              <w:t xml:space="preserve"> &amp;</w:t>
            </w:r>
            <w:r>
              <w:rPr>
                <w:rFonts w:eastAsia="Arial" w:cs="Times New Roman"/>
                <w:color w:val="000000" w:themeColor="text1"/>
                <w:shd w:val="clear" w:color="auto" w:fill="FFFFFF"/>
                <w14:textFill>
                  <w14:solidFill>
                    <w14:schemeClr w14:val="tx1"/>
                  </w14:solidFill>
                </w14:textFill>
              </w:rPr>
              <w:t xml:space="preserve"> Kennedy</w:t>
            </w:r>
            <w:r>
              <w:rPr>
                <w:rFonts w:hint="eastAsia" w:eastAsia="宋体" w:cs="Times New Roman"/>
                <w:color w:val="000000" w:themeColor="text1"/>
                <w:shd w:val="clear" w:color="auto" w:fill="FFFFFF"/>
                <w14:textFill>
                  <w14:solidFill>
                    <w14:schemeClr w14:val="tx1"/>
                  </w14:solidFill>
                </w14:textFill>
              </w:rPr>
              <w:t xml:space="preserve"> c</w:t>
            </w:r>
            <w:r>
              <w:t xml:space="preserve">orporate culture </w:t>
            </w:r>
            <w:r>
              <w:rPr>
                <w:rFonts w:hint="eastAsia"/>
              </w:rPr>
              <w:t xml:space="preserve">dimensions- </w:t>
            </w:r>
            <w:r>
              <w:t>Heroes</w:t>
            </w:r>
          </w:p>
        </w:tc>
        <w:tc>
          <w:tcPr>
            <w:tcW w:w="737" w:type="dxa"/>
          </w:tcPr>
          <w:p>
            <w:pPr>
              <w:spacing w:before="120" w:after="120"/>
            </w:pPr>
          </w:p>
          <w:p>
            <w:pPr>
              <w:spacing w:before="120" w:after="120"/>
            </w:pPr>
          </w:p>
        </w:tc>
        <w:tc>
          <w:tcPr>
            <w:tcW w:w="688" w:type="dxa"/>
          </w:tcPr>
          <w:p>
            <w:pPr>
              <w:spacing w:before="120" w:after="120"/>
            </w:pPr>
            <w:r>
              <w:rPr>
                <w:rFonts w:hint="eastAsia" w:cs="Times New Roman"/>
                <w:b/>
                <w:bCs/>
              </w:rPr>
              <w:t>✔</w:t>
            </w:r>
          </w:p>
        </w:tc>
        <w:tc>
          <w:tcPr>
            <w:tcW w:w="725" w:type="dxa"/>
          </w:tcPr>
          <w:p>
            <w:pPr>
              <w:spacing w:before="120" w:after="1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trPr>
        <w:tc>
          <w:tcPr>
            <w:tcW w:w="775" w:type="dxa"/>
          </w:tcPr>
          <w:p>
            <w:pPr>
              <w:spacing w:before="120" w:after="120"/>
              <w:jc w:val="left"/>
              <w:rPr>
                <w:rFonts w:cs="Times New Roman"/>
                <w:kern w:val="3"/>
              </w:rPr>
            </w:pPr>
            <w:r>
              <w:rPr>
                <w:rFonts w:hint="eastAsia" w:cs="Times New Roman"/>
                <w:b/>
                <w:bCs/>
                <w:kern w:val="3"/>
              </w:rPr>
              <w:t>11</w:t>
            </w:r>
          </w:p>
        </w:tc>
        <w:tc>
          <w:tcPr>
            <w:tcW w:w="2597" w:type="dxa"/>
          </w:tcPr>
          <w:p>
            <w:pPr>
              <w:spacing w:before="120" w:after="120"/>
              <w:jc w:val="left"/>
              <w:rPr>
                <w:rFonts w:cs="Times New Roman"/>
                <w:b/>
                <w:bCs/>
              </w:rPr>
            </w:pPr>
            <w:r>
              <w:rPr>
                <w:rFonts w:cs="Times New Roman"/>
                <w:kern w:val="3"/>
              </w:rPr>
              <w:t>Iribarne, 2012</w:t>
            </w:r>
          </w:p>
        </w:tc>
        <w:tc>
          <w:tcPr>
            <w:tcW w:w="4603" w:type="dxa"/>
          </w:tcPr>
          <w:p>
            <w:pPr>
              <w:spacing w:before="120" w:after="120"/>
              <w:rPr>
                <w:rFonts w:cs="Times New Roman"/>
                <w:b/>
                <w:bCs/>
              </w:rPr>
            </w:pPr>
            <w:r>
              <w:rPr>
                <w:rFonts w:eastAsia="Arial" w:cs="Times New Roman"/>
                <w:color w:val="000000" w:themeColor="text1"/>
                <w:shd w:val="clear" w:color="auto" w:fill="FFFFFF"/>
                <w14:textFill>
                  <w14:solidFill>
                    <w14:schemeClr w14:val="tx1"/>
                  </w14:solidFill>
                </w14:textFill>
              </w:rPr>
              <w:t>Deal</w:t>
            </w:r>
            <w:r>
              <w:rPr>
                <w:rFonts w:hint="eastAsia" w:eastAsia="宋体" w:cs="Times New Roman"/>
                <w:color w:val="000000" w:themeColor="text1"/>
                <w:shd w:val="clear" w:color="auto" w:fill="FFFFFF"/>
                <w14:textFill>
                  <w14:solidFill>
                    <w14:schemeClr w14:val="tx1"/>
                  </w14:solidFill>
                </w14:textFill>
              </w:rPr>
              <w:t xml:space="preserve"> &amp;</w:t>
            </w:r>
            <w:r>
              <w:rPr>
                <w:rFonts w:eastAsia="Arial" w:cs="Times New Roman"/>
                <w:color w:val="000000" w:themeColor="text1"/>
                <w:shd w:val="clear" w:color="auto" w:fill="FFFFFF"/>
                <w14:textFill>
                  <w14:solidFill>
                    <w14:schemeClr w14:val="tx1"/>
                  </w14:solidFill>
                </w14:textFill>
              </w:rPr>
              <w:t xml:space="preserve"> Kennedy</w:t>
            </w:r>
            <w:r>
              <w:rPr>
                <w:rFonts w:hint="eastAsia" w:eastAsia="宋体" w:cs="Times New Roman"/>
                <w:color w:val="000000" w:themeColor="text1"/>
                <w:shd w:val="clear" w:color="auto" w:fill="FFFFFF"/>
                <w14:textFill>
                  <w14:solidFill>
                    <w14:schemeClr w14:val="tx1"/>
                  </w14:solidFill>
                </w14:textFill>
              </w:rPr>
              <w:t xml:space="preserve"> c</w:t>
            </w:r>
            <w:r>
              <w:t xml:space="preserve">orporate culture </w:t>
            </w:r>
            <w:r>
              <w:rPr>
                <w:rFonts w:hint="eastAsia"/>
              </w:rPr>
              <w:t>dimensions- R</w:t>
            </w:r>
            <w:r>
              <w:t>ites and rituals</w:t>
            </w:r>
          </w:p>
        </w:tc>
        <w:tc>
          <w:tcPr>
            <w:tcW w:w="737" w:type="dxa"/>
          </w:tcPr>
          <w:p>
            <w:pPr>
              <w:spacing w:before="120" w:after="120"/>
              <w:rPr>
                <w:color w:val="231F20"/>
                <w:w w:val="105"/>
              </w:rPr>
            </w:pPr>
          </w:p>
        </w:tc>
        <w:tc>
          <w:tcPr>
            <w:tcW w:w="688" w:type="dxa"/>
          </w:tcPr>
          <w:p>
            <w:pPr>
              <w:spacing w:before="120" w:after="120"/>
              <w:rPr>
                <w:color w:val="231F20"/>
                <w:w w:val="105"/>
              </w:rPr>
            </w:pPr>
          </w:p>
          <w:p>
            <w:pPr>
              <w:spacing w:before="120" w:after="120"/>
              <w:rPr>
                <w:color w:val="231F20"/>
                <w:w w:val="105"/>
              </w:rPr>
            </w:pPr>
            <w:r>
              <w:rPr>
                <w:rFonts w:hint="eastAsia" w:cs="Times New Roman"/>
                <w:b/>
                <w:bCs/>
              </w:rPr>
              <w:t>✔</w:t>
            </w:r>
          </w:p>
        </w:tc>
        <w:tc>
          <w:tcPr>
            <w:tcW w:w="725" w:type="dxa"/>
          </w:tcPr>
          <w:p>
            <w:pPr>
              <w:spacing w:before="120" w:after="120"/>
              <w:rPr>
                <w:color w:val="231F20"/>
                <w:w w:val="10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trPr>
        <w:tc>
          <w:tcPr>
            <w:tcW w:w="775" w:type="dxa"/>
          </w:tcPr>
          <w:p>
            <w:pPr>
              <w:spacing w:before="120" w:after="120"/>
              <w:jc w:val="left"/>
              <w:rPr>
                <w:rFonts w:cs="Times New Roman"/>
                <w:kern w:val="3"/>
              </w:rPr>
            </w:pPr>
            <w:r>
              <w:rPr>
                <w:rFonts w:hint="eastAsia" w:cs="Times New Roman"/>
                <w:b/>
                <w:bCs/>
                <w:kern w:val="3"/>
              </w:rPr>
              <w:t>12</w:t>
            </w:r>
          </w:p>
        </w:tc>
        <w:tc>
          <w:tcPr>
            <w:tcW w:w="2597" w:type="dxa"/>
          </w:tcPr>
          <w:p>
            <w:pPr>
              <w:spacing w:before="120" w:after="120"/>
              <w:jc w:val="left"/>
              <w:rPr>
                <w:rFonts w:cs="Times New Roman"/>
                <w:b/>
                <w:bCs/>
              </w:rPr>
            </w:pPr>
            <w:r>
              <w:rPr>
                <w:rFonts w:cs="Times New Roman"/>
                <w:kern w:val="3"/>
              </w:rPr>
              <w:t>Guiso,</w:t>
            </w:r>
            <w:r>
              <w:rPr>
                <w:rFonts w:hint="eastAsia" w:cs="Times New Roman"/>
                <w:kern w:val="3"/>
              </w:rPr>
              <w:t xml:space="preserve"> </w:t>
            </w:r>
            <w:r>
              <w:rPr>
                <w:rFonts w:cs="Times New Roman"/>
                <w:kern w:val="3"/>
              </w:rPr>
              <w:t>Sapienza, and Zingales,</w:t>
            </w:r>
            <w:r>
              <w:rPr>
                <w:rFonts w:hint="eastAsia" w:cs="Times New Roman"/>
                <w:kern w:val="3"/>
              </w:rPr>
              <w:t xml:space="preserve"> </w:t>
            </w:r>
            <w:r>
              <w:rPr>
                <w:rFonts w:cs="Times New Roman"/>
                <w:kern w:val="3"/>
              </w:rPr>
              <w:t>2015</w:t>
            </w:r>
          </w:p>
        </w:tc>
        <w:tc>
          <w:tcPr>
            <w:tcW w:w="4603" w:type="dxa"/>
          </w:tcPr>
          <w:p>
            <w:pPr>
              <w:spacing w:before="120" w:after="120"/>
              <w:rPr>
                <w:rFonts w:cs="Times New Roman"/>
                <w:b/>
                <w:bCs/>
              </w:rPr>
            </w:pPr>
            <w:r>
              <w:rPr>
                <w:rFonts w:eastAsia="Arial" w:cs="Times New Roman"/>
                <w:color w:val="000000" w:themeColor="text1"/>
                <w:shd w:val="clear" w:color="auto" w:fill="FFFFFF"/>
                <w14:textFill>
                  <w14:solidFill>
                    <w14:schemeClr w14:val="tx1"/>
                  </w14:solidFill>
                </w14:textFill>
              </w:rPr>
              <w:t>Deal</w:t>
            </w:r>
            <w:r>
              <w:rPr>
                <w:rFonts w:hint="eastAsia" w:eastAsia="宋体" w:cs="Times New Roman"/>
                <w:color w:val="000000" w:themeColor="text1"/>
                <w:shd w:val="clear" w:color="auto" w:fill="FFFFFF"/>
                <w14:textFill>
                  <w14:solidFill>
                    <w14:schemeClr w14:val="tx1"/>
                  </w14:solidFill>
                </w14:textFill>
              </w:rPr>
              <w:t xml:space="preserve"> &amp;</w:t>
            </w:r>
            <w:r>
              <w:rPr>
                <w:rFonts w:eastAsia="Arial" w:cs="Times New Roman"/>
                <w:color w:val="000000" w:themeColor="text1"/>
                <w:shd w:val="clear" w:color="auto" w:fill="FFFFFF"/>
                <w14:textFill>
                  <w14:solidFill>
                    <w14:schemeClr w14:val="tx1"/>
                  </w14:solidFill>
                </w14:textFill>
              </w:rPr>
              <w:t xml:space="preserve"> Kennedy</w:t>
            </w:r>
            <w:r>
              <w:rPr>
                <w:rFonts w:hint="eastAsia" w:eastAsia="宋体" w:cs="Times New Roman"/>
                <w:color w:val="000000" w:themeColor="text1"/>
                <w:shd w:val="clear" w:color="auto" w:fill="FFFFFF"/>
                <w14:textFill>
                  <w14:solidFill>
                    <w14:schemeClr w14:val="tx1"/>
                  </w14:solidFill>
                </w14:textFill>
              </w:rPr>
              <w:t xml:space="preserve"> c</w:t>
            </w:r>
            <w:r>
              <w:t xml:space="preserve">orporate culture </w:t>
            </w:r>
            <w:r>
              <w:rPr>
                <w:rFonts w:hint="eastAsia"/>
              </w:rPr>
              <w:t>dimensions- C</w:t>
            </w:r>
            <w:r>
              <w:t>ultural network</w:t>
            </w:r>
          </w:p>
        </w:tc>
        <w:tc>
          <w:tcPr>
            <w:tcW w:w="737" w:type="dxa"/>
          </w:tcPr>
          <w:p>
            <w:pPr>
              <w:spacing w:before="120" w:after="120"/>
              <w:rPr>
                <w:color w:val="231F20"/>
                <w:w w:val="110"/>
              </w:rPr>
            </w:pPr>
          </w:p>
        </w:tc>
        <w:tc>
          <w:tcPr>
            <w:tcW w:w="688" w:type="dxa"/>
          </w:tcPr>
          <w:p>
            <w:pPr>
              <w:spacing w:before="120" w:after="120"/>
              <w:rPr>
                <w:color w:val="231F20"/>
                <w:w w:val="110"/>
              </w:rPr>
            </w:pPr>
            <w:r>
              <w:rPr>
                <w:rFonts w:hint="eastAsia" w:cs="Times New Roman"/>
                <w:b/>
                <w:bCs/>
              </w:rPr>
              <w:t>✔</w:t>
            </w:r>
          </w:p>
        </w:tc>
        <w:tc>
          <w:tcPr>
            <w:tcW w:w="725" w:type="dxa"/>
          </w:tcPr>
          <w:p>
            <w:pPr>
              <w:spacing w:before="120" w:after="120"/>
              <w:rPr>
                <w:color w:val="231F20"/>
                <w:w w:val="110"/>
              </w:rPr>
            </w:pPr>
          </w:p>
          <w:p>
            <w:pPr>
              <w:spacing w:before="120" w:after="120"/>
              <w:rPr>
                <w:color w:val="231F20"/>
                <w:w w:val="1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7" w:hRule="atLeast"/>
        </w:trPr>
        <w:tc>
          <w:tcPr>
            <w:tcW w:w="775" w:type="dxa"/>
          </w:tcPr>
          <w:p>
            <w:pPr>
              <w:spacing w:before="120" w:after="120"/>
              <w:jc w:val="left"/>
              <w:rPr>
                <w:rFonts w:cs="Times New Roman"/>
                <w:b/>
                <w:bCs/>
              </w:rPr>
            </w:pPr>
            <w:r>
              <w:rPr>
                <w:rFonts w:hint="eastAsia" w:cs="Times New Roman"/>
                <w:b/>
                <w:bCs/>
              </w:rPr>
              <w:t>13</w:t>
            </w:r>
          </w:p>
        </w:tc>
        <w:tc>
          <w:tcPr>
            <w:tcW w:w="2597" w:type="dxa"/>
          </w:tcPr>
          <w:p>
            <w:pPr>
              <w:spacing w:before="120" w:after="120"/>
              <w:jc w:val="left"/>
              <w:rPr>
                <w:rFonts w:cs="Times New Roman"/>
                <w:b/>
                <w:bCs/>
              </w:rPr>
            </w:pPr>
            <w:r>
              <w:rPr>
                <w:rFonts w:cs="Times New Roman"/>
                <w:color w:val="000000" w:themeColor="text1"/>
                <w14:textFill>
                  <w14:solidFill>
                    <w14:schemeClr w14:val="tx1"/>
                  </w14:solidFill>
                </w14:textFill>
              </w:rPr>
              <w:t>Trompenaars</w:t>
            </w:r>
            <w:r>
              <w:rPr>
                <w:rFonts w:hint="eastAsia" w:cs="Times New Roman"/>
                <w:color w:val="000000" w:themeColor="text1"/>
                <w14:textFill>
                  <w14:solidFill>
                    <w14:schemeClr w14:val="tx1"/>
                  </w14:solidFill>
                </w14:textFill>
              </w:rPr>
              <w:t>， 2015</w:t>
            </w:r>
          </w:p>
        </w:tc>
        <w:tc>
          <w:tcPr>
            <w:tcW w:w="4603" w:type="dxa"/>
          </w:tcPr>
          <w:p>
            <w:pPr>
              <w:spacing w:before="120" w:after="120"/>
              <w:rPr>
                <w:rFonts w:cs="Times New Roman"/>
                <w:b/>
                <w:bCs/>
              </w:rPr>
            </w:pPr>
            <w:r>
              <w:rPr>
                <w:rFonts w:hint="eastAsia"/>
              </w:rPr>
              <w:t xml:space="preserve">Definition and Origin of </w:t>
            </w:r>
            <w:r>
              <w:rPr>
                <w:rFonts w:cs="Times New Roman"/>
                <w:color w:val="000000" w:themeColor="text1"/>
                <w14:textFill>
                  <w14:solidFill>
                    <w14:schemeClr w14:val="tx1"/>
                  </w14:solidFill>
                </w14:textFill>
              </w:rPr>
              <w:t>Trompenaars’</w:t>
            </w:r>
            <w:r>
              <w:rPr>
                <w:rFonts w:hint="eastAsia" w:cs="Times New Roman"/>
                <w:color w:val="000000" w:themeColor="text1"/>
                <w14:textFill>
                  <w14:solidFill>
                    <w14:schemeClr w14:val="tx1"/>
                  </w14:solidFill>
                </w14:textFill>
              </w:rPr>
              <w:t>s</w:t>
            </w:r>
            <w:r>
              <w:rPr>
                <w:rFonts w:hint="eastAsia"/>
              </w:rPr>
              <w:t xml:space="preserve"> c</w:t>
            </w:r>
            <w:r>
              <w:t xml:space="preserve">orporate culture </w:t>
            </w:r>
            <w:r>
              <w:rPr>
                <w:rFonts w:hint="eastAsia"/>
              </w:rPr>
              <w:t xml:space="preserve">dimensions </w:t>
            </w:r>
          </w:p>
        </w:tc>
        <w:tc>
          <w:tcPr>
            <w:tcW w:w="737" w:type="dxa"/>
          </w:tcPr>
          <w:p>
            <w:pPr>
              <w:spacing w:before="120" w:after="120"/>
              <w:rPr>
                <w:rFonts w:cs="Times New Roman"/>
                <w:b/>
                <w:bCs/>
              </w:rPr>
            </w:pPr>
          </w:p>
        </w:tc>
        <w:tc>
          <w:tcPr>
            <w:tcW w:w="688" w:type="dxa"/>
          </w:tcPr>
          <w:p>
            <w:pPr>
              <w:spacing w:before="120" w:after="120"/>
              <w:rPr>
                <w:rFonts w:cs="Times New Roman"/>
                <w:b/>
                <w:bCs/>
              </w:rPr>
            </w:pPr>
          </w:p>
        </w:tc>
        <w:tc>
          <w:tcPr>
            <w:tcW w:w="725" w:type="dxa"/>
          </w:tcPr>
          <w:p>
            <w:pPr>
              <w:spacing w:before="120" w:after="120"/>
            </w:pPr>
          </w:p>
          <w:p>
            <w:pPr>
              <w:spacing w:before="120" w:after="120"/>
              <w:rPr>
                <w:rFonts w:cs="Times New Roman"/>
                <w:b/>
                <w:bCs/>
              </w:rPr>
            </w:pPr>
            <w:r>
              <w:rPr>
                <w:rFonts w:hint="eastAsia" w:cs="Times New Roman"/>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6" w:hRule="atLeast"/>
        </w:trPr>
        <w:tc>
          <w:tcPr>
            <w:tcW w:w="775" w:type="dxa"/>
          </w:tcPr>
          <w:p>
            <w:pPr>
              <w:spacing w:before="120" w:after="120"/>
              <w:jc w:val="left"/>
              <w:rPr>
                <w:rFonts w:cs="Times New Roman"/>
                <w:b/>
                <w:bCs/>
              </w:rPr>
            </w:pPr>
            <w:r>
              <w:rPr>
                <w:rFonts w:hint="eastAsia" w:cs="Times New Roman"/>
                <w:b/>
                <w:bCs/>
              </w:rPr>
              <w:t>14</w:t>
            </w:r>
          </w:p>
        </w:tc>
        <w:tc>
          <w:tcPr>
            <w:tcW w:w="2597" w:type="dxa"/>
          </w:tcPr>
          <w:p>
            <w:pPr>
              <w:spacing w:before="120" w:after="120"/>
              <w:jc w:val="left"/>
              <w:rPr>
                <w:rFonts w:cs="Times New Roman"/>
                <w:b/>
                <w:bCs/>
              </w:rPr>
            </w:pPr>
            <w:r>
              <w:rPr>
                <w:rFonts w:cs="Times New Roman"/>
                <w:kern w:val="3"/>
              </w:rPr>
              <w:t>Argenti,</w:t>
            </w:r>
            <w:r>
              <w:rPr>
                <w:rFonts w:hint="eastAsia" w:cs="Times New Roman"/>
                <w:kern w:val="3"/>
              </w:rPr>
              <w:t xml:space="preserve"> </w:t>
            </w:r>
            <w:r>
              <w:rPr>
                <w:rFonts w:cs="Times New Roman"/>
                <w:kern w:val="3"/>
              </w:rPr>
              <w:t>2013</w:t>
            </w:r>
          </w:p>
        </w:tc>
        <w:tc>
          <w:tcPr>
            <w:tcW w:w="4603" w:type="dxa"/>
          </w:tcPr>
          <w:p>
            <w:pPr>
              <w:spacing w:before="120" w:after="120"/>
              <w:rPr>
                <w:rFonts w:cs="Times New Roman"/>
                <w:b/>
                <w:bCs/>
              </w:rPr>
            </w:pPr>
            <w:r>
              <w:rPr>
                <w:rFonts w:cs="Times New Roman"/>
                <w:color w:val="000000" w:themeColor="text1"/>
                <w14:textFill>
                  <w14:solidFill>
                    <w14:schemeClr w14:val="tx1"/>
                  </w14:solidFill>
                </w14:textFill>
              </w:rPr>
              <w:t>Trompenaars’</w:t>
            </w:r>
            <w:r>
              <w:rPr>
                <w:rFonts w:hint="eastAsia" w:cs="Times New Roman"/>
                <w:color w:val="000000" w:themeColor="text1"/>
                <w14:textFill>
                  <w14:solidFill>
                    <w14:schemeClr w14:val="tx1"/>
                  </w14:solidFill>
                </w14:textFill>
              </w:rPr>
              <w:t>s</w:t>
            </w:r>
            <w:r>
              <w:rPr>
                <w:rFonts w:hint="eastAsia"/>
              </w:rPr>
              <w:t xml:space="preserve"> c</w:t>
            </w:r>
            <w:r>
              <w:t xml:space="preserve">orporate culture </w:t>
            </w:r>
            <w:r>
              <w:rPr>
                <w:rFonts w:hint="eastAsia"/>
              </w:rPr>
              <w:t>dimensions- Universalism versus Particularism</w:t>
            </w:r>
          </w:p>
        </w:tc>
        <w:tc>
          <w:tcPr>
            <w:tcW w:w="737" w:type="dxa"/>
          </w:tcPr>
          <w:p>
            <w:pPr>
              <w:spacing w:before="120" w:after="120"/>
              <w:rPr>
                <w:rFonts w:cs="Times New Roman"/>
                <w:b/>
                <w:bCs/>
              </w:rPr>
            </w:pPr>
          </w:p>
        </w:tc>
        <w:tc>
          <w:tcPr>
            <w:tcW w:w="688" w:type="dxa"/>
          </w:tcPr>
          <w:p>
            <w:pPr>
              <w:spacing w:before="120" w:after="120"/>
              <w:rPr>
                <w:rFonts w:cs="Times New Roman"/>
                <w:b/>
                <w:bCs/>
              </w:rPr>
            </w:pPr>
          </w:p>
        </w:tc>
        <w:tc>
          <w:tcPr>
            <w:tcW w:w="725" w:type="dxa"/>
          </w:tcPr>
          <w:p>
            <w:pPr>
              <w:spacing w:before="120" w:after="120"/>
              <w:rPr>
                <w:rFonts w:cs="Times New Roman"/>
                <w:b/>
                <w:bCs/>
              </w:rPr>
            </w:pPr>
            <w:r>
              <w:rPr>
                <w:rFonts w:hint="eastAsia" w:cs="Times New Roman"/>
                <w:b/>
                <w:bCs/>
              </w:rPr>
              <w:t>✔</w:t>
            </w:r>
          </w:p>
          <w:p>
            <w:pPr>
              <w:spacing w:before="120" w:after="120"/>
              <w:rPr>
                <w:rFonts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75" w:type="dxa"/>
          </w:tcPr>
          <w:p>
            <w:pPr>
              <w:spacing w:before="120" w:after="120"/>
              <w:jc w:val="left"/>
              <w:rPr>
                <w:rFonts w:cs="Times New Roman"/>
                <w:b/>
                <w:bCs/>
              </w:rPr>
            </w:pPr>
            <w:r>
              <w:rPr>
                <w:rFonts w:hint="eastAsia" w:cs="Times New Roman"/>
                <w:b/>
                <w:bCs/>
              </w:rPr>
              <w:t>15</w:t>
            </w:r>
          </w:p>
        </w:tc>
        <w:tc>
          <w:tcPr>
            <w:tcW w:w="2597" w:type="dxa"/>
          </w:tcPr>
          <w:p>
            <w:pPr>
              <w:spacing w:before="120" w:after="120"/>
              <w:jc w:val="left"/>
              <w:rPr>
                <w:rFonts w:cs="Times New Roman"/>
                <w:b/>
                <w:bCs/>
              </w:rPr>
            </w:pPr>
            <w:r>
              <w:rPr>
                <w:rFonts w:cs="Times New Roman"/>
                <w:kern w:val="3"/>
              </w:rPr>
              <w:t>Manzoni, 20</w:t>
            </w:r>
            <w:r>
              <w:rPr>
                <w:rFonts w:hint="eastAsia" w:cs="Times New Roman"/>
                <w:kern w:val="3"/>
              </w:rPr>
              <w:t>13</w:t>
            </w:r>
          </w:p>
        </w:tc>
        <w:tc>
          <w:tcPr>
            <w:tcW w:w="4603" w:type="dxa"/>
          </w:tcPr>
          <w:p>
            <w:pPr>
              <w:spacing w:before="120" w:after="120"/>
              <w:rPr>
                <w:rFonts w:cs="Times New Roman"/>
                <w:b/>
                <w:bCs/>
              </w:rPr>
            </w:pPr>
            <w:r>
              <w:rPr>
                <w:rFonts w:cs="Times New Roman"/>
                <w:color w:val="000000" w:themeColor="text1"/>
                <w14:textFill>
                  <w14:solidFill>
                    <w14:schemeClr w14:val="tx1"/>
                  </w14:solidFill>
                </w14:textFill>
              </w:rPr>
              <w:t>Trompenaars’</w:t>
            </w:r>
            <w:r>
              <w:rPr>
                <w:rFonts w:hint="eastAsia" w:cs="Times New Roman"/>
                <w:color w:val="000000" w:themeColor="text1"/>
                <w14:textFill>
                  <w14:solidFill>
                    <w14:schemeClr w14:val="tx1"/>
                  </w14:solidFill>
                </w14:textFill>
              </w:rPr>
              <w:t>s</w:t>
            </w:r>
            <w:r>
              <w:rPr>
                <w:rFonts w:hint="eastAsia"/>
              </w:rPr>
              <w:t xml:space="preserve"> c</w:t>
            </w:r>
            <w:r>
              <w:t xml:space="preserve">orporate culture </w:t>
            </w:r>
            <w:r>
              <w:rPr>
                <w:rFonts w:hint="eastAsia"/>
              </w:rPr>
              <w:t>dimensions- Individualism versus Communitarianism</w:t>
            </w:r>
          </w:p>
        </w:tc>
        <w:tc>
          <w:tcPr>
            <w:tcW w:w="737" w:type="dxa"/>
          </w:tcPr>
          <w:p>
            <w:pPr>
              <w:spacing w:before="120" w:after="120"/>
              <w:rPr>
                <w:rFonts w:cs="Times New Roman"/>
                <w:b/>
                <w:bCs/>
              </w:rPr>
            </w:pPr>
          </w:p>
          <w:p>
            <w:pPr>
              <w:spacing w:before="120" w:after="120"/>
              <w:rPr>
                <w:rFonts w:cs="Times New Roman"/>
                <w:b/>
                <w:bCs/>
              </w:rPr>
            </w:pPr>
          </w:p>
        </w:tc>
        <w:tc>
          <w:tcPr>
            <w:tcW w:w="688" w:type="dxa"/>
          </w:tcPr>
          <w:p>
            <w:pPr>
              <w:spacing w:before="120" w:after="120"/>
              <w:rPr>
                <w:rFonts w:cs="Times New Roman"/>
                <w:b/>
                <w:bCs/>
              </w:rPr>
            </w:pPr>
          </w:p>
        </w:tc>
        <w:tc>
          <w:tcPr>
            <w:tcW w:w="725" w:type="dxa"/>
          </w:tcPr>
          <w:p>
            <w:pPr>
              <w:spacing w:before="120" w:after="120"/>
              <w:rPr>
                <w:rFonts w:cs="Times New Roman"/>
                <w:b/>
                <w:bCs/>
              </w:rPr>
            </w:pPr>
          </w:p>
          <w:p>
            <w:pPr>
              <w:spacing w:before="120" w:after="120"/>
              <w:rPr>
                <w:rFonts w:cs="Times New Roman"/>
                <w:b/>
                <w:bCs/>
              </w:rPr>
            </w:pPr>
            <w:r>
              <w:rPr>
                <w:rFonts w:hint="eastAsia" w:cs="Times New Roman"/>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4" w:hRule="atLeast"/>
        </w:trPr>
        <w:tc>
          <w:tcPr>
            <w:tcW w:w="775" w:type="dxa"/>
          </w:tcPr>
          <w:p>
            <w:pPr>
              <w:spacing w:before="120" w:after="120"/>
              <w:jc w:val="left"/>
              <w:rPr>
                <w:rFonts w:cs="Times New Roman"/>
                <w:b/>
                <w:bCs/>
              </w:rPr>
            </w:pPr>
            <w:r>
              <w:rPr>
                <w:rFonts w:hint="eastAsia" w:cs="Times New Roman"/>
                <w:b/>
                <w:bCs/>
              </w:rPr>
              <w:t>16</w:t>
            </w:r>
          </w:p>
        </w:tc>
        <w:tc>
          <w:tcPr>
            <w:tcW w:w="2597" w:type="dxa"/>
          </w:tcPr>
          <w:p>
            <w:pPr>
              <w:spacing w:before="120" w:after="120"/>
              <w:jc w:val="left"/>
              <w:rPr>
                <w:rFonts w:cs="Times New Roman"/>
                <w:b/>
                <w:bCs/>
              </w:rPr>
            </w:pPr>
            <w:r>
              <w:rPr>
                <w:rFonts w:cs="Times New Roman"/>
                <w:kern w:val="3"/>
              </w:rPr>
              <w:t>Sauvant</w:t>
            </w:r>
            <w:r>
              <w:rPr>
                <w:rFonts w:hint="eastAsia" w:cs="Times New Roman"/>
                <w:kern w:val="3"/>
              </w:rPr>
              <w:t xml:space="preserve"> </w:t>
            </w:r>
            <w:r>
              <w:rPr>
                <w:rFonts w:cs="Times New Roman"/>
                <w:kern w:val="3"/>
              </w:rPr>
              <w:t>and Strauss, 2012</w:t>
            </w:r>
          </w:p>
        </w:tc>
        <w:tc>
          <w:tcPr>
            <w:tcW w:w="4603" w:type="dxa"/>
          </w:tcPr>
          <w:p>
            <w:pPr>
              <w:spacing w:before="120" w:after="120"/>
              <w:rPr>
                <w:rFonts w:cs="Times New Roman"/>
                <w:b/>
                <w:bCs/>
              </w:rPr>
            </w:pPr>
            <w:r>
              <w:rPr>
                <w:rFonts w:cs="Times New Roman"/>
                <w:color w:val="000000" w:themeColor="text1"/>
                <w14:textFill>
                  <w14:solidFill>
                    <w14:schemeClr w14:val="tx1"/>
                  </w14:solidFill>
                </w14:textFill>
              </w:rPr>
              <w:t>Trompenaars’</w:t>
            </w:r>
            <w:r>
              <w:rPr>
                <w:rFonts w:hint="eastAsia" w:cs="Times New Roman"/>
                <w:color w:val="000000" w:themeColor="text1"/>
                <w14:textFill>
                  <w14:solidFill>
                    <w14:schemeClr w14:val="tx1"/>
                  </w14:solidFill>
                </w14:textFill>
              </w:rPr>
              <w:t>s</w:t>
            </w:r>
            <w:r>
              <w:rPr>
                <w:rFonts w:hint="eastAsia"/>
              </w:rPr>
              <w:t xml:space="preserve"> c</w:t>
            </w:r>
            <w:r>
              <w:t xml:space="preserve">orporate culture </w:t>
            </w:r>
            <w:r>
              <w:rPr>
                <w:rFonts w:hint="eastAsia"/>
              </w:rPr>
              <w:t>dimensions- Neutral versus Emotional</w:t>
            </w:r>
          </w:p>
        </w:tc>
        <w:tc>
          <w:tcPr>
            <w:tcW w:w="737" w:type="dxa"/>
          </w:tcPr>
          <w:p>
            <w:pPr>
              <w:spacing w:before="120" w:after="120"/>
            </w:pPr>
          </w:p>
        </w:tc>
        <w:tc>
          <w:tcPr>
            <w:tcW w:w="688" w:type="dxa"/>
          </w:tcPr>
          <w:p>
            <w:pPr>
              <w:spacing w:before="120" w:after="120"/>
            </w:pPr>
          </w:p>
          <w:p>
            <w:pPr>
              <w:spacing w:before="120" w:after="120"/>
            </w:pPr>
          </w:p>
        </w:tc>
        <w:tc>
          <w:tcPr>
            <w:tcW w:w="725" w:type="dxa"/>
          </w:tcPr>
          <w:p>
            <w:pPr>
              <w:spacing w:before="120" w:after="120"/>
            </w:pPr>
            <w:r>
              <w:rPr>
                <w:rFonts w:hint="eastAsia" w:cs="Times New Roman"/>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75" w:type="dxa"/>
          </w:tcPr>
          <w:p>
            <w:pPr>
              <w:spacing w:before="120" w:after="120"/>
              <w:jc w:val="left"/>
              <w:rPr>
                <w:rFonts w:cs="Times New Roman"/>
                <w:b/>
                <w:bCs/>
              </w:rPr>
            </w:pPr>
            <w:r>
              <w:rPr>
                <w:rFonts w:hint="eastAsia" w:cs="Times New Roman"/>
                <w:b/>
                <w:bCs/>
              </w:rPr>
              <w:t>17</w:t>
            </w:r>
          </w:p>
        </w:tc>
        <w:tc>
          <w:tcPr>
            <w:tcW w:w="2597" w:type="dxa"/>
          </w:tcPr>
          <w:p>
            <w:pPr>
              <w:spacing w:before="120" w:after="120"/>
              <w:jc w:val="left"/>
              <w:rPr>
                <w:rFonts w:cs="Times New Roman"/>
                <w:b/>
                <w:bCs/>
              </w:rPr>
            </w:pPr>
            <w:r>
              <w:rPr>
                <w:rFonts w:cs="Times New Roman"/>
                <w:kern w:val="3"/>
              </w:rPr>
              <w:t>Wang,</w:t>
            </w:r>
            <w:r>
              <w:rPr>
                <w:rFonts w:hint="eastAsia" w:cs="Times New Roman"/>
                <w:kern w:val="3"/>
              </w:rPr>
              <w:t xml:space="preserve"> </w:t>
            </w:r>
            <w:r>
              <w:rPr>
                <w:rFonts w:cs="Times New Roman"/>
                <w:kern w:val="3"/>
              </w:rPr>
              <w:t>Guthrie</w:t>
            </w:r>
            <w:r>
              <w:rPr>
                <w:rFonts w:hint="eastAsia" w:cs="Times New Roman"/>
                <w:kern w:val="3"/>
              </w:rPr>
              <w:t xml:space="preserve"> </w:t>
            </w:r>
            <w:r>
              <w:rPr>
                <w:rFonts w:cs="Times New Roman"/>
                <w:kern w:val="3"/>
              </w:rPr>
              <w:t>and Xiao, 2012</w:t>
            </w:r>
          </w:p>
        </w:tc>
        <w:tc>
          <w:tcPr>
            <w:tcW w:w="4603" w:type="dxa"/>
          </w:tcPr>
          <w:p>
            <w:pPr>
              <w:spacing w:before="120" w:after="120"/>
            </w:pPr>
            <w:r>
              <w:rPr>
                <w:rFonts w:cs="Times New Roman"/>
                <w:color w:val="000000" w:themeColor="text1"/>
                <w14:textFill>
                  <w14:solidFill>
                    <w14:schemeClr w14:val="tx1"/>
                  </w14:solidFill>
                </w14:textFill>
              </w:rPr>
              <w:t>Trompenaars’</w:t>
            </w:r>
            <w:r>
              <w:rPr>
                <w:rFonts w:hint="eastAsia" w:cs="Times New Roman"/>
                <w:color w:val="000000" w:themeColor="text1"/>
                <w14:textFill>
                  <w14:solidFill>
                    <w14:schemeClr w14:val="tx1"/>
                  </w14:solidFill>
                </w14:textFill>
              </w:rPr>
              <w:t>s</w:t>
            </w:r>
            <w:r>
              <w:rPr>
                <w:rFonts w:hint="eastAsia"/>
              </w:rPr>
              <w:t xml:space="preserve"> c</w:t>
            </w:r>
            <w:r>
              <w:t xml:space="preserve">orporate culture </w:t>
            </w:r>
            <w:r>
              <w:rPr>
                <w:rFonts w:hint="eastAsia"/>
              </w:rPr>
              <w:t>dimensions- Achievement versus Ascription</w:t>
            </w:r>
          </w:p>
        </w:tc>
        <w:tc>
          <w:tcPr>
            <w:tcW w:w="737" w:type="dxa"/>
          </w:tcPr>
          <w:p>
            <w:pPr>
              <w:spacing w:before="120" w:after="120"/>
            </w:pPr>
          </w:p>
        </w:tc>
        <w:tc>
          <w:tcPr>
            <w:tcW w:w="688" w:type="dxa"/>
          </w:tcPr>
          <w:p>
            <w:pPr>
              <w:spacing w:before="120" w:after="120"/>
            </w:pPr>
          </w:p>
          <w:p>
            <w:pPr>
              <w:spacing w:before="120" w:after="120"/>
            </w:pPr>
          </w:p>
        </w:tc>
        <w:tc>
          <w:tcPr>
            <w:tcW w:w="725" w:type="dxa"/>
          </w:tcPr>
          <w:p>
            <w:pPr>
              <w:spacing w:before="120" w:after="120"/>
            </w:pPr>
            <w:r>
              <w:rPr>
                <w:rFonts w:hint="eastAsia" w:cs="Times New Roman"/>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1" w:hRule="atLeast"/>
        </w:trPr>
        <w:tc>
          <w:tcPr>
            <w:tcW w:w="775" w:type="dxa"/>
          </w:tcPr>
          <w:p>
            <w:pPr>
              <w:spacing w:before="120" w:after="120"/>
              <w:jc w:val="left"/>
              <w:rPr>
                <w:rFonts w:cs="Times New Roman"/>
                <w:b/>
                <w:bCs/>
              </w:rPr>
            </w:pPr>
            <w:r>
              <w:rPr>
                <w:rFonts w:hint="eastAsia" w:cs="Times New Roman"/>
                <w:b/>
                <w:bCs/>
              </w:rPr>
              <w:t>18</w:t>
            </w:r>
          </w:p>
        </w:tc>
        <w:tc>
          <w:tcPr>
            <w:tcW w:w="2597" w:type="dxa"/>
          </w:tcPr>
          <w:p>
            <w:pPr>
              <w:spacing w:before="120" w:after="120"/>
              <w:jc w:val="left"/>
              <w:rPr>
                <w:rFonts w:cs="Times New Roman"/>
                <w:b/>
                <w:bCs/>
              </w:rPr>
            </w:pPr>
            <w:r>
              <w:rPr>
                <w:rFonts w:cs="Times New Roman"/>
                <w:color w:val="000000" w:themeColor="text1"/>
                <w14:textFill>
                  <w14:solidFill>
                    <w14:schemeClr w14:val="tx1"/>
                  </w14:solidFill>
                </w14:textFill>
              </w:rPr>
              <w:t>Schmidtke</w:t>
            </w:r>
            <w:r>
              <w:rPr>
                <w:rFonts w:hint="eastAsia" w:cs="Times New Roman"/>
                <w:color w:val="000000" w:themeColor="text1"/>
                <w14:textFill>
                  <w14:solidFill>
                    <w14:schemeClr w14:val="tx1"/>
                  </w14:solidFill>
                </w14:textFill>
              </w:rPr>
              <w:t xml:space="preserve"> and Chen, 2015</w:t>
            </w:r>
          </w:p>
        </w:tc>
        <w:tc>
          <w:tcPr>
            <w:tcW w:w="4603" w:type="dxa"/>
          </w:tcPr>
          <w:p>
            <w:pPr>
              <w:spacing w:before="120" w:after="120"/>
            </w:pPr>
            <w:r>
              <w:rPr>
                <w:rFonts w:cs="Times New Roman"/>
                <w:color w:val="000000" w:themeColor="text1"/>
                <w14:textFill>
                  <w14:solidFill>
                    <w14:schemeClr w14:val="tx1"/>
                  </w14:solidFill>
                </w14:textFill>
              </w:rPr>
              <w:t>Trompenaars’</w:t>
            </w:r>
            <w:r>
              <w:rPr>
                <w:rFonts w:hint="eastAsia" w:cs="Times New Roman"/>
                <w:color w:val="000000" w:themeColor="text1"/>
                <w14:textFill>
                  <w14:solidFill>
                    <w14:schemeClr w14:val="tx1"/>
                  </w14:solidFill>
                </w14:textFill>
              </w:rPr>
              <w:t>s</w:t>
            </w:r>
            <w:r>
              <w:rPr>
                <w:rFonts w:hint="eastAsia"/>
              </w:rPr>
              <w:t xml:space="preserve"> c</w:t>
            </w:r>
            <w:r>
              <w:t xml:space="preserve">orporate culture </w:t>
            </w:r>
            <w:r>
              <w:rPr>
                <w:rFonts w:hint="eastAsia"/>
              </w:rPr>
              <w:t>dimensions- Internal direction versus External direction</w:t>
            </w:r>
          </w:p>
        </w:tc>
        <w:tc>
          <w:tcPr>
            <w:tcW w:w="737" w:type="dxa"/>
          </w:tcPr>
          <w:p>
            <w:pPr>
              <w:spacing w:before="120" w:after="120"/>
            </w:pPr>
          </w:p>
        </w:tc>
        <w:tc>
          <w:tcPr>
            <w:tcW w:w="688" w:type="dxa"/>
          </w:tcPr>
          <w:p>
            <w:pPr>
              <w:spacing w:before="120" w:after="120"/>
              <w:rPr>
                <w:rFonts w:cs="Times New Roman"/>
                <w:b/>
                <w:bCs/>
              </w:rPr>
            </w:pPr>
          </w:p>
        </w:tc>
        <w:tc>
          <w:tcPr>
            <w:tcW w:w="725" w:type="dxa"/>
          </w:tcPr>
          <w:p>
            <w:pPr>
              <w:spacing w:before="120" w:after="120"/>
            </w:pPr>
          </w:p>
          <w:p>
            <w:pPr>
              <w:spacing w:before="120" w:after="120"/>
            </w:pPr>
            <w:r>
              <w:rPr>
                <w:rFonts w:hint="eastAsia" w:cs="Times New Roman"/>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trPr>
        <w:tc>
          <w:tcPr>
            <w:tcW w:w="775" w:type="dxa"/>
          </w:tcPr>
          <w:p>
            <w:pPr>
              <w:spacing w:before="120" w:after="120"/>
              <w:jc w:val="left"/>
              <w:rPr>
                <w:rFonts w:cs="Times New Roman"/>
                <w:b/>
                <w:bCs/>
              </w:rPr>
            </w:pPr>
            <w:r>
              <w:rPr>
                <w:rFonts w:hint="eastAsia" w:cs="Times New Roman"/>
                <w:b/>
                <w:bCs/>
              </w:rPr>
              <w:t>19</w:t>
            </w:r>
          </w:p>
        </w:tc>
        <w:tc>
          <w:tcPr>
            <w:tcW w:w="2597" w:type="dxa"/>
          </w:tcPr>
          <w:p>
            <w:pPr>
              <w:spacing w:before="120" w:after="120"/>
              <w:jc w:val="left"/>
              <w:rPr>
                <w:rFonts w:cs="Times New Roman"/>
                <w:b/>
                <w:bCs/>
              </w:rPr>
            </w:pPr>
            <w:r>
              <w:rPr>
                <w:rFonts w:hint="eastAsia" w:cs="Times New Roman"/>
              </w:rPr>
              <w:t>Sun, 2012</w:t>
            </w:r>
          </w:p>
        </w:tc>
        <w:tc>
          <w:tcPr>
            <w:tcW w:w="4603" w:type="dxa"/>
          </w:tcPr>
          <w:p>
            <w:pPr>
              <w:spacing w:before="120" w:after="120"/>
            </w:pPr>
            <w:r>
              <w:rPr>
                <w:rFonts w:hint="eastAsia"/>
              </w:rPr>
              <w:t>Education system and corporate culture</w:t>
            </w:r>
          </w:p>
        </w:tc>
        <w:tc>
          <w:tcPr>
            <w:tcW w:w="737" w:type="dxa"/>
          </w:tcPr>
          <w:p>
            <w:pPr>
              <w:spacing w:before="120" w:after="120"/>
            </w:pPr>
            <w:r>
              <w:rPr>
                <w:rFonts w:hint="eastAsia" w:cs="Times New Roman"/>
                <w:b/>
                <w:bCs/>
              </w:rPr>
              <w:t>✔</w:t>
            </w:r>
          </w:p>
        </w:tc>
        <w:tc>
          <w:tcPr>
            <w:tcW w:w="688" w:type="dxa"/>
          </w:tcPr>
          <w:p>
            <w:pPr>
              <w:spacing w:before="120" w:after="120"/>
              <w:rPr>
                <w:rFonts w:cs="Times New Roman"/>
                <w:b/>
                <w:bCs/>
              </w:rPr>
            </w:pPr>
            <w:r>
              <w:rPr>
                <w:rFonts w:hint="eastAsia" w:cs="Times New Roman"/>
                <w:b/>
                <w:bCs/>
              </w:rPr>
              <w:t>✔</w:t>
            </w:r>
          </w:p>
        </w:tc>
        <w:tc>
          <w:tcPr>
            <w:tcW w:w="725" w:type="dxa"/>
          </w:tcPr>
          <w:p>
            <w:pPr>
              <w:spacing w:before="120" w:after="120"/>
              <w:rPr>
                <w:rFonts w:cs="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75" w:type="dxa"/>
          </w:tcPr>
          <w:p>
            <w:pPr>
              <w:spacing w:before="120" w:after="120"/>
              <w:jc w:val="left"/>
              <w:rPr>
                <w:rFonts w:cs="Times New Roman"/>
                <w:b/>
                <w:bCs/>
              </w:rPr>
            </w:pPr>
            <w:r>
              <w:rPr>
                <w:rFonts w:hint="eastAsia" w:cs="Times New Roman"/>
                <w:b/>
                <w:bCs/>
              </w:rPr>
              <w:t>20</w:t>
            </w:r>
          </w:p>
        </w:tc>
        <w:tc>
          <w:tcPr>
            <w:tcW w:w="2597" w:type="dxa"/>
          </w:tcPr>
          <w:p>
            <w:pPr>
              <w:spacing w:before="120" w:after="120"/>
              <w:jc w:val="left"/>
              <w:rPr>
                <w:rFonts w:cs="Times New Roman"/>
                <w:b/>
                <w:bCs/>
              </w:rPr>
            </w:pPr>
            <w:r>
              <w:rPr>
                <w:rFonts w:hint="eastAsia" w:cs="Times New Roman"/>
              </w:rPr>
              <w:t>Zuo, 2018</w:t>
            </w:r>
          </w:p>
        </w:tc>
        <w:tc>
          <w:tcPr>
            <w:tcW w:w="4603" w:type="dxa"/>
          </w:tcPr>
          <w:p>
            <w:pPr>
              <w:spacing w:before="120" w:after="120"/>
            </w:pPr>
            <w:r>
              <w:rPr>
                <w:rFonts w:hint="eastAsia"/>
              </w:rPr>
              <w:t>Education system and corporate culture</w:t>
            </w:r>
          </w:p>
        </w:tc>
        <w:tc>
          <w:tcPr>
            <w:tcW w:w="737" w:type="dxa"/>
          </w:tcPr>
          <w:p>
            <w:pPr>
              <w:spacing w:before="120" w:after="120"/>
            </w:pPr>
          </w:p>
        </w:tc>
        <w:tc>
          <w:tcPr>
            <w:tcW w:w="688" w:type="dxa"/>
          </w:tcPr>
          <w:p>
            <w:pPr>
              <w:spacing w:before="120" w:after="120"/>
              <w:rPr>
                <w:rFonts w:cs="Times New Roman"/>
                <w:b/>
                <w:bCs/>
              </w:rPr>
            </w:pPr>
            <w:r>
              <w:rPr>
                <w:rFonts w:hint="eastAsia" w:cs="Times New Roman"/>
                <w:b/>
                <w:bCs/>
              </w:rPr>
              <w:t>✔</w:t>
            </w:r>
          </w:p>
        </w:tc>
        <w:tc>
          <w:tcPr>
            <w:tcW w:w="725" w:type="dxa"/>
          </w:tcPr>
          <w:p>
            <w:pPr>
              <w:spacing w:before="120" w:after="120"/>
              <w:rPr>
                <w:rFonts w:cs="Times New Roman"/>
                <w:b/>
                <w:bCs/>
              </w:rPr>
            </w:pPr>
            <w:r>
              <w:rPr>
                <w:rFonts w:hint="eastAsia" w:cs="Times New Roman"/>
                <w:b/>
                <w:bCs/>
              </w:rPr>
              <w:t>✔</w:t>
            </w:r>
          </w:p>
        </w:tc>
      </w:tr>
    </w:tbl>
    <w:p>
      <w:pPr>
        <w:pStyle w:val="2"/>
        <w:spacing w:before="360" w:after="120"/>
        <w:rPr>
          <w:rFonts w:hint="eastAsia"/>
        </w:rPr>
      </w:pPr>
      <w:bookmarkStart w:id="293" w:name="_Toc11847_WPSOffice_Level1"/>
      <w:bookmarkStart w:id="294" w:name="_Toc20555_WPSOffice_Level1"/>
      <w:bookmarkStart w:id="295" w:name="_Toc23386_WPSOffice_Level1"/>
      <w:bookmarkStart w:id="296" w:name="_Toc13924_WPSOffice_Level1"/>
      <w:r>
        <w:rPr>
          <w:rFonts w:hint="eastAsia"/>
        </w:rPr>
        <w:t xml:space="preserve">APPENDIX B. </w:t>
      </w:r>
      <w:bookmarkEnd w:id="293"/>
      <w:bookmarkEnd w:id="294"/>
      <w:bookmarkEnd w:id="295"/>
      <w:bookmarkEnd w:id="296"/>
      <w:r>
        <w:rPr>
          <w:rFonts w:hint="eastAsia"/>
        </w:rPr>
        <w:t>PROJECT PAPER LOG</w:t>
      </w:r>
    </w:p>
    <w:p>
      <w:pPr>
        <w:spacing w:before="120" w:after="120" w:line="477" w:lineRule="auto"/>
        <w:ind w:left="159"/>
        <w:jc w:val="left"/>
        <w:rPr>
          <w:sz w:val="22"/>
        </w:rPr>
      </w:pPr>
      <w:r>
        <w:rPr>
          <w:sz w:val="22"/>
        </w:rPr>
        <w:t>This is an important document, which is to be handed in with your dissertation. This log will be taken into consideration when awarding the final mark for the dissertation.</w:t>
      </w:r>
    </w:p>
    <w:tbl>
      <w:tblPr>
        <w:tblStyle w:val="15"/>
        <w:tblpPr w:leftFromText="180" w:rightFromText="180" w:vertAnchor="text" w:horzAnchor="page" w:tblpX="1795" w:tblpY="502"/>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6"/>
        <w:gridCol w:w="5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6" w:hRule="atLeast"/>
        </w:trPr>
        <w:tc>
          <w:tcPr>
            <w:tcW w:w="2856" w:type="dxa"/>
          </w:tcPr>
          <w:p>
            <w:pPr>
              <w:spacing w:before="120" w:after="120" w:line="252" w:lineRule="exact"/>
              <w:ind w:left="103"/>
              <w:jc w:val="left"/>
              <w:rPr>
                <w:b/>
              </w:rPr>
            </w:pPr>
            <w:r>
              <w:rPr>
                <w:b/>
              </w:rPr>
              <w:t>Student Name:</w:t>
            </w:r>
          </w:p>
          <w:p>
            <w:pPr>
              <w:spacing w:before="120" w:after="120"/>
              <w:rPr>
                <w:sz w:val="22"/>
              </w:rPr>
            </w:pPr>
          </w:p>
        </w:tc>
        <w:tc>
          <w:tcPr>
            <w:tcW w:w="5666" w:type="dxa"/>
          </w:tcPr>
          <w:p>
            <w:pPr>
              <w:spacing w:before="120" w:after="120"/>
              <w:jc w:val="center"/>
              <w:rPr>
                <w:rFonts w:cs="Times New Roman"/>
                <w:b/>
                <w:bCs/>
              </w:rPr>
            </w:pPr>
            <w:r>
              <w:rPr>
                <w:rFonts w:hint="eastAsia" w:cs="Times New Roman"/>
                <w:b/>
                <w:bCs/>
              </w:rPr>
              <w:t>RUAN HANWEI</w:t>
            </w:r>
          </w:p>
          <w:p>
            <w:pPr>
              <w:spacing w:before="120" w:after="120"/>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2856" w:type="dxa"/>
          </w:tcPr>
          <w:p>
            <w:pPr>
              <w:spacing w:before="120" w:after="120" w:line="252" w:lineRule="exact"/>
              <w:ind w:left="103"/>
              <w:jc w:val="left"/>
              <w:rPr>
                <w:b/>
              </w:rPr>
            </w:pPr>
            <w:r>
              <w:rPr>
                <w:b/>
              </w:rPr>
              <w:t>Supervisor’s Name:</w:t>
            </w:r>
          </w:p>
          <w:p>
            <w:pPr>
              <w:spacing w:before="120" w:after="120"/>
              <w:rPr>
                <w:sz w:val="22"/>
              </w:rPr>
            </w:pPr>
          </w:p>
        </w:tc>
        <w:tc>
          <w:tcPr>
            <w:tcW w:w="5666" w:type="dxa"/>
          </w:tcPr>
          <w:p>
            <w:pPr>
              <w:spacing w:before="120" w:after="120"/>
              <w:jc w:val="center"/>
              <w:rPr>
                <w:rFonts w:cs="Times New Roman"/>
                <w:b/>
                <w:bCs/>
              </w:rPr>
            </w:pPr>
            <w:r>
              <w:rPr>
                <w:rFonts w:hint="eastAsia" w:cs="Times New Roman"/>
                <w:b/>
                <w:bCs/>
              </w:rPr>
              <w:t>ASSOC.PROF. DR. LEE KAR LING</w:t>
            </w:r>
          </w:p>
          <w:p>
            <w:pPr>
              <w:spacing w:before="120" w:after="120"/>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0" w:hRule="atLeast"/>
        </w:trPr>
        <w:tc>
          <w:tcPr>
            <w:tcW w:w="8522" w:type="dxa"/>
            <w:gridSpan w:val="2"/>
          </w:tcPr>
          <w:p>
            <w:pPr>
              <w:spacing w:before="120" w:after="120" w:line="244" w:lineRule="exact"/>
              <w:jc w:val="left"/>
              <w:rPr>
                <w:b/>
                <w:sz w:val="28"/>
                <w:szCs w:val="28"/>
              </w:rPr>
            </w:pPr>
            <w:r>
              <w:rPr>
                <w:b/>
                <w:sz w:val="28"/>
                <w:szCs w:val="28"/>
              </w:rPr>
              <w:t>Dissertation Topic:</w:t>
            </w:r>
          </w:p>
          <w:p>
            <w:pPr>
              <w:spacing w:before="120" w:after="120" w:line="244" w:lineRule="exact"/>
              <w:jc w:val="left"/>
              <w:rPr>
                <w:b/>
                <w:sz w:val="28"/>
                <w:szCs w:val="28"/>
              </w:rPr>
            </w:pPr>
          </w:p>
          <w:p>
            <w:pPr>
              <w:spacing w:before="120" w:after="120"/>
              <w:rPr>
                <w:sz w:val="22"/>
              </w:rPr>
            </w:pPr>
            <w:r>
              <w:rPr>
                <w:rFonts w:hint="eastAsia" w:cs="Times New Roman"/>
                <w:b/>
                <w:bCs/>
              </w:rPr>
              <w:t>THE INFLUENCE OF WESTERN CORPORATE CULTURE ON THE EDUCATION INDUSTRY IN CHINA</w:t>
            </w:r>
          </w:p>
        </w:tc>
      </w:tr>
    </w:tbl>
    <w:p>
      <w:pPr>
        <w:spacing w:before="120" w:after="120" w:line="477" w:lineRule="auto"/>
        <w:ind w:left="159"/>
        <w:jc w:val="left"/>
        <w:rPr>
          <w:sz w:val="22"/>
        </w:rPr>
      </w:pPr>
    </w:p>
    <w:p>
      <w:pPr>
        <w:spacing w:before="120" w:after="120"/>
        <w:rPr>
          <w:sz w:val="22"/>
        </w:rPr>
      </w:pPr>
    </w:p>
    <w:p>
      <w:pPr>
        <w:spacing w:before="120" w:after="120"/>
      </w:pPr>
    </w:p>
    <w:p>
      <w:pPr>
        <w:spacing w:before="120" w:after="120"/>
      </w:pPr>
    </w:p>
    <w:p>
      <w:pPr>
        <w:spacing w:before="120" w:after="120"/>
      </w:pPr>
    </w:p>
    <w:p>
      <w:pPr>
        <w:spacing w:before="120" w:after="120"/>
      </w:pPr>
    </w:p>
    <w:p>
      <w:pPr>
        <w:spacing w:before="120" w:after="120"/>
      </w:pPr>
    </w:p>
    <w:p>
      <w:pPr>
        <w:spacing w:before="120" w:after="120"/>
        <w:jc w:val="left"/>
        <w:rPr>
          <w:b/>
          <w:color w:val="0000FF"/>
          <w:sz w:val="22"/>
        </w:rPr>
      </w:pPr>
    </w:p>
    <w:p>
      <w:pPr>
        <w:spacing w:before="120" w:after="120"/>
        <w:ind w:firstLine="221" w:firstLineChars="100"/>
        <w:jc w:val="left"/>
        <w:rPr>
          <w:b/>
          <w:color w:val="0000FF"/>
          <w:sz w:val="22"/>
        </w:rPr>
      </w:pPr>
    </w:p>
    <w:p>
      <w:pPr>
        <w:spacing w:before="120" w:after="120"/>
        <w:ind w:firstLine="221" w:firstLineChars="100"/>
        <w:jc w:val="left"/>
        <w:rPr>
          <w:b/>
          <w:color w:val="0000FF"/>
          <w:sz w:val="22"/>
        </w:rPr>
      </w:pPr>
    </w:p>
    <w:p>
      <w:pPr>
        <w:spacing w:before="120" w:after="120"/>
        <w:ind w:firstLine="221" w:firstLineChars="100"/>
        <w:jc w:val="left"/>
        <w:rPr>
          <w:b/>
          <w:color w:val="0000FF"/>
          <w:sz w:val="22"/>
        </w:rPr>
      </w:pPr>
    </w:p>
    <w:p>
      <w:pPr>
        <w:spacing w:before="120" w:after="120"/>
        <w:ind w:firstLine="221" w:firstLineChars="100"/>
        <w:jc w:val="left"/>
        <w:rPr>
          <w:b/>
          <w:color w:val="0000FF"/>
          <w:sz w:val="22"/>
        </w:rPr>
      </w:pPr>
    </w:p>
    <w:p>
      <w:pPr>
        <w:spacing w:before="120" w:after="120"/>
        <w:ind w:firstLine="221" w:firstLineChars="100"/>
        <w:jc w:val="left"/>
        <w:rPr>
          <w:b/>
          <w:color w:val="0000FF"/>
          <w:sz w:val="22"/>
        </w:rPr>
      </w:pPr>
    </w:p>
    <w:p>
      <w:pPr>
        <w:spacing w:before="120" w:after="120"/>
        <w:ind w:firstLine="221" w:firstLineChars="100"/>
        <w:jc w:val="left"/>
        <w:rPr>
          <w:b/>
          <w:color w:val="0000FF"/>
          <w:sz w:val="22"/>
        </w:rPr>
      </w:pPr>
    </w:p>
    <w:p>
      <w:pPr>
        <w:spacing w:before="120" w:after="120"/>
        <w:ind w:firstLine="221" w:firstLineChars="100"/>
        <w:jc w:val="left"/>
        <w:rPr>
          <w:b/>
          <w:color w:val="0000FF"/>
          <w:sz w:val="22"/>
        </w:rPr>
      </w:pPr>
    </w:p>
    <w:p>
      <w:pPr>
        <w:spacing w:before="120" w:after="120"/>
        <w:ind w:firstLine="221" w:firstLineChars="100"/>
        <w:jc w:val="left"/>
        <w:rPr>
          <w:b/>
          <w:color w:val="0000FF"/>
          <w:sz w:val="22"/>
        </w:rPr>
      </w:pPr>
    </w:p>
    <w:p>
      <w:pPr>
        <w:spacing w:before="120" w:after="120"/>
        <w:ind w:firstLine="221" w:firstLineChars="100"/>
        <w:jc w:val="left"/>
        <w:rPr>
          <w:b/>
          <w:color w:val="0000FF"/>
          <w:sz w:val="22"/>
        </w:rPr>
      </w:pPr>
    </w:p>
    <w:p>
      <w:pPr>
        <w:spacing w:before="120" w:after="120"/>
        <w:ind w:firstLine="221" w:firstLineChars="100"/>
        <w:jc w:val="left"/>
        <w:rPr>
          <w:b/>
          <w:color w:val="0000FF"/>
          <w:sz w:val="22"/>
        </w:rPr>
      </w:pPr>
    </w:p>
    <w:p>
      <w:pPr>
        <w:spacing w:before="120" w:after="120"/>
        <w:ind w:firstLine="221" w:firstLineChars="100"/>
        <w:jc w:val="left"/>
        <w:rPr>
          <w:b/>
          <w:color w:val="0000FF"/>
          <w:sz w:val="22"/>
        </w:rPr>
      </w:pPr>
    </w:p>
    <w:p>
      <w:pPr>
        <w:spacing w:before="120" w:after="120"/>
        <w:ind w:firstLine="221" w:firstLineChars="100"/>
        <w:jc w:val="left"/>
        <w:rPr>
          <w:b/>
          <w:color w:val="0000FF"/>
          <w:sz w:val="22"/>
        </w:rPr>
      </w:pPr>
    </w:p>
    <w:p>
      <w:pPr>
        <w:spacing w:before="120" w:after="120"/>
        <w:ind w:firstLine="221" w:firstLineChars="100"/>
        <w:jc w:val="left"/>
        <w:rPr>
          <w:b/>
          <w:sz w:val="30"/>
        </w:rPr>
      </w:pPr>
      <w:r>
        <w:rPr>
          <w:b/>
          <w:color w:val="0000FF"/>
          <w:sz w:val="22"/>
        </w:rPr>
        <w:t>SECTION A. MONITORING STUDENT DISSERTATION PROCESS</w:t>
      </w:r>
    </w:p>
    <w:p>
      <w:pPr>
        <w:spacing w:before="120" w:after="120" w:line="480" w:lineRule="auto"/>
        <w:ind w:left="159"/>
        <w:jc w:val="left"/>
        <w:rPr>
          <w:b/>
          <w:sz w:val="25"/>
        </w:rPr>
      </w:pPr>
      <w:r>
        <w:rPr>
          <w:b/>
          <w:sz w:val="22"/>
        </w:rPr>
        <w:t>The plan below is to be agreed between the student &amp; supervisor and will be monitored against progress made at each session.</w:t>
      </w:r>
      <w:bookmarkStart w:id="297" w:name="_GoBack"/>
      <w:bookmarkEnd w:id="297"/>
    </w:p>
    <w:tbl>
      <w:tblPr>
        <w:tblStyle w:val="14"/>
        <w:tblW w:w="9700" w:type="dxa"/>
        <w:tblInd w:w="17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285"/>
        <w:gridCol w:w="801"/>
        <w:gridCol w:w="802"/>
        <w:gridCol w:w="801"/>
        <w:gridCol w:w="802"/>
        <w:gridCol w:w="802"/>
        <w:gridCol w:w="802"/>
        <w:gridCol w:w="801"/>
        <w:gridCol w:w="80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53" w:hRule="atLeast"/>
        </w:trPr>
        <w:tc>
          <w:tcPr>
            <w:tcW w:w="3285" w:type="dxa"/>
            <w:vMerge w:val="restart"/>
            <w:tcBorders>
              <w:bottom w:val="single" w:color="000000" w:sz="4" w:space="0"/>
              <w:right w:val="single" w:color="000000" w:sz="4" w:space="0"/>
            </w:tcBorders>
          </w:tcPr>
          <w:p>
            <w:pPr>
              <w:pStyle w:val="20"/>
              <w:spacing w:before="120" w:after="120"/>
              <w:jc w:val="center"/>
              <w:rPr>
                <w:b/>
                <w:sz w:val="23"/>
              </w:rPr>
            </w:pPr>
          </w:p>
          <w:p>
            <w:pPr>
              <w:pStyle w:val="20"/>
              <w:spacing w:before="120" w:after="120"/>
              <w:ind w:left="14"/>
              <w:jc w:val="center"/>
              <w:rPr>
                <w:b/>
                <w:sz w:val="22"/>
              </w:rPr>
            </w:pPr>
            <w:r>
              <w:rPr>
                <w:b/>
                <w:sz w:val="22"/>
              </w:rPr>
              <w:t>Activity</w:t>
            </w:r>
          </w:p>
        </w:tc>
        <w:tc>
          <w:tcPr>
            <w:tcW w:w="6415" w:type="dxa"/>
            <w:gridSpan w:val="8"/>
            <w:tcBorders>
              <w:left w:val="single" w:color="000000" w:sz="4" w:space="0"/>
              <w:bottom w:val="single" w:color="000000" w:sz="4" w:space="0"/>
            </w:tcBorders>
          </w:tcPr>
          <w:p>
            <w:pPr>
              <w:pStyle w:val="20"/>
              <w:spacing w:before="120" w:after="120"/>
              <w:ind w:left="18"/>
              <w:jc w:val="center"/>
              <w:rPr>
                <w:b/>
                <w:sz w:val="22"/>
              </w:rPr>
            </w:pPr>
            <w:r>
              <w:rPr>
                <w:b/>
                <w:sz w:val="22"/>
              </w:rPr>
              <w:t>Milestone/Deliverable Date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08" w:hRule="atLeast"/>
        </w:trPr>
        <w:tc>
          <w:tcPr>
            <w:tcW w:w="3285" w:type="dxa"/>
            <w:vMerge w:val="continue"/>
            <w:tcBorders>
              <w:top w:val="nil"/>
              <w:bottom w:val="single" w:color="000000" w:sz="4" w:space="0"/>
              <w:right w:val="single" w:color="000000" w:sz="4" w:space="0"/>
            </w:tcBorders>
          </w:tcPr>
          <w:p>
            <w:pPr>
              <w:spacing w:before="120" w:after="120"/>
              <w:jc w:val="center"/>
              <w:rPr>
                <w:sz w:val="2"/>
                <w:szCs w:val="2"/>
              </w:rPr>
            </w:pP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rFonts w:eastAsia="宋体"/>
                <w:sz w:val="22"/>
                <w:lang w:eastAsia="zh-CN"/>
              </w:rPr>
            </w:pPr>
            <w:r>
              <w:rPr>
                <w:rFonts w:hint="eastAsia" w:eastAsia="宋体"/>
                <w:sz w:val="22"/>
                <w:lang w:eastAsia="zh-CN"/>
              </w:rPr>
              <w:t>Week1</w:t>
            </w: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rFonts w:eastAsia="宋体"/>
                <w:sz w:val="22"/>
                <w:lang w:eastAsia="zh-CN"/>
              </w:rPr>
            </w:pPr>
            <w:r>
              <w:rPr>
                <w:rFonts w:hint="eastAsia" w:eastAsia="宋体"/>
                <w:sz w:val="22"/>
                <w:lang w:eastAsia="zh-CN"/>
              </w:rPr>
              <w:t>Week2</w:t>
            </w: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rFonts w:eastAsia="宋体"/>
                <w:sz w:val="22"/>
                <w:lang w:eastAsia="zh-CN"/>
              </w:rPr>
            </w:pPr>
            <w:r>
              <w:rPr>
                <w:rFonts w:hint="eastAsia" w:eastAsia="宋体"/>
                <w:sz w:val="22"/>
                <w:lang w:eastAsia="zh-CN"/>
              </w:rPr>
              <w:t>Week3</w:t>
            </w: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rFonts w:eastAsia="宋体"/>
                <w:sz w:val="22"/>
                <w:lang w:eastAsia="zh-CN"/>
              </w:rPr>
            </w:pPr>
            <w:r>
              <w:rPr>
                <w:rFonts w:hint="eastAsia" w:eastAsia="宋体"/>
                <w:sz w:val="22"/>
                <w:lang w:eastAsia="zh-CN"/>
              </w:rPr>
              <w:t>Week4</w:t>
            </w: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rFonts w:eastAsia="宋体"/>
                <w:sz w:val="22"/>
                <w:lang w:eastAsia="zh-CN"/>
              </w:rPr>
            </w:pPr>
            <w:r>
              <w:rPr>
                <w:rFonts w:hint="eastAsia" w:eastAsia="宋体"/>
                <w:sz w:val="22"/>
                <w:lang w:eastAsia="zh-CN"/>
              </w:rPr>
              <w:t>Week 5&amp;6</w:t>
            </w: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rFonts w:eastAsia="宋体"/>
                <w:sz w:val="22"/>
                <w:lang w:eastAsia="zh-CN"/>
              </w:rPr>
            </w:pPr>
            <w:r>
              <w:rPr>
                <w:rFonts w:hint="eastAsia" w:eastAsia="宋体"/>
                <w:sz w:val="22"/>
                <w:lang w:eastAsia="zh-CN"/>
              </w:rPr>
              <w:t>Week 7&amp;8</w:t>
            </w: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rFonts w:eastAsia="宋体"/>
                <w:sz w:val="22"/>
                <w:lang w:eastAsia="zh-CN"/>
              </w:rPr>
            </w:pPr>
            <w:r>
              <w:rPr>
                <w:rFonts w:hint="eastAsia" w:eastAsia="宋体"/>
                <w:sz w:val="22"/>
                <w:lang w:eastAsia="zh-CN"/>
              </w:rPr>
              <w:t>Week 9&amp;10</w:t>
            </w:r>
          </w:p>
        </w:tc>
        <w:tc>
          <w:tcPr>
            <w:tcW w:w="804" w:type="dxa"/>
            <w:tcBorders>
              <w:top w:val="single" w:color="000000" w:sz="4" w:space="0"/>
              <w:left w:val="single" w:color="000000" w:sz="4" w:space="0"/>
              <w:bottom w:val="single" w:color="000000" w:sz="4" w:space="0"/>
            </w:tcBorders>
          </w:tcPr>
          <w:p>
            <w:pPr>
              <w:pStyle w:val="20"/>
              <w:spacing w:before="120" w:after="120"/>
              <w:jc w:val="center"/>
              <w:rPr>
                <w:rFonts w:eastAsia="宋体"/>
                <w:sz w:val="22"/>
                <w:lang w:eastAsia="zh-CN"/>
              </w:rPr>
            </w:pPr>
            <w:r>
              <w:rPr>
                <w:rFonts w:hint="eastAsia" w:eastAsia="宋体"/>
                <w:sz w:val="22"/>
                <w:lang w:eastAsia="zh-CN"/>
              </w:rPr>
              <w:t>Week 11&amp;12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81" w:hRule="atLeast"/>
        </w:trPr>
        <w:tc>
          <w:tcPr>
            <w:tcW w:w="3285" w:type="dxa"/>
            <w:tcBorders>
              <w:top w:val="single" w:color="000000" w:sz="4" w:space="0"/>
              <w:bottom w:val="single" w:color="000000" w:sz="4" w:space="0"/>
              <w:right w:val="single" w:color="000000" w:sz="4" w:space="0"/>
            </w:tcBorders>
          </w:tcPr>
          <w:p>
            <w:pPr>
              <w:pStyle w:val="20"/>
              <w:spacing w:before="120" w:after="120"/>
              <w:jc w:val="center"/>
              <w:rPr>
                <w:rFonts w:eastAsia="宋体"/>
                <w:sz w:val="22"/>
                <w:lang w:eastAsia="zh-CN"/>
              </w:rPr>
            </w:pPr>
            <w:r>
              <w:rPr>
                <w:rFonts w:hint="eastAsia" w:eastAsia="宋体"/>
                <w:sz w:val="22"/>
                <w:lang w:eastAsia="zh-CN"/>
              </w:rPr>
              <w:t>Discussion of the research topic</w:t>
            </w: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rFonts w:eastAsia="宋体"/>
                <w:sz w:val="22"/>
                <w:lang w:eastAsia="zh-CN"/>
              </w:rPr>
            </w:pPr>
            <w:r>
              <w:rPr>
                <w:rFonts w:hint="eastAsia" w:eastAsia="宋体"/>
                <w:sz w:val="22"/>
                <w:lang w:eastAsia="zh-CN"/>
              </w:rPr>
              <w:t>√</w:t>
            </w: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4" w:type="dxa"/>
            <w:tcBorders>
              <w:top w:val="single" w:color="000000" w:sz="4" w:space="0"/>
              <w:left w:val="single" w:color="000000" w:sz="4" w:space="0"/>
              <w:bottom w:val="single" w:color="000000" w:sz="4" w:space="0"/>
            </w:tcBorders>
          </w:tcPr>
          <w:p>
            <w:pPr>
              <w:pStyle w:val="20"/>
              <w:spacing w:before="120" w:after="120"/>
              <w:jc w:val="center"/>
              <w:rPr>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81" w:hRule="atLeast"/>
        </w:trPr>
        <w:tc>
          <w:tcPr>
            <w:tcW w:w="3285" w:type="dxa"/>
            <w:tcBorders>
              <w:top w:val="single" w:color="000000" w:sz="4" w:space="0"/>
              <w:bottom w:val="single" w:color="000000" w:sz="4" w:space="0"/>
              <w:right w:val="single" w:color="000000" w:sz="4" w:space="0"/>
            </w:tcBorders>
          </w:tcPr>
          <w:p>
            <w:pPr>
              <w:pStyle w:val="20"/>
              <w:spacing w:before="120" w:after="120"/>
              <w:jc w:val="center"/>
              <w:rPr>
                <w:rFonts w:eastAsia="宋体"/>
                <w:sz w:val="22"/>
                <w:lang w:eastAsia="zh-CN"/>
              </w:rPr>
            </w:pPr>
            <w:r>
              <w:rPr>
                <w:rFonts w:hint="eastAsia" w:eastAsia="宋体"/>
                <w:sz w:val="22"/>
                <w:lang w:eastAsia="zh-CN"/>
              </w:rPr>
              <w:t>Discussion of the problem</w:t>
            </w: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r>
              <w:rPr>
                <w:rFonts w:hint="eastAsia" w:eastAsia="宋体"/>
                <w:sz w:val="22"/>
                <w:lang w:eastAsia="zh-CN"/>
              </w:rPr>
              <w:t>√</w:t>
            </w: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r>
              <w:rPr>
                <w:rFonts w:hint="eastAsia" w:eastAsia="宋体"/>
                <w:sz w:val="22"/>
                <w:lang w:eastAsia="zh-CN"/>
              </w:rPr>
              <w:t>√</w:t>
            </w: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4" w:type="dxa"/>
            <w:tcBorders>
              <w:top w:val="single" w:color="000000" w:sz="4" w:space="0"/>
              <w:left w:val="single" w:color="000000" w:sz="4" w:space="0"/>
              <w:bottom w:val="single" w:color="000000" w:sz="4" w:space="0"/>
            </w:tcBorders>
          </w:tcPr>
          <w:p>
            <w:pPr>
              <w:pStyle w:val="20"/>
              <w:spacing w:before="120" w:after="120"/>
              <w:jc w:val="center"/>
              <w:rPr>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81" w:hRule="atLeast"/>
        </w:trPr>
        <w:tc>
          <w:tcPr>
            <w:tcW w:w="3285" w:type="dxa"/>
            <w:tcBorders>
              <w:top w:val="single" w:color="000000" w:sz="4" w:space="0"/>
              <w:bottom w:val="single" w:color="000000" w:sz="4" w:space="0"/>
              <w:right w:val="single" w:color="000000" w:sz="4" w:space="0"/>
            </w:tcBorders>
          </w:tcPr>
          <w:p>
            <w:pPr>
              <w:pStyle w:val="20"/>
              <w:spacing w:before="120" w:after="120"/>
              <w:jc w:val="center"/>
              <w:rPr>
                <w:rFonts w:eastAsia="宋体"/>
                <w:sz w:val="22"/>
                <w:lang w:eastAsia="zh-CN"/>
              </w:rPr>
            </w:pPr>
            <w:r>
              <w:rPr>
                <w:rFonts w:hint="eastAsia" w:eastAsia="宋体"/>
                <w:sz w:val="22"/>
                <w:lang w:eastAsia="zh-CN"/>
              </w:rPr>
              <w:t>IRPP presentation</w:t>
            </w: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r>
              <w:rPr>
                <w:rFonts w:hint="eastAsia" w:eastAsia="宋体"/>
                <w:sz w:val="22"/>
                <w:lang w:eastAsia="zh-CN"/>
              </w:rPr>
              <w:t>√</w:t>
            </w: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4" w:type="dxa"/>
            <w:tcBorders>
              <w:top w:val="single" w:color="000000" w:sz="4" w:space="0"/>
              <w:left w:val="single" w:color="000000" w:sz="4" w:space="0"/>
              <w:bottom w:val="single" w:color="000000" w:sz="4" w:space="0"/>
            </w:tcBorders>
          </w:tcPr>
          <w:p>
            <w:pPr>
              <w:pStyle w:val="20"/>
              <w:spacing w:before="120" w:after="120"/>
              <w:jc w:val="center"/>
              <w:rPr>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81" w:hRule="atLeast"/>
        </w:trPr>
        <w:tc>
          <w:tcPr>
            <w:tcW w:w="3285" w:type="dxa"/>
            <w:tcBorders>
              <w:top w:val="single" w:color="000000" w:sz="4" w:space="0"/>
              <w:bottom w:val="single" w:color="000000" w:sz="4" w:space="0"/>
              <w:right w:val="single" w:color="000000" w:sz="4" w:space="0"/>
            </w:tcBorders>
          </w:tcPr>
          <w:p>
            <w:pPr>
              <w:pStyle w:val="20"/>
              <w:spacing w:before="120" w:after="120"/>
              <w:jc w:val="center"/>
              <w:rPr>
                <w:rFonts w:eastAsia="宋体"/>
                <w:sz w:val="22"/>
                <w:lang w:eastAsia="zh-CN"/>
              </w:rPr>
            </w:pPr>
            <w:r>
              <w:rPr>
                <w:rFonts w:hint="eastAsia" w:eastAsia="宋体"/>
                <w:sz w:val="22"/>
                <w:lang w:eastAsia="zh-CN"/>
              </w:rPr>
              <w:t>Discussion for chapter1-2</w:t>
            </w: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r>
              <w:rPr>
                <w:rFonts w:hint="eastAsia" w:eastAsia="宋体"/>
                <w:sz w:val="22"/>
                <w:lang w:eastAsia="zh-CN"/>
              </w:rPr>
              <w:t>√</w:t>
            </w: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4" w:type="dxa"/>
            <w:tcBorders>
              <w:top w:val="single" w:color="000000" w:sz="4" w:space="0"/>
              <w:left w:val="single" w:color="000000" w:sz="4" w:space="0"/>
              <w:bottom w:val="single" w:color="000000" w:sz="4" w:space="0"/>
            </w:tcBorders>
          </w:tcPr>
          <w:p>
            <w:pPr>
              <w:pStyle w:val="20"/>
              <w:spacing w:before="120" w:after="120"/>
              <w:jc w:val="center"/>
              <w:rPr>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81" w:hRule="atLeast"/>
        </w:trPr>
        <w:tc>
          <w:tcPr>
            <w:tcW w:w="3285" w:type="dxa"/>
            <w:tcBorders>
              <w:top w:val="single" w:color="000000" w:sz="4" w:space="0"/>
              <w:bottom w:val="single" w:color="000000" w:sz="4" w:space="0"/>
              <w:right w:val="single" w:color="000000" w:sz="4" w:space="0"/>
            </w:tcBorders>
          </w:tcPr>
          <w:p>
            <w:pPr>
              <w:pStyle w:val="20"/>
              <w:spacing w:before="120" w:after="120"/>
              <w:jc w:val="center"/>
              <w:rPr>
                <w:rFonts w:eastAsia="宋体"/>
                <w:sz w:val="22"/>
                <w:lang w:eastAsia="zh-CN"/>
              </w:rPr>
            </w:pPr>
            <w:r>
              <w:rPr>
                <w:rFonts w:hint="eastAsia" w:eastAsia="宋体"/>
                <w:sz w:val="22"/>
                <w:lang w:eastAsia="zh-CN"/>
              </w:rPr>
              <w:t>Draft out chapter3</w:t>
            </w: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r>
              <w:rPr>
                <w:rFonts w:hint="eastAsia" w:eastAsia="宋体"/>
                <w:sz w:val="22"/>
                <w:lang w:eastAsia="zh-CN"/>
              </w:rPr>
              <w:t>√</w:t>
            </w: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4" w:type="dxa"/>
            <w:tcBorders>
              <w:top w:val="single" w:color="000000" w:sz="4" w:space="0"/>
              <w:left w:val="single" w:color="000000" w:sz="4" w:space="0"/>
              <w:bottom w:val="single" w:color="000000" w:sz="4" w:space="0"/>
            </w:tcBorders>
          </w:tcPr>
          <w:p>
            <w:pPr>
              <w:pStyle w:val="20"/>
              <w:spacing w:before="120" w:after="120"/>
              <w:jc w:val="center"/>
              <w:rPr>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81" w:hRule="atLeast"/>
        </w:trPr>
        <w:tc>
          <w:tcPr>
            <w:tcW w:w="3285" w:type="dxa"/>
            <w:tcBorders>
              <w:top w:val="single" w:color="000000" w:sz="4" w:space="0"/>
              <w:bottom w:val="single" w:color="000000" w:sz="4" w:space="0"/>
              <w:right w:val="single" w:color="000000" w:sz="4" w:space="0"/>
            </w:tcBorders>
          </w:tcPr>
          <w:p>
            <w:pPr>
              <w:pStyle w:val="20"/>
              <w:spacing w:before="120" w:after="120"/>
              <w:jc w:val="center"/>
              <w:rPr>
                <w:rFonts w:eastAsia="宋体"/>
                <w:sz w:val="22"/>
                <w:lang w:eastAsia="zh-CN"/>
              </w:rPr>
            </w:pPr>
            <w:r>
              <w:rPr>
                <w:rFonts w:hint="eastAsia" w:eastAsia="宋体"/>
                <w:sz w:val="22"/>
                <w:lang w:eastAsia="zh-CN"/>
              </w:rPr>
              <w:t>Finishing the Chapter1-3</w:t>
            </w: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r>
              <w:rPr>
                <w:rFonts w:hint="eastAsia" w:eastAsia="宋体"/>
                <w:sz w:val="22"/>
                <w:lang w:eastAsia="zh-CN"/>
              </w:rPr>
              <w:t>√</w:t>
            </w: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4" w:type="dxa"/>
            <w:tcBorders>
              <w:top w:val="single" w:color="000000" w:sz="4" w:space="0"/>
              <w:left w:val="single" w:color="000000" w:sz="4" w:space="0"/>
              <w:bottom w:val="single" w:color="000000" w:sz="4" w:space="0"/>
            </w:tcBorders>
          </w:tcPr>
          <w:p>
            <w:pPr>
              <w:pStyle w:val="20"/>
              <w:spacing w:before="120" w:after="120"/>
              <w:jc w:val="center"/>
              <w:rPr>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81" w:hRule="atLeast"/>
        </w:trPr>
        <w:tc>
          <w:tcPr>
            <w:tcW w:w="3285" w:type="dxa"/>
            <w:tcBorders>
              <w:top w:val="single" w:color="000000" w:sz="4" w:space="0"/>
              <w:bottom w:val="single" w:color="000000" w:sz="4" w:space="0"/>
              <w:right w:val="single" w:color="000000" w:sz="4" w:space="0"/>
            </w:tcBorders>
          </w:tcPr>
          <w:p>
            <w:pPr>
              <w:pStyle w:val="20"/>
              <w:spacing w:before="120" w:after="120"/>
              <w:jc w:val="center"/>
              <w:rPr>
                <w:rFonts w:eastAsia="宋体"/>
                <w:sz w:val="22"/>
                <w:lang w:eastAsia="zh-CN"/>
              </w:rPr>
            </w:pPr>
            <w:r>
              <w:rPr>
                <w:rFonts w:hint="eastAsia" w:eastAsia="宋体"/>
                <w:sz w:val="22"/>
                <w:lang w:eastAsia="zh-CN"/>
              </w:rPr>
              <w:t>Data collection</w:t>
            </w: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r>
              <w:rPr>
                <w:rFonts w:hint="eastAsia" w:eastAsia="宋体"/>
                <w:sz w:val="22"/>
                <w:lang w:eastAsia="zh-CN"/>
              </w:rPr>
              <w:t>√</w:t>
            </w: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r>
              <w:rPr>
                <w:rFonts w:hint="eastAsia" w:eastAsia="宋体"/>
                <w:sz w:val="22"/>
                <w:lang w:eastAsia="zh-CN"/>
              </w:rPr>
              <w:t>√</w:t>
            </w: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4" w:type="dxa"/>
            <w:tcBorders>
              <w:top w:val="single" w:color="000000" w:sz="4" w:space="0"/>
              <w:left w:val="single" w:color="000000" w:sz="4" w:space="0"/>
              <w:bottom w:val="single" w:color="000000" w:sz="4" w:space="0"/>
            </w:tcBorders>
          </w:tcPr>
          <w:p>
            <w:pPr>
              <w:pStyle w:val="20"/>
              <w:spacing w:before="120" w:after="120"/>
              <w:jc w:val="center"/>
              <w:rPr>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81" w:hRule="atLeast"/>
        </w:trPr>
        <w:tc>
          <w:tcPr>
            <w:tcW w:w="3285" w:type="dxa"/>
            <w:tcBorders>
              <w:top w:val="single" w:color="000000" w:sz="4" w:space="0"/>
              <w:bottom w:val="single" w:color="000000" w:sz="4" w:space="0"/>
              <w:right w:val="single" w:color="000000" w:sz="4" w:space="0"/>
            </w:tcBorders>
          </w:tcPr>
          <w:p>
            <w:pPr>
              <w:pStyle w:val="20"/>
              <w:spacing w:before="120" w:after="120"/>
              <w:jc w:val="center"/>
              <w:rPr>
                <w:rFonts w:eastAsia="宋体"/>
                <w:sz w:val="22"/>
                <w:lang w:eastAsia="zh-CN"/>
              </w:rPr>
            </w:pPr>
            <w:r>
              <w:rPr>
                <w:rFonts w:hint="eastAsia" w:eastAsia="宋体"/>
                <w:sz w:val="22"/>
                <w:lang w:eastAsia="zh-CN"/>
              </w:rPr>
              <w:t>Data analysis</w:t>
            </w: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r>
              <w:rPr>
                <w:rFonts w:hint="eastAsia" w:eastAsia="宋体"/>
                <w:sz w:val="22"/>
                <w:lang w:eastAsia="zh-CN"/>
              </w:rPr>
              <w:t>√</w:t>
            </w: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r>
              <w:rPr>
                <w:rFonts w:hint="eastAsia" w:eastAsia="宋体"/>
                <w:sz w:val="22"/>
                <w:lang w:eastAsia="zh-CN"/>
              </w:rPr>
              <w:t>√</w:t>
            </w:r>
          </w:p>
        </w:tc>
        <w:tc>
          <w:tcPr>
            <w:tcW w:w="804" w:type="dxa"/>
            <w:tcBorders>
              <w:top w:val="single" w:color="000000" w:sz="4" w:space="0"/>
              <w:left w:val="single" w:color="000000" w:sz="4" w:space="0"/>
              <w:bottom w:val="single" w:color="000000" w:sz="4" w:space="0"/>
            </w:tcBorders>
          </w:tcPr>
          <w:p>
            <w:pPr>
              <w:pStyle w:val="20"/>
              <w:spacing w:before="120" w:after="120"/>
              <w:jc w:val="center"/>
              <w:rPr>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81" w:hRule="atLeast"/>
        </w:trPr>
        <w:tc>
          <w:tcPr>
            <w:tcW w:w="3285" w:type="dxa"/>
            <w:tcBorders>
              <w:top w:val="single" w:color="000000" w:sz="4" w:space="0"/>
              <w:bottom w:val="single" w:color="000000" w:sz="4" w:space="0"/>
              <w:right w:val="single" w:color="000000" w:sz="4" w:space="0"/>
            </w:tcBorders>
          </w:tcPr>
          <w:p>
            <w:pPr>
              <w:pStyle w:val="20"/>
              <w:spacing w:before="120" w:after="120"/>
              <w:jc w:val="center"/>
              <w:rPr>
                <w:rFonts w:eastAsia="宋体"/>
                <w:sz w:val="22"/>
                <w:lang w:eastAsia="zh-CN"/>
              </w:rPr>
            </w:pPr>
            <w:r>
              <w:rPr>
                <w:rFonts w:hint="eastAsia" w:eastAsia="宋体"/>
                <w:sz w:val="22"/>
                <w:lang w:eastAsia="zh-CN"/>
              </w:rPr>
              <w:t>Finishing chapter4-5</w:t>
            </w: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r>
              <w:rPr>
                <w:rFonts w:hint="eastAsia" w:eastAsia="宋体"/>
                <w:sz w:val="22"/>
                <w:lang w:eastAsia="zh-CN"/>
              </w:rPr>
              <w:t>√</w:t>
            </w:r>
          </w:p>
        </w:tc>
        <w:tc>
          <w:tcPr>
            <w:tcW w:w="804" w:type="dxa"/>
            <w:tcBorders>
              <w:top w:val="single" w:color="000000" w:sz="4" w:space="0"/>
              <w:left w:val="single" w:color="000000" w:sz="4" w:space="0"/>
              <w:bottom w:val="single" w:color="000000" w:sz="4" w:space="0"/>
            </w:tcBorders>
          </w:tcPr>
          <w:p>
            <w:pPr>
              <w:pStyle w:val="20"/>
              <w:spacing w:before="120" w:after="120"/>
              <w:jc w:val="center"/>
              <w:rPr>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81" w:hRule="atLeast"/>
        </w:trPr>
        <w:tc>
          <w:tcPr>
            <w:tcW w:w="3285" w:type="dxa"/>
            <w:tcBorders>
              <w:top w:val="single" w:color="000000" w:sz="4" w:space="0"/>
              <w:bottom w:val="single" w:color="000000" w:sz="4" w:space="0"/>
              <w:right w:val="single" w:color="000000" w:sz="4" w:space="0"/>
            </w:tcBorders>
          </w:tcPr>
          <w:p>
            <w:pPr>
              <w:pStyle w:val="20"/>
              <w:spacing w:before="120" w:after="120"/>
              <w:jc w:val="center"/>
              <w:rPr>
                <w:rFonts w:eastAsia="宋体"/>
                <w:sz w:val="22"/>
                <w:lang w:eastAsia="zh-CN"/>
              </w:rPr>
            </w:pPr>
            <w:r>
              <w:rPr>
                <w:rFonts w:hint="eastAsia" w:eastAsia="宋体"/>
                <w:sz w:val="22"/>
                <w:lang w:eastAsia="zh-CN"/>
              </w:rPr>
              <w:t>Combing the whole thesis</w:t>
            </w: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r>
              <w:rPr>
                <w:rFonts w:hint="eastAsia" w:eastAsia="宋体"/>
                <w:sz w:val="22"/>
                <w:lang w:eastAsia="zh-CN"/>
              </w:rPr>
              <w:t>√</w:t>
            </w:r>
          </w:p>
        </w:tc>
        <w:tc>
          <w:tcPr>
            <w:tcW w:w="804" w:type="dxa"/>
            <w:tcBorders>
              <w:top w:val="single" w:color="000000" w:sz="4" w:space="0"/>
              <w:left w:val="single" w:color="000000" w:sz="4" w:space="0"/>
              <w:bottom w:val="single" w:color="000000" w:sz="4" w:space="0"/>
            </w:tcBorders>
          </w:tcPr>
          <w:p>
            <w:pPr>
              <w:pStyle w:val="20"/>
              <w:spacing w:before="120" w:after="120"/>
              <w:jc w:val="center"/>
              <w:rPr>
                <w:sz w:val="22"/>
              </w:rPr>
            </w:pPr>
            <w:r>
              <w:rPr>
                <w:rFonts w:hint="eastAsia" w:eastAsia="宋体"/>
                <w:sz w:val="22"/>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01" w:hRule="atLeast"/>
        </w:trPr>
        <w:tc>
          <w:tcPr>
            <w:tcW w:w="3285" w:type="dxa"/>
            <w:tcBorders>
              <w:top w:val="single" w:color="000000" w:sz="4" w:space="0"/>
              <w:bottom w:val="single" w:color="000000" w:sz="4" w:space="0"/>
              <w:right w:val="single" w:color="000000" w:sz="4" w:space="0"/>
            </w:tcBorders>
          </w:tcPr>
          <w:p>
            <w:pPr>
              <w:pStyle w:val="20"/>
              <w:spacing w:before="120" w:after="120"/>
              <w:jc w:val="center"/>
              <w:rPr>
                <w:rFonts w:eastAsia="宋体"/>
                <w:sz w:val="22"/>
                <w:lang w:eastAsia="zh-CN"/>
              </w:rPr>
            </w:pPr>
            <w:r>
              <w:rPr>
                <w:rFonts w:hint="eastAsia" w:eastAsia="宋体"/>
                <w:sz w:val="22"/>
                <w:lang w:eastAsia="zh-CN"/>
              </w:rPr>
              <w:t>Prepare for MBA symposium</w:t>
            </w: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2"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p>
        </w:tc>
        <w:tc>
          <w:tcPr>
            <w:tcW w:w="801" w:type="dxa"/>
            <w:tcBorders>
              <w:top w:val="single" w:color="000000" w:sz="4" w:space="0"/>
              <w:left w:val="single" w:color="000000" w:sz="4" w:space="0"/>
              <w:bottom w:val="single" w:color="000000" w:sz="4" w:space="0"/>
              <w:right w:val="single" w:color="000000" w:sz="4" w:space="0"/>
            </w:tcBorders>
          </w:tcPr>
          <w:p>
            <w:pPr>
              <w:pStyle w:val="20"/>
              <w:spacing w:before="120" w:after="120"/>
              <w:jc w:val="center"/>
              <w:rPr>
                <w:sz w:val="22"/>
              </w:rPr>
            </w:pPr>
            <w:r>
              <w:rPr>
                <w:rFonts w:hint="eastAsia" w:eastAsia="宋体"/>
                <w:sz w:val="22"/>
                <w:lang w:eastAsia="zh-CN"/>
              </w:rPr>
              <w:t>√</w:t>
            </w:r>
          </w:p>
        </w:tc>
        <w:tc>
          <w:tcPr>
            <w:tcW w:w="804" w:type="dxa"/>
            <w:tcBorders>
              <w:top w:val="single" w:color="000000" w:sz="4" w:space="0"/>
              <w:left w:val="single" w:color="000000" w:sz="4" w:space="0"/>
              <w:bottom w:val="single" w:color="000000" w:sz="4" w:space="0"/>
            </w:tcBorders>
          </w:tcPr>
          <w:p>
            <w:pPr>
              <w:pStyle w:val="20"/>
              <w:spacing w:before="120" w:after="120"/>
              <w:jc w:val="center"/>
              <w:rPr>
                <w:sz w:val="22"/>
              </w:rPr>
            </w:pPr>
            <w:r>
              <w:rPr>
                <w:rFonts w:hint="eastAsia" w:eastAsia="宋体"/>
                <w:sz w:val="22"/>
                <w:lang w:eastAsia="zh-CN"/>
              </w:rPr>
              <w:t>√</w:t>
            </w:r>
          </w:p>
        </w:tc>
      </w:tr>
    </w:tbl>
    <w:p>
      <w:pPr>
        <w:spacing w:before="120" w:after="120"/>
        <w:jc w:val="left"/>
        <w:rPr>
          <w:b/>
          <w:color w:val="0000FF"/>
          <w:sz w:val="22"/>
        </w:rPr>
      </w:pPr>
    </w:p>
    <w:p>
      <w:pPr>
        <w:spacing w:before="120" w:after="120"/>
        <w:jc w:val="left"/>
        <w:rPr>
          <w:b/>
          <w:color w:val="0000FF"/>
          <w:sz w:val="22"/>
        </w:rPr>
      </w:pPr>
    </w:p>
    <w:p>
      <w:pPr>
        <w:spacing w:before="120" w:after="120"/>
        <w:jc w:val="left"/>
        <w:rPr>
          <w:b/>
        </w:rPr>
      </w:pPr>
      <w:r>
        <w:rPr>
          <w:b/>
          <w:color w:val="0000FF"/>
          <w:sz w:val="22"/>
        </w:rPr>
        <w:t>SECTION B. ETHICS</w:t>
      </w:r>
      <w:r>
        <w:rPr>
          <w:rFonts w:hint="eastAsia"/>
          <w:b/>
          <w:color w:val="0000FF"/>
          <w:sz w:val="22"/>
        </w:rPr>
        <w:t xml:space="preserve"> FORM</w:t>
      </w:r>
    </w:p>
    <w:p>
      <w:pPr>
        <w:spacing w:before="120" w:after="120"/>
      </w:pPr>
      <w:r>
        <w:drawing>
          <wp:inline distT="0" distB="0" distL="114300" distR="114300">
            <wp:extent cx="5744845" cy="7228205"/>
            <wp:effectExtent l="0" t="0" r="8255" b="10795"/>
            <wp:docPr id="72" name="图片 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
                    <pic:cNvPicPr>
                      <a:picLocks noChangeAspect="1"/>
                    </pic:cNvPicPr>
                  </pic:nvPicPr>
                  <pic:blipFill>
                    <a:blip r:embed="rId14"/>
                    <a:stretch>
                      <a:fillRect/>
                    </a:stretch>
                  </pic:blipFill>
                  <pic:spPr>
                    <a:xfrm>
                      <a:off x="0" y="0"/>
                      <a:ext cx="5744845" cy="7228205"/>
                    </a:xfrm>
                    <a:prstGeom prst="rect">
                      <a:avLst/>
                    </a:prstGeom>
                  </pic:spPr>
                </pic:pic>
              </a:graphicData>
            </a:graphic>
          </wp:inline>
        </w:drawing>
      </w:r>
    </w:p>
    <w:p>
      <w:pPr>
        <w:spacing w:before="120" w:after="120"/>
      </w:pPr>
      <w:r>
        <w:drawing>
          <wp:inline distT="0" distB="0" distL="114300" distR="114300">
            <wp:extent cx="5828030" cy="7494270"/>
            <wp:effectExtent l="0" t="0" r="1270" b="11430"/>
            <wp:docPr id="73" name="图片 7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2"/>
                    <pic:cNvPicPr>
                      <a:picLocks noChangeAspect="1"/>
                    </pic:cNvPicPr>
                  </pic:nvPicPr>
                  <pic:blipFill>
                    <a:blip r:embed="rId15"/>
                    <a:stretch>
                      <a:fillRect/>
                    </a:stretch>
                  </pic:blipFill>
                  <pic:spPr>
                    <a:xfrm>
                      <a:off x="0" y="0"/>
                      <a:ext cx="5828030" cy="7494270"/>
                    </a:xfrm>
                    <a:prstGeom prst="rect">
                      <a:avLst/>
                    </a:prstGeom>
                  </pic:spPr>
                </pic:pic>
              </a:graphicData>
            </a:graphic>
          </wp:inline>
        </w:drawing>
      </w:r>
    </w:p>
    <w:p>
      <w:pPr>
        <w:spacing w:before="120" w:after="120"/>
      </w:pPr>
      <w:r>
        <w:drawing>
          <wp:inline distT="0" distB="0" distL="114300" distR="114300">
            <wp:extent cx="5860415" cy="7475220"/>
            <wp:effectExtent l="0" t="0" r="6985" b="5080"/>
            <wp:docPr id="74" name="图片 7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
                    <pic:cNvPicPr>
                      <a:picLocks noChangeAspect="1"/>
                    </pic:cNvPicPr>
                  </pic:nvPicPr>
                  <pic:blipFill>
                    <a:blip r:embed="rId16"/>
                    <a:stretch>
                      <a:fillRect/>
                    </a:stretch>
                  </pic:blipFill>
                  <pic:spPr>
                    <a:xfrm>
                      <a:off x="0" y="0"/>
                      <a:ext cx="5860415" cy="7475220"/>
                    </a:xfrm>
                    <a:prstGeom prst="rect">
                      <a:avLst/>
                    </a:prstGeom>
                  </pic:spPr>
                </pic:pic>
              </a:graphicData>
            </a:graphic>
          </wp:inline>
        </w:drawing>
      </w:r>
    </w:p>
    <w:p>
      <w:pPr>
        <w:spacing w:before="120" w:after="120"/>
      </w:pPr>
    </w:p>
    <w:p>
      <w:pPr>
        <w:spacing w:before="120" w:after="120"/>
      </w:pPr>
      <w:r>
        <w:drawing>
          <wp:inline distT="0" distB="0" distL="114300" distR="114300">
            <wp:extent cx="5773420" cy="7196455"/>
            <wp:effectExtent l="0" t="0" r="5080" b="4445"/>
            <wp:docPr id="75" name="图片 7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4"/>
                    <pic:cNvPicPr>
                      <a:picLocks noChangeAspect="1"/>
                    </pic:cNvPicPr>
                  </pic:nvPicPr>
                  <pic:blipFill>
                    <a:blip r:embed="rId17"/>
                    <a:stretch>
                      <a:fillRect/>
                    </a:stretch>
                  </pic:blipFill>
                  <pic:spPr>
                    <a:xfrm>
                      <a:off x="0" y="0"/>
                      <a:ext cx="5773420" cy="7196455"/>
                    </a:xfrm>
                    <a:prstGeom prst="rect">
                      <a:avLst/>
                    </a:prstGeom>
                  </pic:spPr>
                </pic:pic>
              </a:graphicData>
            </a:graphic>
          </wp:inline>
        </w:drawing>
      </w:r>
    </w:p>
    <w:p>
      <w:pPr>
        <w:spacing w:before="120" w:after="120"/>
      </w:pPr>
      <w:r>
        <w:drawing>
          <wp:inline distT="0" distB="0" distL="114300" distR="114300">
            <wp:extent cx="5744210" cy="7459980"/>
            <wp:effectExtent l="0" t="0" r="8890" b="7620"/>
            <wp:docPr id="76" name="图片 7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5"/>
                    <pic:cNvPicPr>
                      <a:picLocks noChangeAspect="1"/>
                    </pic:cNvPicPr>
                  </pic:nvPicPr>
                  <pic:blipFill>
                    <a:blip r:embed="rId18"/>
                    <a:stretch>
                      <a:fillRect/>
                    </a:stretch>
                  </pic:blipFill>
                  <pic:spPr>
                    <a:xfrm>
                      <a:off x="0" y="0"/>
                      <a:ext cx="5744210" cy="7459980"/>
                    </a:xfrm>
                    <a:prstGeom prst="rect">
                      <a:avLst/>
                    </a:prstGeom>
                  </pic:spPr>
                </pic:pic>
              </a:graphicData>
            </a:graphic>
          </wp:inline>
        </w:drawing>
      </w:r>
    </w:p>
    <w:p>
      <w:pPr>
        <w:spacing w:before="120" w:after="120"/>
      </w:pPr>
    </w:p>
    <w:p>
      <w:pPr>
        <w:spacing w:before="120" w:after="120"/>
        <w:rPr>
          <w:b/>
          <w:color w:val="0000FF"/>
          <w:sz w:val="22"/>
        </w:rPr>
      </w:pPr>
      <w:r>
        <w:drawing>
          <wp:inline distT="0" distB="0" distL="114300" distR="114300">
            <wp:extent cx="6030595" cy="7223125"/>
            <wp:effectExtent l="0" t="0" r="1905" b="3175"/>
            <wp:docPr id="77" name="图片 7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6"/>
                    <pic:cNvPicPr>
                      <a:picLocks noChangeAspect="1"/>
                    </pic:cNvPicPr>
                  </pic:nvPicPr>
                  <pic:blipFill>
                    <a:blip r:embed="rId19"/>
                    <a:stretch>
                      <a:fillRect/>
                    </a:stretch>
                  </pic:blipFill>
                  <pic:spPr>
                    <a:xfrm>
                      <a:off x="0" y="0"/>
                      <a:ext cx="6030595" cy="7223125"/>
                    </a:xfrm>
                    <a:prstGeom prst="rect">
                      <a:avLst/>
                    </a:prstGeom>
                  </pic:spPr>
                </pic:pic>
              </a:graphicData>
            </a:graphic>
          </wp:inline>
        </w:drawing>
      </w:r>
    </w:p>
    <w:p>
      <w:pPr>
        <w:spacing w:before="120" w:after="120"/>
        <w:ind w:left="159"/>
        <w:jc w:val="left"/>
        <w:rPr>
          <w:b/>
          <w:color w:val="0000FF"/>
          <w:sz w:val="22"/>
        </w:rPr>
      </w:pPr>
      <w:r>
        <w:rPr>
          <w:rFonts w:hint="eastAsia"/>
          <w:b/>
          <w:color w:val="0000FF"/>
          <w:sz w:val="22"/>
        </w:rPr>
        <w:drawing>
          <wp:inline distT="0" distB="0" distL="114300" distR="114300">
            <wp:extent cx="5892165" cy="7487285"/>
            <wp:effectExtent l="0" t="0" r="635" b="5715"/>
            <wp:docPr id="78" name="图片 7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7"/>
                    <pic:cNvPicPr>
                      <a:picLocks noChangeAspect="1"/>
                    </pic:cNvPicPr>
                  </pic:nvPicPr>
                  <pic:blipFill>
                    <a:blip r:embed="rId20"/>
                    <a:stretch>
                      <a:fillRect/>
                    </a:stretch>
                  </pic:blipFill>
                  <pic:spPr>
                    <a:xfrm>
                      <a:off x="0" y="0"/>
                      <a:ext cx="5892165" cy="7487285"/>
                    </a:xfrm>
                    <a:prstGeom prst="rect">
                      <a:avLst/>
                    </a:prstGeom>
                  </pic:spPr>
                </pic:pic>
              </a:graphicData>
            </a:graphic>
          </wp:inline>
        </w:drawing>
      </w:r>
    </w:p>
    <w:p>
      <w:pPr>
        <w:spacing w:before="120" w:after="120"/>
        <w:ind w:left="159"/>
        <w:jc w:val="left"/>
        <w:rPr>
          <w:b/>
          <w:color w:val="0000FF"/>
          <w:sz w:val="22"/>
        </w:rPr>
      </w:pPr>
      <w:r>
        <w:rPr>
          <w:rFonts w:hint="eastAsia"/>
          <w:b/>
          <w:color w:val="0000FF"/>
          <w:sz w:val="22"/>
        </w:rPr>
        <w:drawing>
          <wp:inline distT="0" distB="0" distL="114300" distR="114300">
            <wp:extent cx="5845175" cy="7459980"/>
            <wp:effectExtent l="0" t="0" r="9525" b="7620"/>
            <wp:docPr id="79" name="图片 7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8"/>
                    <pic:cNvPicPr>
                      <a:picLocks noChangeAspect="1"/>
                    </pic:cNvPicPr>
                  </pic:nvPicPr>
                  <pic:blipFill>
                    <a:blip r:embed="rId21"/>
                    <a:stretch>
                      <a:fillRect/>
                    </a:stretch>
                  </pic:blipFill>
                  <pic:spPr>
                    <a:xfrm>
                      <a:off x="0" y="0"/>
                      <a:ext cx="5845175" cy="7459980"/>
                    </a:xfrm>
                    <a:prstGeom prst="rect">
                      <a:avLst/>
                    </a:prstGeom>
                  </pic:spPr>
                </pic:pic>
              </a:graphicData>
            </a:graphic>
          </wp:inline>
        </w:drawing>
      </w:r>
    </w:p>
    <w:p>
      <w:pPr>
        <w:spacing w:before="120" w:after="120"/>
        <w:ind w:left="159"/>
        <w:jc w:val="left"/>
        <w:rPr>
          <w:b/>
          <w:color w:val="0000FF"/>
          <w:sz w:val="22"/>
        </w:rPr>
      </w:pPr>
      <w:r>
        <w:rPr>
          <w:rFonts w:hint="eastAsia"/>
          <w:b/>
          <w:color w:val="0000FF"/>
          <w:sz w:val="22"/>
        </w:rPr>
        <w:drawing>
          <wp:inline distT="0" distB="0" distL="114300" distR="114300">
            <wp:extent cx="5736590" cy="7589520"/>
            <wp:effectExtent l="0" t="0" r="3810" b="5080"/>
            <wp:docPr id="80" name="图片 8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9"/>
                    <pic:cNvPicPr>
                      <a:picLocks noChangeAspect="1"/>
                    </pic:cNvPicPr>
                  </pic:nvPicPr>
                  <pic:blipFill>
                    <a:blip r:embed="rId22"/>
                    <a:stretch>
                      <a:fillRect/>
                    </a:stretch>
                  </pic:blipFill>
                  <pic:spPr>
                    <a:xfrm>
                      <a:off x="0" y="0"/>
                      <a:ext cx="5736590" cy="7589520"/>
                    </a:xfrm>
                    <a:prstGeom prst="rect">
                      <a:avLst/>
                    </a:prstGeom>
                  </pic:spPr>
                </pic:pic>
              </a:graphicData>
            </a:graphic>
          </wp:inline>
        </w:drawing>
      </w:r>
    </w:p>
    <w:p>
      <w:pPr>
        <w:spacing w:before="120" w:after="120"/>
        <w:ind w:left="159"/>
        <w:jc w:val="left"/>
        <w:rPr>
          <w:b/>
          <w:color w:val="0000FF"/>
          <w:sz w:val="22"/>
        </w:rPr>
      </w:pPr>
      <w:r>
        <w:rPr>
          <w:rFonts w:hint="eastAsia"/>
          <w:b/>
          <w:color w:val="0000FF"/>
          <w:sz w:val="22"/>
        </w:rPr>
        <w:drawing>
          <wp:inline distT="0" distB="0" distL="114300" distR="114300">
            <wp:extent cx="5790565" cy="7357110"/>
            <wp:effectExtent l="0" t="0" r="635" b="8890"/>
            <wp:docPr id="81" name="图片 8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0"/>
                    <pic:cNvPicPr>
                      <a:picLocks noChangeAspect="1"/>
                    </pic:cNvPicPr>
                  </pic:nvPicPr>
                  <pic:blipFill>
                    <a:blip r:embed="rId23"/>
                    <a:stretch>
                      <a:fillRect/>
                    </a:stretch>
                  </pic:blipFill>
                  <pic:spPr>
                    <a:xfrm>
                      <a:off x="0" y="0"/>
                      <a:ext cx="5790565" cy="7357110"/>
                    </a:xfrm>
                    <a:prstGeom prst="rect">
                      <a:avLst/>
                    </a:prstGeom>
                  </pic:spPr>
                </pic:pic>
              </a:graphicData>
            </a:graphic>
          </wp:inline>
        </w:drawing>
      </w:r>
    </w:p>
    <w:p>
      <w:pPr>
        <w:spacing w:before="120" w:after="120"/>
        <w:ind w:left="159"/>
        <w:jc w:val="left"/>
        <w:rPr>
          <w:b/>
          <w:color w:val="0000FF"/>
          <w:sz w:val="22"/>
        </w:rPr>
      </w:pPr>
      <w:r>
        <w:rPr>
          <w:rFonts w:hint="eastAsia"/>
          <w:b/>
          <w:color w:val="0000FF"/>
          <w:sz w:val="22"/>
        </w:rPr>
        <w:drawing>
          <wp:inline distT="0" distB="0" distL="114300" distR="114300">
            <wp:extent cx="5938520" cy="7748270"/>
            <wp:effectExtent l="0" t="0" r="5080" b="11430"/>
            <wp:docPr id="82" name="图片 82" descr="QQ截图2018120521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QQ截图20181205210551"/>
                    <pic:cNvPicPr>
                      <a:picLocks noChangeAspect="1"/>
                    </pic:cNvPicPr>
                  </pic:nvPicPr>
                  <pic:blipFill>
                    <a:blip r:embed="rId24"/>
                    <a:stretch>
                      <a:fillRect/>
                    </a:stretch>
                  </pic:blipFill>
                  <pic:spPr>
                    <a:xfrm>
                      <a:off x="0" y="0"/>
                      <a:ext cx="5938520" cy="7748270"/>
                    </a:xfrm>
                    <a:prstGeom prst="rect">
                      <a:avLst/>
                    </a:prstGeom>
                  </pic:spPr>
                </pic:pic>
              </a:graphicData>
            </a:graphic>
          </wp:inline>
        </w:drawing>
      </w:r>
    </w:p>
    <w:p>
      <w:pPr>
        <w:spacing w:before="120" w:after="120"/>
        <w:ind w:left="159"/>
        <w:jc w:val="left"/>
        <w:rPr>
          <w:b/>
          <w:color w:val="0000FF"/>
          <w:sz w:val="22"/>
        </w:rPr>
      </w:pPr>
      <w:r>
        <w:rPr>
          <w:rFonts w:hint="eastAsia"/>
          <w:b/>
          <w:color w:val="0000FF"/>
          <w:sz w:val="22"/>
        </w:rPr>
        <w:drawing>
          <wp:inline distT="0" distB="0" distL="114300" distR="114300">
            <wp:extent cx="5886450" cy="8011160"/>
            <wp:effectExtent l="0" t="0" r="6350" b="2540"/>
            <wp:docPr id="83" name="图片 83" descr="QQ截图2018120521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QQ截图20181205210602"/>
                    <pic:cNvPicPr>
                      <a:picLocks noChangeAspect="1"/>
                    </pic:cNvPicPr>
                  </pic:nvPicPr>
                  <pic:blipFill>
                    <a:blip r:embed="rId25"/>
                    <a:stretch>
                      <a:fillRect/>
                    </a:stretch>
                  </pic:blipFill>
                  <pic:spPr>
                    <a:xfrm>
                      <a:off x="0" y="0"/>
                      <a:ext cx="5886450" cy="8011160"/>
                    </a:xfrm>
                    <a:prstGeom prst="rect">
                      <a:avLst/>
                    </a:prstGeom>
                  </pic:spPr>
                </pic:pic>
              </a:graphicData>
            </a:graphic>
          </wp:inline>
        </w:drawing>
      </w:r>
    </w:p>
    <w:p>
      <w:pPr>
        <w:spacing w:before="120" w:after="120"/>
        <w:ind w:left="159"/>
        <w:jc w:val="left"/>
        <w:rPr>
          <w:b/>
          <w:color w:val="0000FF"/>
          <w:sz w:val="22"/>
        </w:rPr>
      </w:pPr>
      <w:r>
        <w:rPr>
          <w:rFonts w:hint="eastAsia"/>
          <w:b/>
          <w:color w:val="0000FF"/>
          <w:sz w:val="22"/>
        </w:rPr>
        <w:drawing>
          <wp:inline distT="0" distB="0" distL="114300" distR="114300">
            <wp:extent cx="5860415" cy="8103870"/>
            <wp:effectExtent l="0" t="0" r="6985" b="11430"/>
            <wp:docPr id="84" name="图片 84" descr="QQ截图201812052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QQ截图20181205210613"/>
                    <pic:cNvPicPr>
                      <a:picLocks noChangeAspect="1"/>
                    </pic:cNvPicPr>
                  </pic:nvPicPr>
                  <pic:blipFill>
                    <a:blip r:embed="rId26"/>
                    <a:stretch>
                      <a:fillRect/>
                    </a:stretch>
                  </pic:blipFill>
                  <pic:spPr>
                    <a:xfrm>
                      <a:off x="0" y="0"/>
                      <a:ext cx="5860415" cy="8103870"/>
                    </a:xfrm>
                    <a:prstGeom prst="rect">
                      <a:avLst/>
                    </a:prstGeom>
                  </pic:spPr>
                </pic:pic>
              </a:graphicData>
            </a:graphic>
          </wp:inline>
        </w:drawing>
      </w:r>
    </w:p>
    <w:p>
      <w:pPr>
        <w:spacing w:before="120" w:after="120"/>
        <w:ind w:left="159"/>
        <w:jc w:val="left"/>
        <w:rPr>
          <w:b/>
          <w:color w:val="0000FF"/>
          <w:sz w:val="22"/>
        </w:rPr>
      </w:pPr>
      <w:r>
        <w:rPr>
          <w:rFonts w:hint="eastAsia"/>
          <w:b/>
          <w:color w:val="0000FF"/>
          <w:sz w:val="22"/>
        </w:rPr>
        <w:drawing>
          <wp:inline distT="0" distB="0" distL="114300" distR="114300">
            <wp:extent cx="5840730" cy="8153400"/>
            <wp:effectExtent l="0" t="0" r="1270" b="0"/>
            <wp:docPr id="85" name="图片 85" descr="QQ截图2018120521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QQ截图20181205210637"/>
                    <pic:cNvPicPr>
                      <a:picLocks noChangeAspect="1"/>
                    </pic:cNvPicPr>
                  </pic:nvPicPr>
                  <pic:blipFill>
                    <a:blip r:embed="rId27"/>
                    <a:stretch>
                      <a:fillRect/>
                    </a:stretch>
                  </pic:blipFill>
                  <pic:spPr>
                    <a:xfrm>
                      <a:off x="0" y="0"/>
                      <a:ext cx="5840730" cy="8153400"/>
                    </a:xfrm>
                    <a:prstGeom prst="rect">
                      <a:avLst/>
                    </a:prstGeom>
                  </pic:spPr>
                </pic:pic>
              </a:graphicData>
            </a:graphic>
          </wp:inline>
        </w:drawing>
      </w:r>
    </w:p>
    <w:p>
      <w:pPr>
        <w:spacing w:before="120" w:after="120"/>
        <w:ind w:left="159"/>
        <w:jc w:val="left"/>
        <w:rPr>
          <w:b/>
          <w:color w:val="0000FF"/>
          <w:sz w:val="22"/>
        </w:rPr>
      </w:pPr>
      <w:r>
        <w:rPr>
          <w:rFonts w:hint="eastAsia"/>
          <w:b/>
          <w:color w:val="0000FF"/>
          <w:sz w:val="22"/>
        </w:rPr>
        <w:drawing>
          <wp:inline distT="0" distB="0" distL="114300" distR="114300">
            <wp:extent cx="5892165" cy="8388985"/>
            <wp:effectExtent l="0" t="0" r="635" b="5715"/>
            <wp:docPr id="86" name="图片 86" descr="QQ截图2018120521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QQ截图20181205210827"/>
                    <pic:cNvPicPr>
                      <a:picLocks noChangeAspect="1"/>
                    </pic:cNvPicPr>
                  </pic:nvPicPr>
                  <pic:blipFill>
                    <a:blip r:embed="rId28"/>
                    <a:stretch>
                      <a:fillRect/>
                    </a:stretch>
                  </pic:blipFill>
                  <pic:spPr>
                    <a:xfrm>
                      <a:off x="0" y="0"/>
                      <a:ext cx="5892165" cy="8388985"/>
                    </a:xfrm>
                    <a:prstGeom prst="rect">
                      <a:avLst/>
                    </a:prstGeom>
                  </pic:spPr>
                </pic:pic>
              </a:graphicData>
            </a:graphic>
          </wp:inline>
        </w:drawing>
      </w:r>
    </w:p>
    <w:p>
      <w:pPr>
        <w:spacing w:before="120" w:after="120"/>
        <w:ind w:left="159"/>
        <w:jc w:val="left"/>
        <w:rPr>
          <w:b/>
          <w:color w:val="0000FF"/>
          <w:sz w:val="22"/>
        </w:rPr>
      </w:pPr>
      <w:r>
        <w:rPr>
          <w:rFonts w:hint="eastAsia"/>
          <w:b/>
          <w:color w:val="0000FF"/>
          <w:sz w:val="22"/>
        </w:rPr>
        <w:drawing>
          <wp:inline distT="0" distB="0" distL="114300" distR="114300">
            <wp:extent cx="5701665" cy="8089265"/>
            <wp:effectExtent l="0" t="0" r="635" b="635"/>
            <wp:docPr id="87" name="图片 87" descr="QQ截图2018120521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QQ截图20181205210838"/>
                    <pic:cNvPicPr>
                      <a:picLocks noChangeAspect="1"/>
                    </pic:cNvPicPr>
                  </pic:nvPicPr>
                  <pic:blipFill>
                    <a:blip r:embed="rId29"/>
                    <a:stretch>
                      <a:fillRect/>
                    </a:stretch>
                  </pic:blipFill>
                  <pic:spPr>
                    <a:xfrm>
                      <a:off x="0" y="0"/>
                      <a:ext cx="5701665" cy="8089265"/>
                    </a:xfrm>
                    <a:prstGeom prst="rect">
                      <a:avLst/>
                    </a:prstGeom>
                  </pic:spPr>
                </pic:pic>
              </a:graphicData>
            </a:graphic>
          </wp:inline>
        </w:drawing>
      </w:r>
    </w:p>
    <w:p>
      <w:pPr>
        <w:spacing w:before="120" w:after="120"/>
        <w:ind w:firstLine="221" w:firstLineChars="100"/>
        <w:jc w:val="left"/>
        <w:rPr>
          <w:b/>
          <w:sz w:val="22"/>
        </w:rPr>
      </w:pPr>
      <w:r>
        <w:rPr>
          <w:b/>
          <w:color w:val="0000FF"/>
          <w:sz w:val="22"/>
        </w:rPr>
        <w:t>SECTION C. RECORD OF MEETINGS</w:t>
      </w:r>
    </w:p>
    <w:p>
      <w:pPr>
        <w:spacing w:before="120" w:after="120"/>
        <w:rPr>
          <w:rFonts w:hint="eastAsia" w:eastAsiaTheme="minorEastAsia"/>
          <w:lang w:eastAsia="zh-CN"/>
        </w:rPr>
      </w:pPr>
      <w:r>
        <w:rPr>
          <w:rFonts w:hint="eastAsia" w:eastAsiaTheme="minorEastAsia"/>
          <w:lang w:eastAsia="zh-CN"/>
        </w:rPr>
        <w:drawing>
          <wp:inline distT="0" distB="0" distL="114300" distR="114300">
            <wp:extent cx="6054725" cy="7263130"/>
            <wp:effectExtent l="0" t="0" r="3175" b="1270"/>
            <wp:docPr id="6" name="图片 6" descr="QQ截图2018120713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181207133249"/>
                    <pic:cNvPicPr>
                      <a:picLocks noChangeAspect="1"/>
                    </pic:cNvPicPr>
                  </pic:nvPicPr>
                  <pic:blipFill>
                    <a:blip r:embed="rId30"/>
                    <a:stretch>
                      <a:fillRect/>
                    </a:stretch>
                  </pic:blipFill>
                  <pic:spPr>
                    <a:xfrm>
                      <a:off x="0" y="0"/>
                      <a:ext cx="6054725" cy="7263130"/>
                    </a:xfrm>
                    <a:prstGeom prst="rect">
                      <a:avLst/>
                    </a:prstGeom>
                  </pic:spPr>
                </pic:pic>
              </a:graphicData>
            </a:graphic>
          </wp:inline>
        </w:drawing>
      </w:r>
    </w:p>
    <w:p>
      <w:pPr>
        <w:spacing w:before="120" w:after="120"/>
        <w:rPr>
          <w:rFonts w:hint="eastAsia" w:eastAsiaTheme="minorEastAsia"/>
          <w:lang w:eastAsia="zh-CN"/>
        </w:rPr>
      </w:pPr>
      <w:r>
        <w:rPr>
          <w:rFonts w:hint="eastAsia" w:eastAsiaTheme="minorEastAsia"/>
          <w:lang w:eastAsia="zh-CN"/>
        </w:rPr>
        <w:drawing>
          <wp:inline distT="0" distB="0" distL="114300" distR="114300">
            <wp:extent cx="6321425" cy="8234680"/>
            <wp:effectExtent l="0" t="0" r="3175" b="7620"/>
            <wp:docPr id="10" name="图片 10" descr="QQ截图2018120713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181207133231"/>
                    <pic:cNvPicPr>
                      <a:picLocks noChangeAspect="1"/>
                    </pic:cNvPicPr>
                  </pic:nvPicPr>
                  <pic:blipFill>
                    <a:blip r:embed="rId31"/>
                    <a:stretch>
                      <a:fillRect/>
                    </a:stretch>
                  </pic:blipFill>
                  <pic:spPr>
                    <a:xfrm>
                      <a:off x="0" y="0"/>
                      <a:ext cx="6321425" cy="8234680"/>
                    </a:xfrm>
                    <a:prstGeom prst="rect">
                      <a:avLst/>
                    </a:prstGeom>
                  </pic:spPr>
                </pic:pic>
              </a:graphicData>
            </a:graphic>
          </wp:inline>
        </w:drawing>
      </w:r>
    </w:p>
    <w:p>
      <w:pPr>
        <w:spacing w:before="120" w:after="120"/>
        <w:rPr>
          <w:rFonts w:hint="eastAsia" w:eastAsiaTheme="minorEastAsia"/>
          <w:lang w:eastAsia="zh-CN"/>
        </w:rPr>
      </w:pPr>
      <w:r>
        <w:rPr>
          <w:rFonts w:hint="eastAsia" w:eastAsiaTheme="minorEastAsia"/>
          <w:lang w:eastAsia="zh-CN"/>
        </w:rPr>
        <w:drawing>
          <wp:inline distT="0" distB="0" distL="114300" distR="114300">
            <wp:extent cx="6371590" cy="8291195"/>
            <wp:effectExtent l="0" t="0" r="3810" b="1905"/>
            <wp:docPr id="11" name="图片 11" descr="QQ截图2018120713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20181207133213"/>
                    <pic:cNvPicPr>
                      <a:picLocks noChangeAspect="1"/>
                    </pic:cNvPicPr>
                  </pic:nvPicPr>
                  <pic:blipFill>
                    <a:blip r:embed="rId32"/>
                    <a:stretch>
                      <a:fillRect/>
                    </a:stretch>
                  </pic:blipFill>
                  <pic:spPr>
                    <a:xfrm>
                      <a:off x="0" y="0"/>
                      <a:ext cx="6371590" cy="8291195"/>
                    </a:xfrm>
                    <a:prstGeom prst="rect">
                      <a:avLst/>
                    </a:prstGeom>
                  </pic:spPr>
                </pic:pic>
              </a:graphicData>
            </a:graphic>
          </wp:inline>
        </w:drawing>
      </w:r>
    </w:p>
    <w:p>
      <w:pPr>
        <w:spacing w:before="120" w:after="120"/>
        <w:rPr>
          <w:rFonts w:hint="eastAsia"/>
        </w:rPr>
      </w:pPr>
      <w:r>
        <w:rPr>
          <w:rFonts w:hint="eastAsia" w:eastAsiaTheme="minorEastAsia"/>
          <w:lang w:eastAsia="zh-CN"/>
        </w:rPr>
        <w:drawing>
          <wp:inline distT="0" distB="0" distL="114300" distR="114300">
            <wp:extent cx="6273800" cy="8423275"/>
            <wp:effectExtent l="0" t="0" r="0" b="9525"/>
            <wp:docPr id="13" name="图片 13" descr="QQ截图2018120713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20181207133152"/>
                    <pic:cNvPicPr>
                      <a:picLocks noChangeAspect="1"/>
                    </pic:cNvPicPr>
                  </pic:nvPicPr>
                  <pic:blipFill>
                    <a:blip r:embed="rId33"/>
                    <a:stretch>
                      <a:fillRect/>
                    </a:stretch>
                  </pic:blipFill>
                  <pic:spPr>
                    <a:xfrm>
                      <a:off x="0" y="0"/>
                      <a:ext cx="6273800" cy="8423275"/>
                    </a:xfrm>
                    <a:prstGeom prst="rect">
                      <a:avLst/>
                    </a:prstGeom>
                  </pic:spPr>
                </pic:pic>
              </a:graphicData>
            </a:graphic>
          </wp:inline>
        </w:drawing>
      </w:r>
      <w:r>
        <w:rPr>
          <w:rFonts w:hint="eastAsia" w:eastAsiaTheme="minorEastAsia"/>
          <w:lang w:eastAsia="zh-CN"/>
        </w:rPr>
        <w:drawing>
          <wp:inline distT="0" distB="0" distL="114300" distR="114300">
            <wp:extent cx="6475095" cy="7912735"/>
            <wp:effectExtent l="0" t="0" r="1905" b="12065"/>
            <wp:docPr id="14" name="图片 14" descr="QQ截图2018120713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181207133310"/>
                    <pic:cNvPicPr>
                      <a:picLocks noChangeAspect="1"/>
                    </pic:cNvPicPr>
                  </pic:nvPicPr>
                  <pic:blipFill>
                    <a:blip r:embed="rId34"/>
                    <a:stretch>
                      <a:fillRect/>
                    </a:stretch>
                  </pic:blipFill>
                  <pic:spPr>
                    <a:xfrm>
                      <a:off x="0" y="0"/>
                      <a:ext cx="6475095" cy="7912735"/>
                    </a:xfrm>
                    <a:prstGeom prst="rect">
                      <a:avLst/>
                    </a:prstGeom>
                  </pic:spPr>
                </pic:pic>
              </a:graphicData>
            </a:graphic>
          </wp:inline>
        </w:drawing>
      </w:r>
    </w:p>
    <w:p>
      <w:pPr>
        <w:spacing w:before="120" w:after="120" w:line="240" w:lineRule="auto"/>
        <w:ind w:left="601" w:right="602"/>
        <w:jc w:val="center"/>
        <w:rPr>
          <w:rFonts w:hint="eastAsia" w:eastAsiaTheme="minorEastAsia"/>
          <w:lang w:eastAsia="zh-CN"/>
        </w:rPr>
      </w:pPr>
    </w:p>
    <w:p>
      <w:pPr>
        <w:spacing w:before="120" w:after="120"/>
        <w:ind w:left="601" w:right="602"/>
        <w:jc w:val="center"/>
        <w:rPr>
          <w:b/>
          <w:i/>
          <w:sz w:val="22"/>
          <w:u w:val="thick"/>
        </w:rPr>
      </w:pPr>
      <w:r>
        <w:rPr>
          <w:rFonts w:hint="eastAsia"/>
          <w:lang w:eastAsia="zh-CN"/>
        </w:rPr>
        <w:drawing>
          <wp:inline distT="0" distB="0" distL="114300" distR="114300">
            <wp:extent cx="5956300" cy="4586605"/>
            <wp:effectExtent l="0" t="0" r="0" b="10795"/>
            <wp:docPr id="4" name="图片 4" descr="QQ截图2018120713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181207134437"/>
                    <pic:cNvPicPr>
                      <a:picLocks noChangeAspect="1"/>
                    </pic:cNvPicPr>
                  </pic:nvPicPr>
                  <pic:blipFill>
                    <a:blip r:embed="rId35"/>
                    <a:stretch>
                      <a:fillRect/>
                    </a:stretch>
                  </pic:blipFill>
                  <pic:spPr>
                    <a:xfrm>
                      <a:off x="0" y="0"/>
                      <a:ext cx="5956300" cy="4586605"/>
                    </a:xfrm>
                    <a:prstGeom prst="rect">
                      <a:avLst/>
                    </a:prstGeom>
                  </pic:spPr>
                </pic:pic>
              </a:graphicData>
            </a:graphic>
          </wp:inline>
        </w:drawing>
      </w:r>
    </w:p>
    <w:p>
      <w:pPr>
        <w:spacing w:before="120" w:after="120"/>
        <w:ind w:left="601" w:right="602"/>
        <w:jc w:val="center"/>
        <w:rPr>
          <w:b/>
          <w:i/>
          <w:sz w:val="22"/>
          <w:u w:val="thick"/>
        </w:rPr>
      </w:pPr>
    </w:p>
    <w:p>
      <w:pPr>
        <w:spacing w:before="120" w:after="120"/>
        <w:ind w:left="601" w:right="602"/>
        <w:jc w:val="center"/>
        <w:rPr>
          <w:b/>
          <w:i/>
          <w:sz w:val="22"/>
          <w:u w:val="thick"/>
        </w:rPr>
      </w:pPr>
    </w:p>
    <w:p>
      <w:pPr>
        <w:spacing w:before="120" w:after="120"/>
        <w:ind w:left="601" w:right="602"/>
        <w:jc w:val="center"/>
        <w:rPr>
          <w:b/>
          <w:i/>
          <w:sz w:val="22"/>
          <w:u w:val="thick"/>
        </w:rPr>
      </w:pPr>
    </w:p>
    <w:p>
      <w:pPr>
        <w:spacing w:before="120" w:after="120"/>
        <w:ind w:left="601" w:right="602"/>
        <w:jc w:val="center"/>
        <w:rPr>
          <w:b/>
          <w:i/>
          <w:sz w:val="22"/>
          <w:u w:val="thick"/>
        </w:rPr>
      </w:pPr>
    </w:p>
    <w:p>
      <w:pPr>
        <w:spacing w:before="120" w:after="120"/>
        <w:ind w:left="601" w:right="602"/>
        <w:jc w:val="center"/>
        <w:rPr>
          <w:b/>
          <w:i/>
          <w:sz w:val="22"/>
          <w:u w:val="thick"/>
        </w:rPr>
      </w:pPr>
    </w:p>
    <w:p>
      <w:pPr>
        <w:spacing w:before="120" w:after="120"/>
        <w:ind w:left="601" w:right="602"/>
        <w:jc w:val="center"/>
        <w:rPr>
          <w:b/>
          <w:i/>
          <w:sz w:val="22"/>
          <w:u w:val="thick"/>
        </w:rPr>
      </w:pPr>
    </w:p>
    <w:p>
      <w:pPr>
        <w:spacing w:before="120" w:after="120"/>
        <w:ind w:left="601" w:right="602"/>
        <w:jc w:val="center"/>
        <w:rPr>
          <w:b/>
          <w:i/>
          <w:sz w:val="22"/>
          <w:u w:val="thick"/>
        </w:rPr>
      </w:pPr>
    </w:p>
    <w:p>
      <w:pPr>
        <w:spacing w:before="120" w:after="120"/>
        <w:ind w:left="601" w:right="602"/>
        <w:jc w:val="center"/>
        <w:rPr>
          <w:b/>
          <w:i/>
          <w:sz w:val="22"/>
          <w:u w:val="thick"/>
        </w:rPr>
      </w:pPr>
    </w:p>
    <w:p>
      <w:pPr>
        <w:spacing w:before="120" w:after="120"/>
        <w:ind w:left="601" w:right="602"/>
        <w:jc w:val="center"/>
        <w:rPr>
          <w:b/>
          <w:i/>
          <w:sz w:val="22"/>
          <w:u w:val="thick"/>
        </w:rPr>
      </w:pPr>
    </w:p>
    <w:p>
      <w:pPr>
        <w:spacing w:before="120" w:after="120"/>
        <w:ind w:left="601" w:right="602"/>
        <w:jc w:val="both"/>
        <w:rPr>
          <w:b/>
          <w:i/>
          <w:sz w:val="22"/>
          <w:u w:val="thick"/>
        </w:rPr>
      </w:pPr>
    </w:p>
    <w:p>
      <w:pPr>
        <w:spacing w:before="120" w:after="120"/>
        <w:ind w:left="601" w:right="602"/>
        <w:jc w:val="center"/>
        <w:rPr>
          <w:b/>
          <w:i/>
          <w:sz w:val="22"/>
        </w:rPr>
      </w:pPr>
      <w:r>
        <w:rPr>
          <w:b/>
          <w:i/>
          <w:sz w:val="22"/>
          <w:u w:val="thick"/>
        </w:rPr>
        <w:t>APPENDIX 2</w:t>
      </w:r>
    </w:p>
    <w:p>
      <w:pPr>
        <w:pStyle w:val="5"/>
        <w:spacing w:before="120" w:after="120"/>
        <w:rPr>
          <w:b/>
          <w:i/>
          <w:sz w:val="12"/>
        </w:rPr>
      </w:pPr>
    </w:p>
    <w:p>
      <w:pPr>
        <w:spacing w:before="120" w:after="120"/>
        <w:ind w:left="601" w:right="602"/>
        <w:jc w:val="center"/>
        <w:rPr>
          <w:b/>
          <w:sz w:val="22"/>
        </w:rPr>
      </w:pPr>
      <w:r>
        <w:rPr>
          <w:b/>
          <w:sz w:val="22"/>
        </w:rPr>
        <w:t>Declaration</w:t>
      </w:r>
    </w:p>
    <w:p>
      <w:pPr>
        <w:pStyle w:val="5"/>
        <w:spacing w:before="120" w:after="120"/>
        <w:rPr>
          <w:b/>
        </w:rPr>
      </w:pPr>
    </w:p>
    <w:p>
      <w:pPr>
        <w:pStyle w:val="5"/>
        <w:spacing w:before="120" w:after="120"/>
        <w:rPr>
          <w:b/>
        </w:rPr>
      </w:pPr>
    </w:p>
    <w:p>
      <w:pPr>
        <w:pStyle w:val="5"/>
        <w:spacing w:before="120" w:after="120"/>
        <w:rPr>
          <w:b/>
        </w:rPr>
      </w:pPr>
    </w:p>
    <w:p>
      <w:pPr>
        <w:pStyle w:val="5"/>
        <w:spacing w:before="120" w:after="120"/>
        <w:rPr>
          <w:b/>
        </w:rPr>
      </w:pPr>
    </w:p>
    <w:p>
      <w:pPr>
        <w:pStyle w:val="5"/>
        <w:spacing w:before="120" w:after="120"/>
        <w:rPr>
          <w:b/>
          <w:sz w:val="23"/>
        </w:rPr>
      </w:pPr>
    </w:p>
    <w:p>
      <w:pPr>
        <w:spacing w:before="120" w:after="120"/>
        <w:ind w:left="159"/>
        <w:jc w:val="left"/>
        <w:rPr>
          <w:sz w:val="22"/>
        </w:rPr>
      </w:pPr>
      <w:r>
        <w:rPr>
          <w:sz w:val="22"/>
        </w:rPr>
        <w:t>I hereby declare that this thesis is my own work and effort and that it has not been submitted anywhere for any award. Where other sources of information have been used, they have been duly acknowledged.</w:t>
      </w:r>
    </w:p>
    <w:p>
      <w:pPr>
        <w:pStyle w:val="5"/>
        <w:spacing w:before="120" w:after="120"/>
        <w:rPr>
          <w:sz w:val="33"/>
        </w:rPr>
      </w:pPr>
    </w:p>
    <w:p>
      <w:pPr>
        <w:tabs>
          <w:tab w:val="left" w:pos="2319"/>
        </w:tabs>
        <w:spacing w:before="120" w:after="120"/>
        <w:ind w:left="159"/>
        <w:jc w:val="left"/>
        <w:rPr>
          <w:rFonts w:eastAsia="宋体"/>
          <w:sz w:val="22"/>
        </w:rPr>
      </w:pPr>
      <w:r>
        <w:rPr>
          <w:sz w:val="22"/>
        </w:rPr>
        <w:t>Name</w:t>
      </w:r>
      <w:r>
        <w:rPr>
          <w:sz w:val="22"/>
        </w:rPr>
        <w:tab/>
      </w:r>
      <w:r>
        <w:rPr>
          <w:sz w:val="22"/>
        </w:rPr>
        <w:t>:</w:t>
      </w:r>
      <w:r>
        <w:rPr>
          <w:rFonts w:hint="eastAsia" w:eastAsia="宋体"/>
          <w:sz w:val="22"/>
        </w:rPr>
        <w:t xml:space="preserve">  Ruan Hanwei</w:t>
      </w:r>
    </w:p>
    <w:p>
      <w:pPr>
        <w:tabs>
          <w:tab w:val="left" w:pos="2319"/>
        </w:tabs>
        <w:spacing w:before="120" w:after="120"/>
        <w:ind w:left="159"/>
        <w:jc w:val="left"/>
        <w:rPr>
          <w:rFonts w:eastAsia="宋体"/>
          <w:sz w:val="22"/>
        </w:rPr>
      </w:pPr>
      <w:r>
        <w:rPr>
          <w:sz w:val="22"/>
        </w:rPr>
        <w:t>Student</w:t>
      </w:r>
      <w:r>
        <w:rPr>
          <w:spacing w:val="-1"/>
          <w:sz w:val="22"/>
        </w:rPr>
        <w:t xml:space="preserve"> </w:t>
      </w:r>
      <w:r>
        <w:rPr>
          <w:sz w:val="22"/>
        </w:rPr>
        <w:t>ID</w:t>
      </w:r>
      <w:r>
        <w:rPr>
          <w:sz w:val="22"/>
        </w:rPr>
        <w:tab/>
      </w:r>
      <w:r>
        <w:rPr>
          <w:sz w:val="22"/>
        </w:rPr>
        <w:t>:</w:t>
      </w:r>
      <w:r>
        <w:rPr>
          <w:rFonts w:hint="eastAsia" w:eastAsia="宋体"/>
          <w:sz w:val="22"/>
        </w:rPr>
        <w:t xml:space="preserve">  I17013744</w:t>
      </w:r>
    </w:p>
    <w:p>
      <w:pPr>
        <w:tabs>
          <w:tab w:val="left" w:pos="2319"/>
        </w:tabs>
        <w:spacing w:before="120" w:after="120"/>
        <w:ind w:left="159"/>
        <w:jc w:val="left"/>
        <w:rPr>
          <w:rFonts w:eastAsia="宋体"/>
          <w:sz w:val="22"/>
        </w:rPr>
      </w:pPr>
      <w:r>
        <w:rPr>
          <w:sz w:val="22"/>
        </w:rPr>
        <w:t>Signature</w:t>
      </w:r>
      <w:r>
        <w:rPr>
          <w:sz w:val="22"/>
        </w:rPr>
        <w:tab/>
      </w:r>
      <w:r>
        <w:rPr>
          <w:sz w:val="22"/>
        </w:rPr>
        <w:t>:</w:t>
      </w:r>
      <w:r>
        <w:rPr>
          <w:rFonts w:hint="eastAsia" w:eastAsia="宋体"/>
          <w:sz w:val="22"/>
        </w:rPr>
        <w:t xml:space="preserve">  Ruan Hanwei</w:t>
      </w:r>
    </w:p>
    <w:p>
      <w:pPr>
        <w:tabs>
          <w:tab w:val="left" w:pos="2319"/>
        </w:tabs>
        <w:spacing w:before="120" w:after="120"/>
        <w:ind w:left="159"/>
        <w:jc w:val="left"/>
        <w:rPr>
          <w:rFonts w:eastAsia="宋体"/>
          <w:sz w:val="22"/>
        </w:rPr>
        <w:sectPr>
          <w:pgSz w:w="12240" w:h="15840"/>
          <w:pgMar w:top="1500" w:right="1100" w:bottom="1260" w:left="880" w:header="0" w:footer="1067" w:gutter="0"/>
          <w:cols w:space="720" w:num="1"/>
        </w:sectPr>
      </w:pPr>
      <w:r>
        <w:rPr>
          <w:sz w:val="22"/>
        </w:rPr>
        <w:t>Date</w:t>
      </w:r>
      <w:r>
        <w:rPr>
          <w:sz w:val="22"/>
        </w:rPr>
        <w:tab/>
      </w:r>
      <w:r>
        <w:rPr>
          <w:sz w:val="22"/>
        </w:rPr>
        <w:t>:</w:t>
      </w:r>
      <w:r>
        <w:rPr>
          <w:rFonts w:hint="eastAsia" w:eastAsia="宋体"/>
          <w:sz w:val="22"/>
        </w:rPr>
        <w:t xml:space="preserve">  2018/12/5</w:t>
      </w:r>
    </w:p>
    <w:p>
      <w:pPr>
        <w:spacing w:before="156" w:after="156"/>
        <w:ind w:left="601" w:right="602"/>
        <w:jc w:val="center"/>
        <w:rPr>
          <w:b/>
          <w:i/>
          <w:sz w:val="22"/>
        </w:rPr>
      </w:pPr>
      <w:r>
        <w:rPr>
          <w:b/>
          <w:i/>
          <w:sz w:val="22"/>
          <w:u w:val="thick"/>
        </w:rPr>
        <w:t>APPENDIX 2</w:t>
      </w:r>
    </w:p>
    <w:p>
      <w:pPr>
        <w:spacing w:before="156" w:after="156"/>
        <w:ind w:right="602"/>
        <w:jc w:val="center"/>
        <w:rPr>
          <w:b/>
          <w:sz w:val="25"/>
        </w:rPr>
      </w:pPr>
      <w:r>
        <w:rPr>
          <w:b/>
          <w:sz w:val="22"/>
        </w:rPr>
        <w:t>Title Page</w:t>
      </w:r>
    </w:p>
    <w:p>
      <w:pPr>
        <w:spacing w:before="156" w:after="156"/>
        <w:ind w:left="159"/>
        <w:jc w:val="left"/>
        <w:rPr>
          <w:b/>
          <w:sz w:val="32"/>
        </w:rPr>
      </w:pPr>
      <w:r>
        <w:rPr>
          <w:b/>
          <w:sz w:val="22"/>
        </w:rPr>
        <w:t>INTI INTERNATIONAL UNIVERSITY</w:t>
      </w:r>
    </w:p>
    <w:p>
      <w:pPr>
        <w:spacing w:before="156" w:after="156"/>
        <w:ind w:left="159"/>
        <w:jc w:val="left"/>
      </w:pPr>
      <w:r>
        <w:rPr>
          <w:sz w:val="22"/>
        </w:rPr>
        <w:t>MASTER OF BUSINESS ADMINISTRATION</w:t>
      </w:r>
    </w:p>
    <w:p>
      <w:pPr>
        <w:spacing w:before="156" w:after="156"/>
      </w:pPr>
    </w:p>
    <w:p>
      <w:pPr>
        <w:spacing w:before="156" w:after="156"/>
      </w:pPr>
      <w:r>
        <w:rPr>
          <w:rFonts w:hint="eastAsia"/>
        </w:rPr>
        <w:t>THE INFLUENCE OF WESTERN CORPORATE CULTURE ON THE EDUCATION INDUSTRY IN CHINA</w:t>
      </w:r>
    </w:p>
    <w:p>
      <w:pPr>
        <w:spacing w:before="156" w:after="156"/>
      </w:pPr>
    </w:p>
    <w:p>
      <w:pPr>
        <w:spacing w:before="156" w:after="156"/>
        <w:rPr>
          <w:rFonts w:cs="Times New Roman"/>
        </w:rPr>
      </w:pPr>
      <w:r>
        <w:rPr>
          <w:rFonts w:cs="Times New Roman"/>
          <w:b/>
          <w:bCs/>
        </w:rPr>
        <w:t>Author；</w:t>
      </w:r>
      <w:r>
        <w:rPr>
          <w:rFonts w:eastAsia="宋体" w:cs="Times New Roman"/>
        </w:rPr>
        <w:t>RUAN HANWEI</w:t>
      </w:r>
    </w:p>
    <w:p>
      <w:pPr>
        <w:spacing w:before="156" w:after="156"/>
        <w:rPr>
          <w:rFonts w:cs="Times New Roman"/>
        </w:rPr>
      </w:pPr>
      <w:r>
        <w:rPr>
          <w:rFonts w:cs="Times New Roman"/>
          <w:b/>
          <w:bCs/>
        </w:rPr>
        <w:t>Student No:</w:t>
      </w:r>
      <w:r>
        <w:rPr>
          <w:rFonts w:cs="Times New Roman"/>
        </w:rPr>
        <w:t xml:space="preserve"> I17013744</w:t>
      </w:r>
    </w:p>
    <w:p>
      <w:pPr>
        <w:spacing w:before="156" w:after="156"/>
        <w:rPr>
          <w:rFonts w:cs="Times New Roman"/>
        </w:rPr>
      </w:pPr>
      <w:r>
        <w:rPr>
          <w:rFonts w:cs="Times New Roman"/>
          <w:b/>
          <w:bCs/>
        </w:rPr>
        <w:t>Supervisor:</w:t>
      </w:r>
      <w:r>
        <w:rPr>
          <w:rFonts w:cs="Times New Roman"/>
        </w:rPr>
        <w:t xml:space="preserve"> ASSOC.PROF. DR. LEE KAR LING</w:t>
      </w:r>
    </w:p>
    <w:p>
      <w:pPr>
        <w:spacing w:before="156" w:after="156"/>
        <w:rPr>
          <w:rFonts w:cs="Times New Roman"/>
        </w:rPr>
      </w:pPr>
      <w:r>
        <w:rPr>
          <w:rFonts w:cs="Times New Roman"/>
          <w:b/>
          <w:bCs/>
        </w:rPr>
        <w:t xml:space="preserve">Submission Date: </w:t>
      </w:r>
      <w:r>
        <w:rPr>
          <w:rFonts w:cs="Times New Roman"/>
        </w:rPr>
        <w:t>2018/12/7</w:t>
      </w:r>
    </w:p>
    <w:p>
      <w:pPr>
        <w:spacing w:before="156" w:after="156"/>
        <w:rPr>
          <w:rFonts w:cs="Times New Roman"/>
        </w:rPr>
      </w:pPr>
      <w:r>
        <w:rPr>
          <w:rFonts w:cs="Times New Roman"/>
          <w:b/>
          <w:bCs/>
        </w:rPr>
        <w:t>Ethics Number:</w:t>
      </w:r>
      <w:r>
        <w:rPr>
          <w:rFonts w:cs="Times New Roman"/>
        </w:rPr>
        <w:t xml:space="preserve"> </w:t>
      </w:r>
      <w:r>
        <w:rPr>
          <w:rFonts w:hint="eastAsia" w:cs="Times New Roman"/>
        </w:rPr>
        <w:t>cBUS/PGT/CP/03825</w:t>
      </w:r>
    </w:p>
    <w:p>
      <w:pPr>
        <w:spacing w:before="156" w:after="156"/>
        <w:rPr>
          <w:rFonts w:cs="Times New Roman"/>
        </w:rPr>
      </w:pPr>
      <w:r>
        <w:rPr>
          <w:rFonts w:cs="Times New Roman"/>
          <w:b/>
          <w:bCs/>
        </w:rPr>
        <w:t xml:space="preserve">Final Word Count: </w:t>
      </w:r>
      <w:r>
        <w:rPr>
          <w:rFonts w:cs="Times New Roman"/>
        </w:rPr>
        <w:t>16829</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Guardian">
    <w:altName w:val="Segoe Print"/>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ff2">
    <w:altName w:val="Segoe Print"/>
    <w:panose1 w:val="00000000000000000000"/>
    <w:charset w:val="00"/>
    <w:family w:val="auto"/>
    <w:pitch w:val="default"/>
    <w:sig w:usb0="00000000" w:usb1="00000000" w:usb2="00000000" w:usb3="00000000" w:csb0="00000000" w:csb1="00000000"/>
  </w:font>
  <w:font w:name="ff1">
    <w:altName w:val="Segoe Prin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auto"/>
    <w:pitch w:val="default"/>
    <w:sig w:usb0="00000000" w:usb1="00000000" w:usb2="00000000" w:usb3="00000000" w:csb0="00000000" w:csb1="00000000"/>
  </w:font>
  <w:font w:name="微软雅黑">
    <w:panose1 w:val="020B0503020204020204"/>
    <w:charset w:val="86"/>
    <w:family w:val="auto"/>
    <w:pitch w:val="default"/>
    <w:sig w:usb0="A0000287" w:usb1="28C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120" w:after="120"/>
      <w:jc w:val="right"/>
    </w:pPr>
  </w:p>
  <w:p>
    <w:pPr>
      <w:pStyle w:val="6"/>
      <w:spacing w:before="120" w:after="12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120" w:after="120"/>
      <w:jc w:val="right"/>
    </w:pPr>
  </w:p>
  <w:p>
    <w:pPr>
      <w:pStyle w:val="6"/>
      <w:spacing w:before="120" w:after="12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120" w:after="120"/>
      <w:jc w:val="right"/>
    </w:pPr>
  </w:p>
  <w:p>
    <w:pPr>
      <w:pStyle w:val="6"/>
      <w:spacing w:before="120" w:after="12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120" w:after="120"/>
      <w:jc w:val="right"/>
    </w:pPr>
  </w:p>
  <w:p>
    <w:pPr>
      <w:pStyle w:val="6"/>
      <w:spacing w:before="120" w:after="12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before="120" w:after="120"/>
      <w:jc w:val="right"/>
    </w:pPr>
  </w:p>
  <w:p>
    <w:pPr>
      <w:pStyle w:val="6"/>
      <w:spacing w:before="120" w:after="120"/>
      <w:jc w:val="right"/>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123190</wp:posOffset>
              </wp:positionV>
              <wp:extent cx="245110" cy="21336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45110" cy="2133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spacing w:before="120" w:after="120"/>
                            <w:rPr>
                              <w:sz w:val="20"/>
                              <w:szCs w:val="20"/>
                            </w:rPr>
                          </w:pPr>
                          <w:r>
                            <w:rPr>
                              <w:rFonts w:hint="eastAsia"/>
                              <w:sz w:val="20"/>
                              <w:szCs w:val="20"/>
                            </w:rPr>
                            <w:fldChar w:fldCharType="begin"/>
                          </w:r>
                          <w:r>
                            <w:rPr>
                              <w:rFonts w:hint="eastAsia"/>
                              <w:sz w:val="20"/>
                              <w:szCs w:val="20"/>
                            </w:rPr>
                            <w:instrText xml:space="preserve"> PAGE  \* MERGEFORMAT </w:instrText>
                          </w:r>
                          <w:r>
                            <w:rPr>
                              <w:rFonts w:hint="eastAsia"/>
                              <w:sz w:val="20"/>
                              <w:szCs w:val="20"/>
                            </w:rPr>
                            <w:fldChar w:fldCharType="separate"/>
                          </w:r>
                          <w:r>
                            <w:rPr>
                              <w:rFonts w:hint="eastAsia"/>
                              <w:sz w:val="20"/>
                              <w:szCs w:val="20"/>
                            </w:rPr>
                            <w:t>1</w:t>
                          </w:r>
                          <w:r>
                            <w:rPr>
                              <w:rFonts w:hint="eastAsia"/>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9.7pt;height:16.8pt;width:19.3pt;mso-position-horizontal:center;mso-position-horizontal-relative:margin;z-index:251689984;mso-width-relative:page;mso-height-relative:page;" filled="f" stroked="f" coordsize="21600,21600" o:gfxdata="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HjGdQAAAAFAQAADwAAAAAAAAAB&#10;ACAAAAAiAAAAZHJzL2Rvd25yZXYueG1sUEsBAhQAFAAAAAgAh07iQLgUHz4UAgAABwQAAA4AAAAA&#10;AAAAAQAgAAAAIwEAAGRycy9lMm9Eb2MueG1sUEsFBgAAAAAGAAYAWQEAAKkFAAAAAA==&#10;">
              <v:fill on="f" focussize="0,0"/>
              <v:stroke on="f" weight="0.5pt"/>
              <v:imagedata o:title=""/>
              <o:lock v:ext="edit" aspectratio="f"/>
              <v:textbox inset="0mm,0mm,0mm,0mm">
                <w:txbxContent>
                  <w:p>
                    <w:pPr>
                      <w:pStyle w:val="6"/>
                      <w:spacing w:before="120" w:after="120"/>
                      <w:rPr>
                        <w:sz w:val="20"/>
                        <w:szCs w:val="20"/>
                      </w:rPr>
                    </w:pPr>
                    <w:r>
                      <w:rPr>
                        <w:rFonts w:hint="eastAsia"/>
                        <w:sz w:val="20"/>
                        <w:szCs w:val="20"/>
                      </w:rPr>
                      <w:fldChar w:fldCharType="begin"/>
                    </w:r>
                    <w:r>
                      <w:rPr>
                        <w:rFonts w:hint="eastAsia"/>
                        <w:sz w:val="20"/>
                        <w:szCs w:val="20"/>
                      </w:rPr>
                      <w:instrText xml:space="preserve"> PAGE  \* MERGEFORMAT </w:instrText>
                    </w:r>
                    <w:r>
                      <w:rPr>
                        <w:rFonts w:hint="eastAsia"/>
                        <w:sz w:val="20"/>
                        <w:szCs w:val="20"/>
                      </w:rPr>
                      <w:fldChar w:fldCharType="separate"/>
                    </w:r>
                    <w:r>
                      <w:rPr>
                        <w:rFonts w:hint="eastAsia"/>
                        <w:sz w:val="20"/>
                        <w:szCs w:val="20"/>
                      </w:rPr>
                      <w:t>1</w:t>
                    </w:r>
                    <w:r>
                      <w:rPr>
                        <w:rFonts w:hint="eastAsia"/>
                        <w:sz w:val="20"/>
                        <w:szCs w:val="20"/>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93A2B1A"/>
    <w:multiLevelType w:val="singleLevel"/>
    <w:tmpl w:val="C93A2B1A"/>
    <w:lvl w:ilvl="0" w:tentative="0">
      <w:start w:val="1"/>
      <w:numFmt w:val="decimal"/>
      <w:suff w:val="space"/>
      <w:lvlText w:val="%1."/>
      <w:lvlJc w:val="left"/>
    </w:lvl>
  </w:abstractNum>
  <w:abstractNum w:abstractNumId="1">
    <w:nsid w:val="D72401EF"/>
    <w:multiLevelType w:val="singleLevel"/>
    <w:tmpl w:val="D72401EF"/>
    <w:lvl w:ilvl="0" w:tentative="0">
      <w:start w:val="16"/>
      <w:numFmt w:val="upperLetter"/>
      <w:suff w:val="space"/>
      <w:lvlText w:val="%1."/>
      <w:lvlJc w:val="left"/>
    </w:lvl>
  </w:abstractNum>
  <w:abstractNum w:abstractNumId="2">
    <w:nsid w:val="2F443744"/>
    <w:multiLevelType w:val="singleLevel"/>
    <w:tmpl w:val="2F443744"/>
    <w:lvl w:ilvl="0" w:tentative="0">
      <w:start w:val="1"/>
      <w:numFmt w:val="decimal"/>
      <w:suff w:val="space"/>
      <w:lvlText w:val="%1."/>
      <w:lvlJc w:val="left"/>
    </w:lvl>
  </w:abstractNum>
  <w:abstractNum w:abstractNumId="3">
    <w:nsid w:val="6DB4C2B2"/>
    <w:multiLevelType w:val="singleLevel"/>
    <w:tmpl w:val="6DB4C2B2"/>
    <w:lvl w:ilvl="0" w:tentative="0">
      <w:start w:val="30"/>
      <w:numFmt w:val="decimal"/>
      <w:suff w:val="space"/>
      <w:lvlText w:val="%1-"/>
      <w:lvlJc w:val="left"/>
    </w:lvl>
  </w:abstractNum>
  <w:abstractNum w:abstractNumId="4">
    <w:nsid w:val="6F51C2C8"/>
    <w:multiLevelType w:val="multilevel"/>
    <w:tmpl w:val="6F51C2C8"/>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19339F"/>
    <w:rsid w:val="002D0697"/>
    <w:rsid w:val="0038023C"/>
    <w:rsid w:val="004A1A84"/>
    <w:rsid w:val="005970C5"/>
    <w:rsid w:val="00653F0D"/>
    <w:rsid w:val="006729D8"/>
    <w:rsid w:val="007343B7"/>
    <w:rsid w:val="007A2484"/>
    <w:rsid w:val="00815182"/>
    <w:rsid w:val="00843883"/>
    <w:rsid w:val="00853E50"/>
    <w:rsid w:val="00881714"/>
    <w:rsid w:val="00993B9A"/>
    <w:rsid w:val="009B635D"/>
    <w:rsid w:val="00BA5091"/>
    <w:rsid w:val="00BE08EB"/>
    <w:rsid w:val="00C4723C"/>
    <w:rsid w:val="00C4745E"/>
    <w:rsid w:val="00C82186"/>
    <w:rsid w:val="00CD5B7B"/>
    <w:rsid w:val="00D014EE"/>
    <w:rsid w:val="00E310F2"/>
    <w:rsid w:val="00E379E5"/>
    <w:rsid w:val="00F56BC7"/>
    <w:rsid w:val="0134038A"/>
    <w:rsid w:val="01692D57"/>
    <w:rsid w:val="02CE05C2"/>
    <w:rsid w:val="031D159D"/>
    <w:rsid w:val="0361109A"/>
    <w:rsid w:val="048749CA"/>
    <w:rsid w:val="04EC73F7"/>
    <w:rsid w:val="083770CB"/>
    <w:rsid w:val="08AC528E"/>
    <w:rsid w:val="08C57664"/>
    <w:rsid w:val="0B9D0051"/>
    <w:rsid w:val="0CC228C0"/>
    <w:rsid w:val="0D4F12D9"/>
    <w:rsid w:val="0DF1602D"/>
    <w:rsid w:val="0E3E7796"/>
    <w:rsid w:val="0E6B796D"/>
    <w:rsid w:val="0FFF21D3"/>
    <w:rsid w:val="10E95EDB"/>
    <w:rsid w:val="11BE29E3"/>
    <w:rsid w:val="13924407"/>
    <w:rsid w:val="146A27AE"/>
    <w:rsid w:val="14F4500D"/>
    <w:rsid w:val="163719D4"/>
    <w:rsid w:val="1660658D"/>
    <w:rsid w:val="17421509"/>
    <w:rsid w:val="17D764C6"/>
    <w:rsid w:val="180A2860"/>
    <w:rsid w:val="184D4AAA"/>
    <w:rsid w:val="18CD39E5"/>
    <w:rsid w:val="18E15B2E"/>
    <w:rsid w:val="195D1E60"/>
    <w:rsid w:val="1A123EAB"/>
    <w:rsid w:val="1BB21778"/>
    <w:rsid w:val="1BDD3FE4"/>
    <w:rsid w:val="1C790575"/>
    <w:rsid w:val="1C8A59B8"/>
    <w:rsid w:val="1E6D1A3E"/>
    <w:rsid w:val="1F1543BC"/>
    <w:rsid w:val="20A92463"/>
    <w:rsid w:val="21D95B9E"/>
    <w:rsid w:val="22290991"/>
    <w:rsid w:val="222A1A9D"/>
    <w:rsid w:val="223611F6"/>
    <w:rsid w:val="232C1B3C"/>
    <w:rsid w:val="23330391"/>
    <w:rsid w:val="23A23438"/>
    <w:rsid w:val="2454599F"/>
    <w:rsid w:val="251B0014"/>
    <w:rsid w:val="25242E86"/>
    <w:rsid w:val="26323920"/>
    <w:rsid w:val="26635AFC"/>
    <w:rsid w:val="27F84E67"/>
    <w:rsid w:val="28344C01"/>
    <w:rsid w:val="28AA4BF4"/>
    <w:rsid w:val="28DE2812"/>
    <w:rsid w:val="295463B9"/>
    <w:rsid w:val="296E0594"/>
    <w:rsid w:val="29B96C85"/>
    <w:rsid w:val="2B875578"/>
    <w:rsid w:val="2BF6077D"/>
    <w:rsid w:val="2D97782E"/>
    <w:rsid w:val="2DF47F80"/>
    <w:rsid w:val="2E2F7291"/>
    <w:rsid w:val="2EAE5954"/>
    <w:rsid w:val="2F60446F"/>
    <w:rsid w:val="2F936581"/>
    <w:rsid w:val="30B70A68"/>
    <w:rsid w:val="30F93D76"/>
    <w:rsid w:val="31137BF9"/>
    <w:rsid w:val="31630970"/>
    <w:rsid w:val="328102BE"/>
    <w:rsid w:val="32EC5053"/>
    <w:rsid w:val="333C1B5E"/>
    <w:rsid w:val="33B80DEE"/>
    <w:rsid w:val="34EC7C6D"/>
    <w:rsid w:val="377F7D00"/>
    <w:rsid w:val="387C5747"/>
    <w:rsid w:val="39DF3CEC"/>
    <w:rsid w:val="3B6F0A6D"/>
    <w:rsid w:val="3BE5658E"/>
    <w:rsid w:val="3CE92C0F"/>
    <w:rsid w:val="3D2B1843"/>
    <w:rsid w:val="3D6666DD"/>
    <w:rsid w:val="40014D27"/>
    <w:rsid w:val="40E45EC2"/>
    <w:rsid w:val="40F82907"/>
    <w:rsid w:val="426910C6"/>
    <w:rsid w:val="438E4536"/>
    <w:rsid w:val="440F724E"/>
    <w:rsid w:val="44BA23C2"/>
    <w:rsid w:val="454D3A97"/>
    <w:rsid w:val="456D319F"/>
    <w:rsid w:val="45BC4445"/>
    <w:rsid w:val="473B45AC"/>
    <w:rsid w:val="47521CB4"/>
    <w:rsid w:val="47614CD0"/>
    <w:rsid w:val="48087776"/>
    <w:rsid w:val="4A9A31A1"/>
    <w:rsid w:val="4AC11680"/>
    <w:rsid w:val="4BD42203"/>
    <w:rsid w:val="4CA66DD1"/>
    <w:rsid w:val="4D254425"/>
    <w:rsid w:val="4EAE1176"/>
    <w:rsid w:val="4F5F3A37"/>
    <w:rsid w:val="4FD367D3"/>
    <w:rsid w:val="50CC695F"/>
    <w:rsid w:val="50E44E35"/>
    <w:rsid w:val="51060ED2"/>
    <w:rsid w:val="51503A5E"/>
    <w:rsid w:val="51861F6B"/>
    <w:rsid w:val="51A9354E"/>
    <w:rsid w:val="51CB6200"/>
    <w:rsid w:val="51D00FD1"/>
    <w:rsid w:val="527E7E4F"/>
    <w:rsid w:val="5302235A"/>
    <w:rsid w:val="532C1559"/>
    <w:rsid w:val="53D2170E"/>
    <w:rsid w:val="55870898"/>
    <w:rsid w:val="55ED09EC"/>
    <w:rsid w:val="56F7724B"/>
    <w:rsid w:val="588071EA"/>
    <w:rsid w:val="58D728DD"/>
    <w:rsid w:val="58DB3228"/>
    <w:rsid w:val="594E60BE"/>
    <w:rsid w:val="5A320716"/>
    <w:rsid w:val="5AA64D66"/>
    <w:rsid w:val="5ABC2FF2"/>
    <w:rsid w:val="5AF82836"/>
    <w:rsid w:val="5BDF6516"/>
    <w:rsid w:val="5CEC7C35"/>
    <w:rsid w:val="5DFB5450"/>
    <w:rsid w:val="5F5056F0"/>
    <w:rsid w:val="5FAD4E7F"/>
    <w:rsid w:val="602E27D4"/>
    <w:rsid w:val="60F009E5"/>
    <w:rsid w:val="60F21649"/>
    <w:rsid w:val="615E64C2"/>
    <w:rsid w:val="61B060DC"/>
    <w:rsid w:val="61BC4605"/>
    <w:rsid w:val="64636CA9"/>
    <w:rsid w:val="647A5429"/>
    <w:rsid w:val="651B27C8"/>
    <w:rsid w:val="66A547DF"/>
    <w:rsid w:val="67137272"/>
    <w:rsid w:val="6718699D"/>
    <w:rsid w:val="67EF490A"/>
    <w:rsid w:val="68525756"/>
    <w:rsid w:val="68564E1C"/>
    <w:rsid w:val="695D6FAC"/>
    <w:rsid w:val="6AC023BA"/>
    <w:rsid w:val="6CB754BB"/>
    <w:rsid w:val="6CF120C1"/>
    <w:rsid w:val="6D535020"/>
    <w:rsid w:val="6ED10092"/>
    <w:rsid w:val="708231C8"/>
    <w:rsid w:val="71E2535E"/>
    <w:rsid w:val="720A21FA"/>
    <w:rsid w:val="72146230"/>
    <w:rsid w:val="7260392F"/>
    <w:rsid w:val="73043321"/>
    <w:rsid w:val="74500B48"/>
    <w:rsid w:val="752A33C9"/>
    <w:rsid w:val="75BD7AED"/>
    <w:rsid w:val="798A637C"/>
    <w:rsid w:val="7A611DAA"/>
    <w:rsid w:val="7ABF0A67"/>
    <w:rsid w:val="7ACC0014"/>
    <w:rsid w:val="7AD14A7F"/>
    <w:rsid w:val="7B125B45"/>
    <w:rsid w:val="7B19339F"/>
    <w:rsid w:val="7B5E36A5"/>
    <w:rsid w:val="7CF55B80"/>
    <w:rsid w:val="7E4E2178"/>
    <w:rsid w:val="7F1B08B4"/>
    <w:rsid w:val="7F1F7CEC"/>
    <w:rsid w:val="7FE867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line="360" w:lineRule="auto"/>
      <w:jc w:val="both"/>
    </w:pPr>
    <w:rPr>
      <w:rFonts w:ascii="Times New Roman" w:hAnsi="Times New Roman" w:eastAsiaTheme="minorEastAsia" w:cstheme="minorBidi"/>
      <w:kern w:val="2"/>
      <w:sz w:val="24"/>
      <w:szCs w:val="24"/>
      <w:lang w:val="en-US" w:eastAsia="zh-CN" w:bidi="ar-SA"/>
    </w:rPr>
  </w:style>
  <w:style w:type="paragraph" w:styleId="2">
    <w:name w:val="heading 1"/>
    <w:basedOn w:val="1"/>
    <w:next w:val="1"/>
    <w:link w:val="18"/>
    <w:qFormat/>
    <w:uiPriority w:val="0"/>
    <w:pPr>
      <w:keepNext/>
      <w:keepLines/>
      <w:spacing w:before="150" w:beforeLines="150" w:after="90" w:line="576" w:lineRule="auto"/>
      <w:outlineLvl w:val="0"/>
    </w:pPr>
    <w:rPr>
      <w:b/>
      <w:kern w:val="44"/>
      <w:sz w:val="28"/>
    </w:rPr>
  </w:style>
  <w:style w:type="paragraph" w:styleId="3">
    <w:name w:val="heading 2"/>
    <w:basedOn w:val="1"/>
    <w:next w:val="1"/>
    <w:unhideWhenUsed/>
    <w:qFormat/>
    <w:uiPriority w:val="0"/>
    <w:pPr>
      <w:keepNext/>
      <w:keepLines/>
      <w:spacing w:before="260" w:after="260" w:line="413" w:lineRule="auto"/>
      <w:outlineLvl w:val="1"/>
    </w:pPr>
    <w:rPr>
      <w:rFonts w:eastAsia="黑体"/>
      <w:b/>
    </w:rPr>
  </w:style>
  <w:style w:type="paragraph" w:styleId="4">
    <w:name w:val="heading 3"/>
    <w:basedOn w:val="1"/>
    <w:next w:val="1"/>
    <w:link w:val="19"/>
    <w:unhideWhenUsed/>
    <w:qFormat/>
    <w:uiPriority w:val="0"/>
    <w:pPr>
      <w:keepNext/>
      <w:keepLines/>
      <w:spacing w:before="260" w:after="260"/>
      <w:outlineLvl w:val="2"/>
    </w:pPr>
    <w:rPr>
      <w:b/>
    </w:rPr>
  </w:style>
  <w:style w:type="character" w:default="1" w:styleId="10">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5">
    <w:name w:val="Body Text"/>
    <w:basedOn w:val="1"/>
    <w:qFormat/>
    <w:uiPriority w:val="1"/>
    <w:rPr>
      <w:rFonts w:ascii="Verdana" w:hAnsi="Verdana" w:eastAsia="Verdana" w:cs="Verdana"/>
      <w:sz w:val="18"/>
      <w:szCs w:val="18"/>
      <w:lang w:eastAsia="en-US" w:bidi="en-US"/>
    </w:rPr>
  </w:style>
  <w:style w:type="paragraph" w:styleId="6">
    <w:name w:val="footer"/>
    <w:basedOn w:val="1"/>
    <w:unhideWhenUsed/>
    <w:qFormat/>
    <w:uiPriority w:val="99"/>
    <w:pPr>
      <w:tabs>
        <w:tab w:val="center" w:pos="4680"/>
        <w:tab w:val="right" w:pos="9360"/>
      </w:tabs>
    </w:p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rPr>
  </w:style>
  <w:style w:type="paragraph" w:styleId="9">
    <w:name w:val="Normal (Web)"/>
    <w:basedOn w:val="1"/>
    <w:qFormat/>
    <w:uiPriority w:val="0"/>
    <w:pPr>
      <w:spacing w:beforeAutospacing="1" w:afterAutospacing="1"/>
      <w:jc w:val="left"/>
    </w:pPr>
    <w:rPr>
      <w:rFonts w:cs="Times New Roman"/>
      <w:kern w:val="0"/>
    </w:rPr>
  </w:style>
  <w:style w:type="character" w:styleId="11">
    <w:name w:val="Strong"/>
    <w:basedOn w:val="10"/>
    <w:qFormat/>
    <w:uiPriority w:val="0"/>
    <w:rPr>
      <w:b/>
    </w:rPr>
  </w:style>
  <w:style w:type="character" w:styleId="12">
    <w:name w:val="Emphasis"/>
    <w:basedOn w:val="10"/>
    <w:qFormat/>
    <w:uiPriority w:val="0"/>
    <w:rPr>
      <w:i/>
    </w:rPr>
  </w:style>
  <w:style w:type="character" w:styleId="13">
    <w:name w:val="Hyperlink"/>
    <w:basedOn w:val="10"/>
    <w:qFormat/>
    <w:uiPriority w:val="0"/>
    <w:rPr>
      <w:color w:val="0000FF"/>
      <w:u w:val="single"/>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6">
    <w:name w:val="WPSOffice手动目录 1"/>
    <w:qFormat/>
    <w:uiPriority w:val="0"/>
    <w:rPr>
      <w:rFonts w:asciiTheme="minorHAnsi" w:hAnsiTheme="minorHAnsi" w:eastAsiaTheme="minorHAnsi" w:cstheme="minorBidi"/>
      <w:lang w:val="en-US" w:eastAsia="zh-CN" w:bidi="ar-SA"/>
    </w:rPr>
  </w:style>
  <w:style w:type="paragraph" w:customStyle="1" w:styleId="17">
    <w:name w:val="WPSOffice手动目录 2"/>
    <w:qFormat/>
    <w:uiPriority w:val="0"/>
    <w:pPr>
      <w:ind w:left="200" w:leftChars="200"/>
    </w:pPr>
    <w:rPr>
      <w:rFonts w:ascii="Times New Roman" w:hAnsi="Times New Roman" w:eastAsiaTheme="minorEastAsia" w:cstheme="minorBidi"/>
      <w:lang w:val="en-US" w:eastAsia="zh-CN" w:bidi="ar-SA"/>
    </w:rPr>
  </w:style>
  <w:style w:type="character" w:customStyle="1" w:styleId="18">
    <w:name w:val="标题 1 字符"/>
    <w:link w:val="2"/>
    <w:qFormat/>
    <w:uiPriority w:val="0"/>
    <w:rPr>
      <w:rFonts w:ascii="Times New Roman" w:hAnsi="Times New Roman"/>
      <w:b/>
      <w:kern w:val="44"/>
      <w:sz w:val="28"/>
    </w:rPr>
  </w:style>
  <w:style w:type="character" w:customStyle="1" w:styleId="19">
    <w:name w:val="标题 3 字符"/>
    <w:link w:val="4"/>
    <w:qFormat/>
    <w:uiPriority w:val="0"/>
    <w:rPr>
      <w:rFonts w:ascii="Times New Roman" w:hAnsi="Times New Roman"/>
      <w:b/>
      <w:sz w:val="24"/>
    </w:rPr>
  </w:style>
  <w:style w:type="paragraph" w:customStyle="1" w:styleId="20">
    <w:name w:val="Table Paragraph"/>
    <w:basedOn w:val="1"/>
    <w:qFormat/>
    <w:uiPriority w:val="1"/>
    <w:rPr>
      <w:rFonts w:eastAsia="Times New Roman" w:cs="Times New Roman"/>
      <w:lang w:eastAsia="en-US" w:bidi="en-US"/>
    </w:rPr>
  </w:style>
  <w:style w:type="paragraph" w:customStyle="1" w:styleId="21">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glossaryDocument" Target="glossary/document.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opherRuan\AppData\Roaming\Kingsoft\wps\addons\pool\win-i386\knewfileruby_1.0.0.10\template\wps\0.doc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6716977-0dd3-44b8-b699-ff1788c887e2}"/>
        <w:style w:val=""/>
        <w:category>
          <w:name w:val="常规"/>
          <w:gallery w:val="placeholder"/>
        </w:category>
        <w:types>
          <w:type w:val="bbPlcHdr"/>
        </w:types>
        <w:behaviors>
          <w:behavior w:val="content"/>
        </w:behaviors>
        <w:description w:val=""/>
        <w:guid w:val="{D6716977-0DD3-44B8-B699-FF1788C887E2}"/>
      </w:docPartPr>
      <w:docPartBody>
        <w:p>
          <w:r>
            <w:rPr>
              <w:color w:val="808080"/>
            </w:rPr>
            <w:t>单击此处输入文字。</w:t>
          </w:r>
        </w:p>
      </w:docPartBody>
    </w:docPart>
    <w:docPart>
      <w:docPartPr>
        <w:name w:val="{74d1a958-9385-4060-a64f-08da08e61521}"/>
        <w:style w:val=""/>
        <w:category>
          <w:name w:val="常规"/>
          <w:gallery w:val="placeholder"/>
        </w:category>
        <w:types>
          <w:type w:val="bbPlcHdr"/>
        </w:types>
        <w:behaviors>
          <w:behavior w:val="content"/>
        </w:behaviors>
        <w:description w:val=""/>
        <w:guid w:val="{74D1A958-9385-4060-A64F-08DA08E61521}"/>
      </w:docPartPr>
      <w:docPartBody>
        <w:p>
          <w:r>
            <w:rPr>
              <w:color w:val="808080"/>
            </w:rPr>
            <w:t>单击此处输入文字。</w:t>
          </w:r>
        </w:p>
      </w:docPartBody>
    </w:docPart>
    <w:docPart>
      <w:docPartPr>
        <w:name w:val="{060524ad-a4f3-499f-91a4-f035674b64a8}"/>
        <w:style w:val=""/>
        <w:category>
          <w:name w:val="常规"/>
          <w:gallery w:val="placeholder"/>
        </w:category>
        <w:types>
          <w:type w:val="bbPlcHdr"/>
        </w:types>
        <w:behaviors>
          <w:behavior w:val="content"/>
        </w:behaviors>
        <w:description w:val=""/>
        <w:guid w:val="{060524AD-A4F3-499F-91A4-F035674B64A8}"/>
      </w:docPartPr>
      <w:docPartBody>
        <w:p>
          <w:r>
            <w:rPr>
              <w:color w:val="808080"/>
            </w:rPr>
            <w:t>单击此处输入文字。</w:t>
          </w:r>
        </w:p>
      </w:docPartBody>
    </w:docPart>
    <w:docPart>
      <w:docPartPr>
        <w:name w:val="{d72c6089-12af-41df-9b6d-866a8e048a22}"/>
        <w:style w:val=""/>
        <w:category>
          <w:name w:val="常规"/>
          <w:gallery w:val="placeholder"/>
        </w:category>
        <w:types>
          <w:type w:val="bbPlcHdr"/>
        </w:types>
        <w:behaviors>
          <w:behavior w:val="content"/>
        </w:behaviors>
        <w:description w:val=""/>
        <w:guid w:val="{D72C6089-12AF-41DF-9B6D-866A8E048A22}"/>
      </w:docPartPr>
      <w:docPartBody>
        <w:p>
          <w:r>
            <w:rPr>
              <w:color w:val="808080"/>
            </w:rPr>
            <w:t>单击此处输入文字。</w:t>
          </w:r>
        </w:p>
      </w:docPartBody>
    </w:docPart>
    <w:docPart>
      <w:docPartPr>
        <w:name w:val="{84258255-438f-410c-b351-df090af06107}"/>
        <w:style w:val=""/>
        <w:category>
          <w:name w:val="常规"/>
          <w:gallery w:val="placeholder"/>
        </w:category>
        <w:types>
          <w:type w:val="bbPlcHdr"/>
        </w:types>
        <w:behaviors>
          <w:behavior w:val="content"/>
        </w:behaviors>
        <w:description w:val=""/>
        <w:guid w:val="{84258255-438F-410C-B351-DF090AF06107}"/>
      </w:docPartPr>
      <w:docPartBody>
        <w:p>
          <w:r>
            <w:rPr>
              <w:color w:val="808080"/>
            </w:rPr>
            <w:t>单击此处输入文字。</w:t>
          </w:r>
        </w:p>
      </w:docPartBody>
    </w:docPart>
    <w:docPart>
      <w:docPartPr>
        <w:name w:val="{b30b4a78-31d3-427f-96e3-60e458097a07}"/>
        <w:style w:val=""/>
        <w:category>
          <w:name w:val="常规"/>
          <w:gallery w:val="placeholder"/>
        </w:category>
        <w:types>
          <w:type w:val="bbPlcHdr"/>
        </w:types>
        <w:behaviors>
          <w:behavior w:val="content"/>
        </w:behaviors>
        <w:description w:val=""/>
        <w:guid w:val="{B30B4A78-31D3-427F-96E3-60E458097A07}"/>
      </w:docPartPr>
      <w:docPartBody>
        <w:p>
          <w:r>
            <w:rPr>
              <w:color w:val="808080"/>
            </w:rPr>
            <w:t>单击此处输入文字。</w:t>
          </w:r>
        </w:p>
      </w:docPartBody>
    </w:docPart>
    <w:docPart>
      <w:docPartPr>
        <w:name w:val="{67fea051-ef94-4916-8961-da34b3790059}"/>
        <w:style w:val=""/>
        <w:category>
          <w:name w:val="常规"/>
          <w:gallery w:val="placeholder"/>
        </w:category>
        <w:types>
          <w:type w:val="bbPlcHdr"/>
        </w:types>
        <w:behaviors>
          <w:behavior w:val="content"/>
        </w:behaviors>
        <w:description w:val=""/>
        <w:guid w:val="{67FEA051-EF94-4916-8961-DA34B3790059}"/>
      </w:docPartPr>
      <w:docPartBody>
        <w:p>
          <w:r>
            <w:rPr>
              <w:color w:val="808080"/>
            </w:rPr>
            <w:t>单击此处输入文字。</w:t>
          </w:r>
        </w:p>
      </w:docPartBody>
    </w:docPart>
    <w:docPart>
      <w:docPartPr>
        <w:name w:val="{e6714616-1e75-423e-8c39-15a7d50b4836}"/>
        <w:style w:val=""/>
        <w:category>
          <w:name w:val="常规"/>
          <w:gallery w:val="placeholder"/>
        </w:category>
        <w:types>
          <w:type w:val="bbPlcHdr"/>
        </w:types>
        <w:behaviors>
          <w:behavior w:val="content"/>
        </w:behaviors>
        <w:description w:val=""/>
        <w:guid w:val="{E6714616-1E75-423E-8C39-15A7D50B4836}"/>
      </w:docPartPr>
      <w:docPartBody>
        <w:p>
          <w:r>
            <w:rPr>
              <w:color w:val="808080"/>
            </w:rPr>
            <w:t>单击此处输入文字。</w:t>
          </w:r>
        </w:p>
      </w:docPartBody>
    </w:docPart>
    <w:docPart>
      <w:docPartPr>
        <w:name w:val="{45962ddf-f4b2-4b78-9132-9d0e8755c47b}"/>
        <w:style w:val=""/>
        <w:category>
          <w:name w:val="常规"/>
          <w:gallery w:val="placeholder"/>
        </w:category>
        <w:types>
          <w:type w:val="bbPlcHdr"/>
        </w:types>
        <w:behaviors>
          <w:behavior w:val="content"/>
        </w:behaviors>
        <w:description w:val=""/>
        <w:guid w:val="{45962DDF-F4B2-4B78-9132-9D0E8755C47B}"/>
      </w:docPartPr>
      <w:docPartBody>
        <w:p>
          <w:r>
            <w:rPr>
              <w:color w:val="808080"/>
            </w:rPr>
            <w:t>单击此处输入文字。</w:t>
          </w:r>
        </w:p>
      </w:docPartBody>
    </w:docPart>
    <w:docPart>
      <w:docPartPr>
        <w:name w:val="{180a1fc9-6036-4666-8831-50cc7a0414d1}"/>
        <w:style w:val=""/>
        <w:category>
          <w:name w:val="常规"/>
          <w:gallery w:val="placeholder"/>
        </w:category>
        <w:types>
          <w:type w:val="bbPlcHdr"/>
        </w:types>
        <w:behaviors>
          <w:behavior w:val="content"/>
        </w:behaviors>
        <w:description w:val=""/>
        <w:guid w:val="{180A1FC9-6036-4666-8831-50CC7A0414D1}"/>
      </w:docPartPr>
      <w:docPartBody>
        <w:p>
          <w:r>
            <w:rPr>
              <w:color w:val="808080"/>
            </w:rPr>
            <w:t>单击此处输入文字。</w:t>
          </w:r>
        </w:p>
      </w:docPartBody>
    </w:docPart>
    <w:docPart>
      <w:docPartPr>
        <w:name w:val="{3e160f87-2271-4b96-b25b-4dfa3c460741}"/>
        <w:style w:val=""/>
        <w:category>
          <w:name w:val="常规"/>
          <w:gallery w:val="placeholder"/>
        </w:category>
        <w:types>
          <w:type w:val="bbPlcHdr"/>
        </w:types>
        <w:behaviors>
          <w:behavior w:val="content"/>
        </w:behaviors>
        <w:description w:val=""/>
        <w:guid w:val="{3E160F87-2271-4B96-B25B-4DFA3C460741}"/>
      </w:docPartPr>
      <w:docPartBody>
        <w:p>
          <w:r>
            <w:rPr>
              <w:color w:val="808080"/>
            </w:rPr>
            <w:t>单击此处输入文字。</w:t>
          </w:r>
        </w:p>
      </w:docPartBody>
    </w:docPart>
    <w:docPart>
      <w:docPartPr>
        <w:name w:val="{ae4a7b82-1fe1-4384-9ae7-065e8446bf1d}"/>
        <w:style w:val=""/>
        <w:category>
          <w:name w:val="常规"/>
          <w:gallery w:val="placeholder"/>
        </w:category>
        <w:types>
          <w:type w:val="bbPlcHdr"/>
        </w:types>
        <w:behaviors>
          <w:behavior w:val="content"/>
        </w:behaviors>
        <w:description w:val=""/>
        <w:guid w:val="{AE4A7B82-1FE1-4384-9AE7-065E8446BF1D}"/>
      </w:docPartPr>
      <w:docPartBody>
        <w:p>
          <w:r>
            <w:rPr>
              <w:color w:val="808080"/>
            </w:rPr>
            <w:t>单击此处输入文字。</w:t>
          </w:r>
        </w:p>
      </w:docPartBody>
    </w:docPart>
    <w:docPart>
      <w:docPartPr>
        <w:name w:val="{8cbce27a-7c0f-48ee-8461-bed019f6bd3d}"/>
        <w:style w:val=""/>
        <w:category>
          <w:name w:val="常规"/>
          <w:gallery w:val="placeholder"/>
        </w:category>
        <w:types>
          <w:type w:val="bbPlcHdr"/>
        </w:types>
        <w:behaviors>
          <w:behavior w:val="content"/>
        </w:behaviors>
        <w:description w:val=""/>
        <w:guid w:val="{8CBCE27A-7C0F-48EE-8461-BED019F6BD3D}"/>
      </w:docPartPr>
      <w:docPartBody>
        <w:p>
          <w:r>
            <w:rPr>
              <w:color w:val="808080"/>
            </w:rPr>
            <w:t>单击此处输入文字。</w:t>
          </w:r>
        </w:p>
      </w:docPartBody>
    </w:docPart>
    <w:docPart>
      <w:docPartPr>
        <w:name w:val="{4ab4b21e-a555-4086-bf01-0e8fcae18d77}"/>
        <w:style w:val=""/>
        <w:category>
          <w:name w:val="常规"/>
          <w:gallery w:val="placeholder"/>
        </w:category>
        <w:types>
          <w:type w:val="bbPlcHdr"/>
        </w:types>
        <w:behaviors>
          <w:behavior w:val="content"/>
        </w:behaviors>
        <w:description w:val=""/>
        <w:guid w:val="{4AB4B21E-A555-4086-BF01-0E8FCAE18D77}"/>
      </w:docPartPr>
      <w:docPartBody>
        <w:p>
          <w:r>
            <w:rPr>
              <w:color w:val="808080"/>
            </w:rPr>
            <w:t>单击此处输入文字。</w:t>
          </w:r>
        </w:p>
      </w:docPartBody>
    </w:docPart>
    <w:docPart>
      <w:docPartPr>
        <w:name w:val="{3e685b4d-028a-4e47-9b7d-6de49f9b812c}"/>
        <w:style w:val=""/>
        <w:category>
          <w:name w:val="常规"/>
          <w:gallery w:val="placeholder"/>
        </w:category>
        <w:types>
          <w:type w:val="bbPlcHdr"/>
        </w:types>
        <w:behaviors>
          <w:behavior w:val="content"/>
        </w:behaviors>
        <w:description w:val=""/>
        <w:guid w:val="{3E685B4D-028A-4E47-9B7D-6DE49F9B812C}"/>
      </w:docPartPr>
      <w:docPartBody>
        <w:p>
          <w:r>
            <w:rPr>
              <w:color w:val="808080"/>
            </w:rPr>
            <w:t>单击此处输入文字。</w:t>
          </w:r>
        </w:p>
      </w:docPartBody>
    </w:docPart>
    <w:docPart>
      <w:docPartPr>
        <w:name w:val="{674c9354-9029-4d93-9ade-e8bec157e827}"/>
        <w:style w:val=""/>
        <w:category>
          <w:name w:val="常规"/>
          <w:gallery w:val="placeholder"/>
        </w:category>
        <w:types>
          <w:type w:val="bbPlcHdr"/>
        </w:types>
        <w:behaviors>
          <w:behavior w:val="content"/>
        </w:behaviors>
        <w:description w:val=""/>
        <w:guid w:val="{674C9354-9029-4D93-9ADE-E8BEC157E827}"/>
      </w:docPartPr>
      <w:docPartBody>
        <w:p>
          <w:r>
            <w:rPr>
              <w:color w:val="808080"/>
            </w:rPr>
            <w:t>单击此处输入文字。</w:t>
          </w:r>
        </w:p>
      </w:docPartBody>
    </w:docPart>
    <w:docPart>
      <w:docPartPr>
        <w:name w:val="{9b4429d0-9eda-4fc5-838e-352a92167e66}"/>
        <w:style w:val=""/>
        <w:category>
          <w:name w:val="常规"/>
          <w:gallery w:val="placeholder"/>
        </w:category>
        <w:types>
          <w:type w:val="bbPlcHdr"/>
        </w:types>
        <w:behaviors>
          <w:behavior w:val="content"/>
        </w:behaviors>
        <w:description w:val=""/>
        <w:guid w:val="{9B4429D0-9EDA-4FC5-838E-352A92167E66}"/>
      </w:docPartPr>
      <w:docPartBody>
        <w:p>
          <w:r>
            <w:rPr>
              <w:color w:val="808080"/>
            </w:rPr>
            <w:t>单击此处输入文字。</w:t>
          </w:r>
        </w:p>
      </w:docPartBody>
    </w:docPart>
    <w:docPart>
      <w:docPartPr>
        <w:name w:val="{4dceb319-43c8-4758-8109-52f825adafd7}"/>
        <w:style w:val=""/>
        <w:category>
          <w:name w:val="常规"/>
          <w:gallery w:val="placeholder"/>
        </w:category>
        <w:types>
          <w:type w:val="bbPlcHdr"/>
        </w:types>
        <w:behaviors>
          <w:behavior w:val="content"/>
        </w:behaviors>
        <w:description w:val=""/>
        <w:guid w:val="{4DCEB319-43C8-4758-8109-52F825ADAFD7}"/>
      </w:docPartPr>
      <w:docPartBody>
        <w:p>
          <w:r>
            <w:rPr>
              <w:color w:val="808080"/>
            </w:rPr>
            <w:t>单击此处输入文字。</w:t>
          </w:r>
        </w:p>
      </w:docPartBody>
    </w:docPart>
    <w:docPart>
      <w:docPartPr>
        <w:name w:val="{90da6191-d942-446a-96db-d420c7e4bee9}"/>
        <w:style w:val=""/>
        <w:category>
          <w:name w:val="常规"/>
          <w:gallery w:val="placeholder"/>
        </w:category>
        <w:types>
          <w:type w:val="bbPlcHdr"/>
        </w:types>
        <w:behaviors>
          <w:behavior w:val="content"/>
        </w:behaviors>
        <w:description w:val=""/>
        <w:guid w:val="{90DA6191-D942-446A-96DB-D420C7E4BEE9}"/>
      </w:docPartPr>
      <w:docPartBody>
        <w:p>
          <w:r>
            <w:rPr>
              <w:color w:val="808080"/>
            </w:rPr>
            <w:t>单击此处输入文字。</w:t>
          </w:r>
        </w:p>
      </w:docPartBody>
    </w:docPart>
    <w:docPart>
      <w:docPartPr>
        <w:name w:val="{c9e92d71-ad68-4b96-8161-48fbf19062a2}"/>
        <w:style w:val=""/>
        <w:category>
          <w:name w:val="常规"/>
          <w:gallery w:val="placeholder"/>
        </w:category>
        <w:types>
          <w:type w:val="bbPlcHdr"/>
        </w:types>
        <w:behaviors>
          <w:behavior w:val="content"/>
        </w:behaviors>
        <w:description w:val=""/>
        <w:guid w:val="{C9E92D71-AD68-4B96-8161-48FBF19062A2}"/>
      </w:docPartPr>
      <w:docPartBody>
        <w:p>
          <w:r>
            <w:rPr>
              <w:color w:val="808080"/>
            </w:rPr>
            <w:t>单击此处输入文字。</w:t>
          </w:r>
        </w:p>
      </w:docPartBody>
    </w:docPart>
    <w:docPart>
      <w:docPartPr>
        <w:name w:val="{a53d3b6e-d61c-4e68-b98a-fee811d7a73a}"/>
        <w:style w:val=""/>
        <w:category>
          <w:name w:val="常规"/>
          <w:gallery w:val="placeholder"/>
        </w:category>
        <w:types>
          <w:type w:val="bbPlcHdr"/>
        </w:types>
        <w:behaviors>
          <w:behavior w:val="content"/>
        </w:behaviors>
        <w:description w:val=""/>
        <w:guid w:val="{A53D3B6E-D61C-4E68-B98A-FEE811D7A73A}"/>
      </w:docPartPr>
      <w:docPartBody>
        <w:p>
          <w:r>
            <w:rPr>
              <w:color w:val="808080"/>
            </w:rPr>
            <w:t>单击此处输入文字。</w:t>
          </w:r>
        </w:p>
      </w:docPartBody>
    </w:docPart>
    <w:docPart>
      <w:docPartPr>
        <w:name w:val="{2a0a3b23-04be-428d-88f5-59cda5a1c9d1}"/>
        <w:style w:val=""/>
        <w:category>
          <w:name w:val="常规"/>
          <w:gallery w:val="placeholder"/>
        </w:category>
        <w:types>
          <w:type w:val="bbPlcHdr"/>
        </w:types>
        <w:behaviors>
          <w:behavior w:val="content"/>
        </w:behaviors>
        <w:description w:val=""/>
        <w:guid w:val="{2A0A3B23-04BE-428D-88F5-59CDA5A1C9D1}"/>
      </w:docPartPr>
      <w:docPartBody>
        <w:p>
          <w:r>
            <w:rPr>
              <w:color w:val="808080"/>
            </w:rPr>
            <w:t>单击此处输入文字。</w:t>
          </w:r>
        </w:p>
      </w:docPartBody>
    </w:docPart>
    <w:docPart>
      <w:docPartPr>
        <w:name w:val="{c08b4c6d-e02d-4c51-9bbc-cb358395d8c9}"/>
        <w:style w:val=""/>
        <w:category>
          <w:name w:val="常规"/>
          <w:gallery w:val="placeholder"/>
        </w:category>
        <w:types>
          <w:type w:val="bbPlcHdr"/>
        </w:types>
        <w:behaviors>
          <w:behavior w:val="content"/>
        </w:behaviors>
        <w:description w:val=""/>
        <w:guid w:val="{C08B4C6D-E02D-4C51-9BBC-CB358395D8C9}"/>
      </w:docPartPr>
      <w:docPartBody>
        <w:p>
          <w:r>
            <w:rPr>
              <w:color w:val="808080"/>
            </w:rPr>
            <w:t>单击此处输入文字。</w:t>
          </w:r>
        </w:p>
      </w:docPartBody>
    </w:docPart>
    <w:docPart>
      <w:docPartPr>
        <w:name w:val="{5bcba2df-15cc-4278-ad74-cf440e972007}"/>
        <w:style w:val=""/>
        <w:category>
          <w:name w:val="常规"/>
          <w:gallery w:val="placeholder"/>
        </w:category>
        <w:types>
          <w:type w:val="bbPlcHdr"/>
        </w:types>
        <w:behaviors>
          <w:behavior w:val="content"/>
        </w:behaviors>
        <w:description w:val=""/>
        <w:guid w:val="{5BCBA2DF-15CC-4278-AD74-CF440E972007}"/>
      </w:docPartPr>
      <w:docPartBody>
        <w:p>
          <w:r>
            <w:rPr>
              <w:color w:val="808080"/>
            </w:rPr>
            <w:t>单击此处输入文字。</w:t>
          </w:r>
        </w:p>
      </w:docPartBody>
    </w:docPart>
    <w:docPart>
      <w:docPartPr>
        <w:name w:val="{05ecc9ec-f556-4322-98f8-72d8381499b7}"/>
        <w:style w:val=""/>
        <w:category>
          <w:name w:val="常规"/>
          <w:gallery w:val="placeholder"/>
        </w:category>
        <w:types>
          <w:type w:val="bbPlcHdr"/>
        </w:types>
        <w:behaviors>
          <w:behavior w:val="content"/>
        </w:behaviors>
        <w:description w:val=""/>
        <w:guid w:val="{05ECC9EC-F556-4322-98F8-72D8381499B7}"/>
      </w:docPartPr>
      <w:docPartBody>
        <w:p>
          <w:r>
            <w:rPr>
              <w:color w:val="808080"/>
            </w:rPr>
            <w:t>单击此处输入文字。</w:t>
          </w:r>
        </w:p>
      </w:docPartBody>
    </w:docPart>
    <w:docPart>
      <w:docPartPr>
        <w:name w:val="{464ed469-74c7-4f3c-b9ea-02f5211c292e}"/>
        <w:style w:val=""/>
        <w:category>
          <w:name w:val="常规"/>
          <w:gallery w:val="placeholder"/>
        </w:category>
        <w:types>
          <w:type w:val="bbPlcHdr"/>
        </w:types>
        <w:behaviors>
          <w:behavior w:val="content"/>
        </w:behaviors>
        <w:description w:val=""/>
        <w:guid w:val="{464ED469-74C7-4F3C-B9EA-02F5211C292E}"/>
      </w:docPartPr>
      <w:docPartBody>
        <w:p>
          <w:r>
            <w:rPr>
              <w:color w:val="808080"/>
            </w:rPr>
            <w:t>单击此处输入文字。</w:t>
          </w:r>
        </w:p>
      </w:docPartBody>
    </w:docPart>
    <w:docPart>
      <w:docPartPr>
        <w:name w:val="{7b5d2b3d-a941-44bd-ab09-4bf2f076f0c8}"/>
        <w:style w:val=""/>
        <w:category>
          <w:name w:val="常规"/>
          <w:gallery w:val="placeholder"/>
        </w:category>
        <w:types>
          <w:type w:val="bbPlcHdr"/>
        </w:types>
        <w:behaviors>
          <w:behavior w:val="content"/>
        </w:behaviors>
        <w:description w:val=""/>
        <w:guid w:val="{7B5D2B3D-A941-44BD-AB09-4BF2F076F0C8}"/>
      </w:docPartPr>
      <w:docPartBody>
        <w:p>
          <w:r>
            <w:rPr>
              <w:color w:val="808080"/>
            </w:rPr>
            <w:t>单击此处输入文字。</w:t>
          </w:r>
        </w:p>
      </w:docPartBody>
    </w:docPart>
    <w:docPart>
      <w:docPartPr>
        <w:name w:val="{5e66b254-e00c-438e-8ac5-9eb056fbc0eb}"/>
        <w:style w:val=""/>
        <w:category>
          <w:name w:val="常规"/>
          <w:gallery w:val="placeholder"/>
        </w:category>
        <w:types>
          <w:type w:val="bbPlcHdr"/>
        </w:types>
        <w:behaviors>
          <w:behavior w:val="content"/>
        </w:behaviors>
        <w:description w:val=""/>
        <w:guid w:val="{5E66B254-E00C-438E-8AC5-9EB056FBC0EB}"/>
      </w:docPartPr>
      <w:docPartBody>
        <w:p>
          <w:r>
            <w:rPr>
              <w:color w:val="808080"/>
            </w:rPr>
            <w:t>单击此处输入文字。</w:t>
          </w:r>
        </w:p>
      </w:docPartBody>
    </w:docPart>
    <w:docPart>
      <w:docPartPr>
        <w:name w:val="{609474d8-93d9-4144-9909-8407dbeefb02}"/>
        <w:style w:val=""/>
        <w:category>
          <w:name w:val="常规"/>
          <w:gallery w:val="placeholder"/>
        </w:category>
        <w:types>
          <w:type w:val="bbPlcHdr"/>
        </w:types>
        <w:behaviors>
          <w:behavior w:val="content"/>
        </w:behaviors>
        <w:description w:val=""/>
        <w:guid w:val="{609474D8-93D9-4144-9909-8407DBEEFB02}"/>
      </w:docPartPr>
      <w:docPartBody>
        <w:p>
          <w:r>
            <w:rPr>
              <w:color w:val="808080"/>
            </w:rPr>
            <w:t>单击此处输入文字。</w:t>
          </w:r>
        </w:p>
      </w:docPartBody>
    </w:docPart>
    <w:docPart>
      <w:docPartPr>
        <w:name w:val="{17c55f99-6850-480e-963d-59f4741bf46b}"/>
        <w:style w:val=""/>
        <w:category>
          <w:name w:val="常规"/>
          <w:gallery w:val="placeholder"/>
        </w:category>
        <w:types>
          <w:type w:val="bbPlcHdr"/>
        </w:types>
        <w:behaviors>
          <w:behavior w:val="content"/>
        </w:behaviors>
        <w:description w:val=""/>
        <w:guid w:val="{17C55F99-6850-480E-963D-59F4741BF46B}"/>
      </w:docPartPr>
      <w:docPartBody>
        <w:p>
          <w:r>
            <w:rPr>
              <w:color w:val="808080"/>
            </w:rPr>
            <w:t>单击此处输入文字。</w:t>
          </w:r>
        </w:p>
      </w:docPartBody>
    </w:docPart>
    <w:docPart>
      <w:docPartPr>
        <w:name w:val="{40af6d53-2ec8-4d2c-97c3-eb1314a52957}"/>
        <w:style w:val=""/>
        <w:category>
          <w:name w:val="常规"/>
          <w:gallery w:val="placeholder"/>
        </w:category>
        <w:types>
          <w:type w:val="bbPlcHdr"/>
        </w:types>
        <w:behaviors>
          <w:behavior w:val="content"/>
        </w:behaviors>
        <w:description w:val=""/>
        <w:guid w:val="{40AF6D53-2EC8-4D2C-97C3-EB1314A52957}"/>
      </w:docPartPr>
      <w:docPartBody>
        <w:p>
          <w:r>
            <w:rPr>
              <w:color w:val="808080"/>
            </w:rPr>
            <w:t>单击此处输入文字。</w:t>
          </w:r>
        </w:p>
      </w:docPartBody>
    </w:docPart>
    <w:docPart>
      <w:docPartPr>
        <w:name w:val="{21ac8272-d535-4211-bba3-6917bfdf875d}"/>
        <w:style w:val=""/>
        <w:category>
          <w:name w:val="常规"/>
          <w:gallery w:val="placeholder"/>
        </w:category>
        <w:types>
          <w:type w:val="bbPlcHdr"/>
        </w:types>
        <w:behaviors>
          <w:behavior w:val="content"/>
        </w:behaviors>
        <w:description w:val=""/>
        <w:guid w:val="{21AC8272-D535-4211-BBA3-6917BFDF875D}"/>
      </w:docPartPr>
      <w:docPartBody>
        <w:p>
          <w:r>
            <w:rPr>
              <w:color w:val="808080"/>
            </w:rPr>
            <w:t>单击此处输入文字。</w:t>
          </w:r>
        </w:p>
      </w:docPartBody>
    </w:docPart>
    <w:docPart>
      <w:docPartPr>
        <w:name w:val="{0c3e97f1-d025-4e1e-bf33-a0103f00e3bc}"/>
        <w:style w:val=""/>
        <w:category>
          <w:name w:val="常规"/>
          <w:gallery w:val="placeholder"/>
        </w:category>
        <w:types>
          <w:type w:val="bbPlcHdr"/>
        </w:types>
        <w:behaviors>
          <w:behavior w:val="content"/>
        </w:behaviors>
        <w:description w:val=""/>
        <w:guid w:val="{0C3E97F1-D025-4E1E-BF33-A0103F00E3BC}"/>
      </w:docPartPr>
      <w:docPartBody>
        <w:p>
          <w:r>
            <w:rPr>
              <w:color w:val="808080"/>
            </w:rPr>
            <w:t>单击此处输入文字。</w:t>
          </w:r>
        </w:p>
      </w:docPartBody>
    </w:docPart>
    <w:docPart>
      <w:docPartPr>
        <w:name w:val="{6db8a5c1-69ee-4a70-a8f4-9a622ee22215}"/>
        <w:style w:val=""/>
        <w:category>
          <w:name w:val="常规"/>
          <w:gallery w:val="placeholder"/>
        </w:category>
        <w:types>
          <w:type w:val="bbPlcHdr"/>
        </w:types>
        <w:behaviors>
          <w:behavior w:val="content"/>
        </w:behaviors>
        <w:description w:val=""/>
        <w:guid w:val="{6DB8A5C1-69EE-4A70-A8F4-9A622EE22215}"/>
      </w:docPartPr>
      <w:docPartBody>
        <w:p>
          <w:r>
            <w:rPr>
              <w:color w:val="808080"/>
            </w:rPr>
            <w:t>单击此处输入文字。</w:t>
          </w:r>
        </w:p>
      </w:docPartBody>
    </w:docPart>
    <w:docPart>
      <w:docPartPr>
        <w:name w:val="{74196c22-0317-4538-bc7d-d0b068b3ed21}"/>
        <w:style w:val=""/>
        <w:category>
          <w:name w:val="常规"/>
          <w:gallery w:val="placeholder"/>
        </w:category>
        <w:types>
          <w:type w:val="bbPlcHdr"/>
        </w:types>
        <w:behaviors>
          <w:behavior w:val="content"/>
        </w:behaviors>
        <w:description w:val=""/>
        <w:guid w:val="{74196C22-0317-4538-BC7D-D0B068B3ED21}"/>
      </w:docPartPr>
      <w:docPartBody>
        <w:p>
          <w:r>
            <w:rPr>
              <w:color w:val="808080"/>
            </w:rPr>
            <w:t>单击此处输入文字。</w:t>
          </w:r>
        </w:p>
      </w:docPartBody>
    </w:docPart>
    <w:docPart>
      <w:docPartPr>
        <w:name w:val="{9a4f1ddd-a5a7-49c3-bce0-b40978796a97}"/>
        <w:style w:val=""/>
        <w:category>
          <w:name w:val="常规"/>
          <w:gallery w:val="placeholder"/>
        </w:category>
        <w:types>
          <w:type w:val="bbPlcHdr"/>
        </w:types>
        <w:behaviors>
          <w:behavior w:val="content"/>
        </w:behaviors>
        <w:description w:val=""/>
        <w:guid w:val="{9A4F1DDD-A5A7-49C3-BCE0-B40978796A97}"/>
      </w:docPartPr>
      <w:docPartBody>
        <w:p>
          <w:r>
            <w:rPr>
              <w:color w:val="808080"/>
            </w:rPr>
            <w:t>单击此处输入文字。</w:t>
          </w:r>
        </w:p>
      </w:docPartBody>
    </w:docPart>
    <w:docPart>
      <w:docPartPr>
        <w:name w:val="{a83c0164-35f8-48b1-b4a4-5829948f28cf}"/>
        <w:style w:val=""/>
        <w:category>
          <w:name w:val="常规"/>
          <w:gallery w:val="placeholder"/>
        </w:category>
        <w:types>
          <w:type w:val="bbPlcHdr"/>
        </w:types>
        <w:behaviors>
          <w:behavior w:val="content"/>
        </w:behaviors>
        <w:description w:val=""/>
        <w:guid w:val="{A83C0164-35F8-48B1-B4A4-5829948F28CF}"/>
      </w:docPartPr>
      <w:docPartBody>
        <w:p>
          <w:r>
            <w:rPr>
              <w:color w:val="808080"/>
            </w:rPr>
            <w:t>单击此处输入文字。</w:t>
          </w:r>
        </w:p>
      </w:docPartBody>
    </w:docPart>
    <w:docPart>
      <w:docPartPr>
        <w:name w:val="{fb9b1ae7-4c2a-48fa-bf92-3db9d49aae3b}"/>
        <w:style w:val=""/>
        <w:category>
          <w:name w:val="常规"/>
          <w:gallery w:val="placeholder"/>
        </w:category>
        <w:types>
          <w:type w:val="bbPlcHdr"/>
        </w:types>
        <w:behaviors>
          <w:behavior w:val="content"/>
        </w:behaviors>
        <w:description w:val=""/>
        <w:guid w:val="{FB9B1AE7-4C2A-48FA-BF92-3DB9D49AAE3B}"/>
      </w:docPartPr>
      <w:docPartBody>
        <w:p>
          <w:r>
            <w:rPr>
              <w:color w:val="808080"/>
            </w:rPr>
            <w:t>单击此处输入文字。</w:t>
          </w:r>
        </w:p>
      </w:docPartBody>
    </w:docPart>
    <w:docPart>
      <w:docPartPr>
        <w:name w:val="{dd3bfc19-339f-4cc1-839d-4ca8ae03c6ab}"/>
        <w:style w:val=""/>
        <w:category>
          <w:name w:val="常规"/>
          <w:gallery w:val="placeholder"/>
        </w:category>
        <w:types>
          <w:type w:val="bbPlcHdr"/>
        </w:types>
        <w:behaviors>
          <w:behavior w:val="content"/>
        </w:behaviors>
        <w:description w:val=""/>
        <w:guid w:val="{DD3BFC19-339F-4CC1-839D-4CA8AE03C6AB}"/>
      </w:docPartPr>
      <w:docPartBody>
        <w:p>
          <w:r>
            <w:rPr>
              <w:color w:val="808080"/>
            </w:rPr>
            <w:t>单击此处输入文字。</w:t>
          </w:r>
        </w:p>
      </w:docPartBody>
    </w:docPart>
    <w:docPart>
      <w:docPartPr>
        <w:name w:val="{4c0d730a-c45e-4018-9744-65b340b5fac0}"/>
        <w:style w:val=""/>
        <w:category>
          <w:name w:val="常规"/>
          <w:gallery w:val="placeholder"/>
        </w:category>
        <w:types>
          <w:type w:val="bbPlcHdr"/>
        </w:types>
        <w:behaviors>
          <w:behavior w:val="content"/>
        </w:behaviors>
        <w:description w:val=""/>
        <w:guid w:val="{4C0D730A-C45E-4018-9744-65B340B5FAC0}"/>
      </w:docPartPr>
      <w:docPartBody>
        <w:p>
          <w:r>
            <w:rPr>
              <w:color w:val="808080"/>
            </w:rPr>
            <w:t>单击此处输入文字。</w:t>
          </w:r>
        </w:p>
      </w:docPartBody>
    </w:docPart>
    <w:docPart>
      <w:docPartPr>
        <w:name w:val="{fe544862-b1ee-42a3-8fac-92b82c99445e}"/>
        <w:style w:val=""/>
        <w:category>
          <w:name w:val="常规"/>
          <w:gallery w:val="placeholder"/>
        </w:category>
        <w:types>
          <w:type w:val="bbPlcHdr"/>
        </w:types>
        <w:behaviors>
          <w:behavior w:val="content"/>
        </w:behaviors>
        <w:description w:val=""/>
        <w:guid w:val="{FE544862-B1EE-42A3-8FAC-92B82C99445E}"/>
      </w:docPartPr>
      <w:docPartBody>
        <w:p>
          <w:r>
            <w:rPr>
              <w:color w:val="808080"/>
            </w:rPr>
            <w:t>单击此处输入文字。</w:t>
          </w:r>
        </w:p>
      </w:docPartBody>
    </w:docPart>
    <w:docPart>
      <w:docPartPr>
        <w:name w:val="{ca69f562-524a-48e3-9476-8e696c0b8ac9}"/>
        <w:style w:val=""/>
        <w:category>
          <w:name w:val="常规"/>
          <w:gallery w:val="placeholder"/>
        </w:category>
        <w:types>
          <w:type w:val="bbPlcHdr"/>
        </w:types>
        <w:behaviors>
          <w:behavior w:val="content"/>
        </w:behaviors>
        <w:description w:val=""/>
        <w:guid w:val="{CA69F562-524A-48E3-9476-8E696C0B8AC9}"/>
      </w:docPartPr>
      <w:docPartBody>
        <w:p>
          <w:r>
            <w:rPr>
              <w:color w:val="808080"/>
            </w:rPr>
            <w:t>单击此处输入文字。</w:t>
          </w:r>
        </w:p>
      </w:docPartBody>
    </w:docPart>
    <w:docPart>
      <w:docPartPr>
        <w:name w:val="{4382f856-e2d9-4a2b-ad01-a2e34fd09eb8}"/>
        <w:style w:val=""/>
        <w:category>
          <w:name w:val="常规"/>
          <w:gallery w:val="placeholder"/>
        </w:category>
        <w:types>
          <w:type w:val="bbPlcHdr"/>
        </w:types>
        <w:behaviors>
          <w:behavior w:val="content"/>
        </w:behaviors>
        <w:description w:val=""/>
        <w:guid w:val="{4382F856-E2D9-4A2B-AD01-A2E34FD09EB8}"/>
      </w:docPartPr>
      <w:docPartBody>
        <w:p>
          <w:r>
            <w:rPr>
              <w:color w:val="808080"/>
            </w:rPr>
            <w:t>单击此处输入文字。</w:t>
          </w:r>
        </w:p>
      </w:docPartBody>
    </w:docPart>
    <w:docPart>
      <w:docPartPr>
        <w:name w:val="{feb591dd-1ad0-4353-a6d2-882f8326fea7}"/>
        <w:style w:val=""/>
        <w:category>
          <w:name w:val="常规"/>
          <w:gallery w:val="placeholder"/>
        </w:category>
        <w:types>
          <w:type w:val="bbPlcHdr"/>
        </w:types>
        <w:behaviors>
          <w:behavior w:val="content"/>
        </w:behaviors>
        <w:description w:val=""/>
        <w:guid w:val="{FEB591DD-1AD0-4353-A6D2-882F8326FEA7}"/>
      </w:docPartPr>
      <w:docPartBody>
        <w:p>
          <w:r>
            <w:rPr>
              <w:color w:val="808080"/>
            </w:rPr>
            <w:t>单击此处输入文字。</w:t>
          </w:r>
        </w:p>
      </w:docPartBody>
    </w:docPart>
    <w:docPart>
      <w:docPartPr>
        <w:name w:val="{26aa4ae0-a406-46af-a2d2-ef2dd1997c6c}"/>
        <w:style w:val=""/>
        <w:category>
          <w:name w:val="常规"/>
          <w:gallery w:val="placeholder"/>
        </w:category>
        <w:types>
          <w:type w:val="bbPlcHdr"/>
        </w:types>
        <w:behaviors>
          <w:behavior w:val="content"/>
        </w:behaviors>
        <w:description w:val=""/>
        <w:guid w:val="{26AA4AE0-A406-46AF-A2D2-EF2DD1997C6C}"/>
      </w:docPartPr>
      <w:docPartBody>
        <w:p>
          <w:r>
            <w:rPr>
              <w:color w:val="808080"/>
            </w:rPr>
            <w:t>单击此处输入文字。</w:t>
          </w:r>
        </w:p>
      </w:docPartBody>
    </w:docPart>
    <w:docPart>
      <w:docPartPr>
        <w:name w:val="{86f98deb-8275-40ff-b60d-966e2904caec}"/>
        <w:style w:val=""/>
        <w:category>
          <w:name w:val="常规"/>
          <w:gallery w:val="placeholder"/>
        </w:category>
        <w:types>
          <w:type w:val="bbPlcHdr"/>
        </w:types>
        <w:behaviors>
          <w:behavior w:val="content"/>
        </w:behaviors>
        <w:description w:val=""/>
        <w:guid w:val="{86F98DEB-8275-40FF-B60D-966E2904CAEC}"/>
      </w:docPartPr>
      <w:docPartBody>
        <w:p>
          <w:r>
            <w:rPr>
              <w:color w:val="808080"/>
            </w:rPr>
            <w:t>单击此处输入文字。</w:t>
          </w:r>
        </w:p>
      </w:docPartBody>
    </w:docPart>
    <w:docPart>
      <w:docPartPr>
        <w:name w:val="{c9c611a1-90a9-4537-9b22-f4bfdb6c4557}"/>
        <w:style w:val=""/>
        <w:category>
          <w:name w:val="常规"/>
          <w:gallery w:val="placeholder"/>
        </w:category>
        <w:types>
          <w:type w:val="bbPlcHdr"/>
        </w:types>
        <w:behaviors>
          <w:behavior w:val="content"/>
        </w:behaviors>
        <w:description w:val=""/>
        <w:guid w:val="{C9C611A1-90A9-4537-9B22-F4BFDB6C4557}"/>
      </w:docPartPr>
      <w:docPartBody>
        <w:p>
          <w:r>
            <w:rPr>
              <w:color w:val="808080"/>
            </w:rPr>
            <w:t>单击此处输入文字。</w:t>
          </w:r>
        </w:p>
      </w:docPartBody>
    </w:docPart>
    <w:docPart>
      <w:docPartPr>
        <w:name w:val="{8a13782d-fd62-473b-8444-51bb1b2005d5}"/>
        <w:style w:val=""/>
        <w:category>
          <w:name w:val="常规"/>
          <w:gallery w:val="placeholder"/>
        </w:category>
        <w:types>
          <w:type w:val="bbPlcHdr"/>
        </w:types>
        <w:behaviors>
          <w:behavior w:val="content"/>
        </w:behaviors>
        <w:description w:val=""/>
        <w:guid w:val="{8A13782D-FD62-473B-8444-51BB1B2005D5}"/>
      </w:docPartPr>
      <w:docPartBody>
        <w:p>
          <w:r>
            <w:rPr>
              <w:color w:val="808080"/>
            </w:rPr>
            <w:t>单击此处输入文字。</w:t>
          </w:r>
        </w:p>
      </w:docPartBody>
    </w:docPart>
    <w:docPart>
      <w:docPartPr>
        <w:name w:val="{c71796cc-c767-41c2-90b8-f29b468f98b7}"/>
        <w:style w:val=""/>
        <w:category>
          <w:name w:val="常规"/>
          <w:gallery w:val="placeholder"/>
        </w:category>
        <w:types>
          <w:type w:val="bbPlcHdr"/>
        </w:types>
        <w:behaviors>
          <w:behavior w:val="content"/>
        </w:behaviors>
        <w:description w:val=""/>
        <w:guid w:val="{C71796CC-C767-41C2-90B8-F29B468F98B7}"/>
      </w:docPartPr>
      <w:docPartBody>
        <w:p>
          <w:r>
            <w:rPr>
              <w:color w:val="808080"/>
            </w:rPr>
            <w:t>单击此处输入文字。</w:t>
          </w:r>
        </w:p>
      </w:docPartBody>
    </w:docPart>
    <w:docPart>
      <w:docPartPr>
        <w:name w:val="{a405a29a-9bb4-4a0f-9a2c-33fc444f5a14}"/>
        <w:style w:val=""/>
        <w:category>
          <w:name w:val="常规"/>
          <w:gallery w:val="placeholder"/>
        </w:category>
        <w:types>
          <w:type w:val="bbPlcHdr"/>
        </w:types>
        <w:behaviors>
          <w:behavior w:val="content"/>
        </w:behaviors>
        <w:description w:val=""/>
        <w:guid w:val="{A405A29A-9BB4-4A0F-9A2C-33FC444F5A14}"/>
      </w:docPartPr>
      <w:docPartBody>
        <w:p>
          <w:r>
            <w:rPr>
              <w:color w:val="808080"/>
            </w:rPr>
            <w:t>单击此处输入文字。</w:t>
          </w:r>
        </w:p>
      </w:docPartBody>
    </w:docPart>
    <w:docPart>
      <w:docPartPr>
        <w:name w:val="{276589f0-b7d8-4590-a554-adbc9f248420}"/>
        <w:style w:val=""/>
        <w:category>
          <w:name w:val="常规"/>
          <w:gallery w:val="placeholder"/>
        </w:category>
        <w:types>
          <w:type w:val="bbPlcHdr"/>
        </w:types>
        <w:behaviors>
          <w:behavior w:val="content"/>
        </w:behaviors>
        <w:description w:val=""/>
        <w:guid w:val="{276589F0-B7D8-4590-A554-ADBC9F248420}"/>
      </w:docPartPr>
      <w:docPartBody>
        <w:p>
          <w:r>
            <w:rPr>
              <w:color w:val="808080"/>
            </w:rPr>
            <w:t>单击此处输入文字。</w:t>
          </w:r>
        </w:p>
      </w:docPartBody>
    </w:docPart>
    <w:docPart>
      <w:docPartPr>
        <w:name w:val="{38c5ae05-b037-4a09-b410-9ecd7832ed2f}"/>
        <w:style w:val=""/>
        <w:category>
          <w:name w:val="常规"/>
          <w:gallery w:val="placeholder"/>
        </w:category>
        <w:types>
          <w:type w:val="bbPlcHdr"/>
        </w:types>
        <w:behaviors>
          <w:behavior w:val="content"/>
        </w:behaviors>
        <w:description w:val=""/>
        <w:guid w:val="{38C5AE05-B037-4A09-B410-9ECD7832ED2F}"/>
      </w:docPartPr>
      <w:docPartBody>
        <w:p>
          <w:r>
            <w:rPr>
              <w:color w:val="808080"/>
            </w:rPr>
            <w:t>单击此处输入文字。</w:t>
          </w:r>
        </w:p>
      </w:docPartBody>
    </w:docPart>
    <w:docPart>
      <w:docPartPr>
        <w:name w:val="{559bbb9b-7683-4e2c-896f-8ba3dc4e5e5f}"/>
        <w:style w:val=""/>
        <w:category>
          <w:name w:val="常规"/>
          <w:gallery w:val="placeholder"/>
        </w:category>
        <w:types>
          <w:type w:val="bbPlcHdr"/>
        </w:types>
        <w:behaviors>
          <w:behavior w:val="content"/>
        </w:behaviors>
        <w:description w:val=""/>
        <w:guid w:val="{559BBB9B-7683-4E2C-896F-8BA3DC4E5E5F}"/>
      </w:docPartPr>
      <w:docPartBody>
        <w:p>
          <w:r>
            <w:rPr>
              <w:color w:val="808080"/>
            </w:rPr>
            <w:t>单击此处输入文字。</w:t>
          </w:r>
        </w:p>
      </w:docPartBody>
    </w:docPart>
    <w:docPart>
      <w:docPartPr>
        <w:name w:val="{aa44ed92-73ec-4fea-bd9c-54f465154f04}"/>
        <w:style w:val=""/>
        <w:category>
          <w:name w:val="常规"/>
          <w:gallery w:val="placeholder"/>
        </w:category>
        <w:types>
          <w:type w:val="bbPlcHdr"/>
        </w:types>
        <w:behaviors>
          <w:behavior w:val="content"/>
        </w:behaviors>
        <w:description w:val=""/>
        <w:guid w:val="{AA44ED92-73EC-4FEA-BD9C-54F465154F04}"/>
      </w:docPartPr>
      <w:docPartBody>
        <w:p>
          <w:r>
            <w:rPr>
              <w:color w:val="808080"/>
            </w:rPr>
            <w:t>单击此处输入文字。</w:t>
          </w:r>
        </w:p>
      </w:docPartBody>
    </w:docPart>
    <w:docPart>
      <w:docPartPr>
        <w:name w:val="{7389a73e-de78-40f4-9c2e-8e9a6e9aa899}"/>
        <w:style w:val=""/>
        <w:category>
          <w:name w:val="常规"/>
          <w:gallery w:val="placeholder"/>
        </w:category>
        <w:types>
          <w:type w:val="bbPlcHdr"/>
        </w:types>
        <w:behaviors>
          <w:behavior w:val="content"/>
        </w:behaviors>
        <w:description w:val=""/>
        <w:guid w:val="{7389A73E-DE78-40F4-9C2E-8E9A6E9AA899}"/>
      </w:docPartPr>
      <w:docPartBody>
        <w:p>
          <w:r>
            <w:rPr>
              <w:color w:val="808080"/>
            </w:rPr>
            <w:t>单击此处输入文字。</w:t>
          </w:r>
        </w:p>
      </w:docPartBody>
    </w:docPart>
    <w:docPart>
      <w:docPartPr>
        <w:name w:val="{9b4edbbb-df24-4460-bb98-eb2f63c22144}"/>
        <w:style w:val=""/>
        <w:category>
          <w:name w:val="常规"/>
          <w:gallery w:val="placeholder"/>
        </w:category>
        <w:types>
          <w:type w:val="bbPlcHdr"/>
        </w:types>
        <w:behaviors>
          <w:behavior w:val="content"/>
        </w:behaviors>
        <w:description w:val=""/>
        <w:guid w:val="{9B4EDBBB-DF24-4460-BB98-EB2F63C22144}"/>
      </w:docPartPr>
      <w:docPartBody>
        <w:p>
          <w:r>
            <w:rPr>
              <w:color w:val="808080"/>
            </w:rPr>
            <w:t>单击此处输入文字。</w:t>
          </w:r>
        </w:p>
      </w:docPartBody>
    </w:docPart>
    <w:docPart>
      <w:docPartPr>
        <w:name w:val="{4ab321c7-a663-4628-b429-f0c3779337df}"/>
        <w:style w:val=""/>
        <w:category>
          <w:name w:val="常规"/>
          <w:gallery w:val="placeholder"/>
        </w:category>
        <w:types>
          <w:type w:val="bbPlcHdr"/>
        </w:types>
        <w:behaviors>
          <w:behavior w:val="content"/>
        </w:behaviors>
        <w:description w:val=""/>
        <w:guid w:val="{4AB321C7-A663-4628-B429-F0C3779337DF}"/>
      </w:docPartPr>
      <w:docPartBody>
        <w:p>
          <w:r>
            <w:rPr>
              <w:color w:val="808080"/>
            </w:rPr>
            <w:t>单击此处输入文字。</w:t>
          </w:r>
        </w:p>
      </w:docPartBody>
    </w:docPart>
    <w:docPart>
      <w:docPartPr>
        <w:name w:val="{6627c18f-86c5-4f9d-af60-6e4935f60121}"/>
        <w:style w:val=""/>
        <w:category>
          <w:name w:val="常规"/>
          <w:gallery w:val="placeholder"/>
        </w:category>
        <w:types>
          <w:type w:val="bbPlcHdr"/>
        </w:types>
        <w:behaviors>
          <w:behavior w:val="content"/>
        </w:behaviors>
        <w:description w:val=""/>
        <w:guid w:val="{6627C18F-86C5-4F9D-AF60-6E4935F60121}"/>
      </w:docPartPr>
      <w:docPartBody>
        <w:p>
          <w:r>
            <w:rPr>
              <w:color w:val="808080"/>
            </w:rPr>
            <w:t>单击此处输入文字。</w:t>
          </w:r>
        </w:p>
      </w:docPartBody>
    </w:docPart>
    <w:docPart>
      <w:docPartPr>
        <w:name w:val="{7f29a37a-00d2-4e95-ad0c-8f63fc285b2b}"/>
        <w:style w:val=""/>
        <w:category>
          <w:name w:val="常规"/>
          <w:gallery w:val="placeholder"/>
        </w:category>
        <w:types>
          <w:type w:val="bbPlcHdr"/>
        </w:types>
        <w:behaviors>
          <w:behavior w:val="content"/>
        </w:behaviors>
        <w:description w:val=""/>
        <w:guid w:val="{7F29A37A-00D2-4E95-AD0C-8F63FC285B2B}"/>
      </w:docPartPr>
      <w:docPartBody>
        <w:p>
          <w:r>
            <w:rPr>
              <w:color w:val="808080"/>
            </w:rPr>
            <w:t>单击此处输入文字。</w:t>
          </w:r>
        </w:p>
      </w:docPartBody>
    </w:docPart>
    <w:docPart>
      <w:docPartPr>
        <w:name w:val="{cd8ec2e3-aaea-4229-bc36-d60aceda0afc}"/>
        <w:style w:val=""/>
        <w:category>
          <w:name w:val="常规"/>
          <w:gallery w:val="placeholder"/>
        </w:category>
        <w:types>
          <w:type w:val="bbPlcHdr"/>
        </w:types>
        <w:behaviors>
          <w:behavior w:val="content"/>
        </w:behaviors>
        <w:description w:val=""/>
        <w:guid w:val="{CD8EC2E3-AAEA-4229-BC36-D60ACEDA0AFC}"/>
      </w:docPartPr>
      <w:docPartBody>
        <w:p>
          <w:r>
            <w:rPr>
              <w:color w:val="808080"/>
            </w:rPr>
            <w:t>单击此处输入文字。</w:t>
          </w:r>
        </w:p>
      </w:docPartBody>
    </w:docPart>
    <w:docPart>
      <w:docPartPr>
        <w:name w:val="{5c0051b4-28d4-4997-a648-81338c07c778}"/>
        <w:style w:val=""/>
        <w:category>
          <w:name w:val="常规"/>
          <w:gallery w:val="placeholder"/>
        </w:category>
        <w:types>
          <w:type w:val="bbPlcHdr"/>
        </w:types>
        <w:behaviors>
          <w:behavior w:val="content"/>
        </w:behaviors>
        <w:description w:val=""/>
        <w:guid w:val="{5C0051B4-28D4-4997-A648-81338C07C778}"/>
      </w:docPartPr>
      <w:docPartBody>
        <w:p>
          <w:r>
            <w:rPr>
              <w:color w:val="808080"/>
            </w:rPr>
            <w:t>单击此处输入文字。</w:t>
          </w:r>
        </w:p>
      </w:docPartBody>
    </w:docPart>
    <w:docPart>
      <w:docPartPr>
        <w:name w:val="{8d021866-fc34-4c6a-9235-a2d10a9ca1fd}"/>
        <w:style w:val=""/>
        <w:category>
          <w:name w:val="常规"/>
          <w:gallery w:val="placeholder"/>
        </w:category>
        <w:types>
          <w:type w:val="bbPlcHdr"/>
        </w:types>
        <w:behaviors>
          <w:behavior w:val="content"/>
        </w:behaviors>
        <w:description w:val=""/>
        <w:guid w:val="{8D021866-FC34-4C6A-9235-A2D10A9CA1FD}"/>
      </w:docPartPr>
      <w:docPartBody>
        <w:p>
          <w:r>
            <w:rPr>
              <w:color w:val="808080"/>
            </w:rPr>
            <w:t>单击此处输入文字。</w:t>
          </w:r>
        </w:p>
      </w:docPartBody>
    </w:docPart>
    <w:docPart>
      <w:docPartPr>
        <w:name w:val="{b7ff714c-5998-4a19-850b-8f5db174c9f8}"/>
        <w:style w:val=""/>
        <w:category>
          <w:name w:val="常规"/>
          <w:gallery w:val="placeholder"/>
        </w:category>
        <w:types>
          <w:type w:val="bbPlcHdr"/>
        </w:types>
        <w:behaviors>
          <w:behavior w:val="content"/>
        </w:behaviors>
        <w:description w:val=""/>
        <w:guid w:val="{B7FF714C-5998-4A19-850B-8F5DB174C9F8}"/>
      </w:docPartPr>
      <w:docPartBody>
        <w:p>
          <w:r>
            <w:rPr>
              <w:color w:val="808080"/>
            </w:rPr>
            <w:t>单击此处输入文字。</w:t>
          </w:r>
        </w:p>
      </w:docPartBody>
    </w:docPart>
    <w:docPart>
      <w:docPartPr>
        <w:name w:val="{e2e953aa-e8c2-4235-b711-08d55b3cee2b}"/>
        <w:style w:val=""/>
        <w:category>
          <w:name w:val="常规"/>
          <w:gallery w:val="placeholder"/>
        </w:category>
        <w:types>
          <w:type w:val="bbPlcHdr"/>
        </w:types>
        <w:behaviors>
          <w:behavior w:val="content"/>
        </w:behaviors>
        <w:description w:val=""/>
        <w:guid w:val="{E2E953AA-E8C2-4235-B711-08D55B3CEE2B}"/>
      </w:docPartPr>
      <w:docPartBody>
        <w:p>
          <w:r>
            <w:rPr>
              <w:color w:val="808080"/>
            </w:rPr>
            <w:t>单击此处输入文字。</w:t>
          </w:r>
        </w:p>
      </w:docPartBody>
    </w:docPart>
    <w:docPart>
      <w:docPartPr>
        <w:name w:val="{8029264c-e37b-4385-b610-8bc17b5afcb6}"/>
        <w:style w:val=""/>
        <w:category>
          <w:name w:val="常规"/>
          <w:gallery w:val="placeholder"/>
        </w:category>
        <w:types>
          <w:type w:val="bbPlcHdr"/>
        </w:types>
        <w:behaviors>
          <w:behavior w:val="content"/>
        </w:behaviors>
        <w:description w:val=""/>
        <w:guid w:val="{8029264C-E37B-4385-B610-8BC17B5AFCB6}"/>
      </w:docPartPr>
      <w:docPartBody>
        <w:p>
          <w:r>
            <w:rPr>
              <w:color w:val="808080"/>
            </w:rPr>
            <w:t>单击此处输入文字。</w:t>
          </w:r>
        </w:p>
      </w:docPartBody>
    </w:docPart>
    <w:docPart>
      <w:docPartPr>
        <w:name w:val="{83d47eb0-1cfe-4c98-a61f-7b4cfaaec231}"/>
        <w:style w:val=""/>
        <w:category>
          <w:name w:val="常规"/>
          <w:gallery w:val="placeholder"/>
        </w:category>
        <w:types>
          <w:type w:val="bbPlcHdr"/>
        </w:types>
        <w:behaviors>
          <w:behavior w:val="content"/>
        </w:behaviors>
        <w:description w:val=""/>
        <w:guid w:val="{83D47EB0-1CFE-4C98-A61F-7B4CFAAEC231}"/>
      </w:docPartPr>
      <w:docPartBody>
        <w:p>
          <w:r>
            <w:rPr>
              <w:color w:val="808080"/>
            </w:rPr>
            <w:t>单击此处输入文字。</w:t>
          </w:r>
        </w:p>
      </w:docPartBody>
    </w:docPart>
    <w:docPart>
      <w:docPartPr>
        <w:name w:val="{577b862f-c9f0-4597-bdf7-266e257ad4b1}"/>
        <w:style w:val=""/>
        <w:category>
          <w:name w:val="常规"/>
          <w:gallery w:val="placeholder"/>
        </w:category>
        <w:types>
          <w:type w:val="bbPlcHdr"/>
        </w:types>
        <w:behaviors>
          <w:behavior w:val="content"/>
        </w:behaviors>
        <w:description w:val=""/>
        <w:guid w:val="{577B862F-C9F0-4597-BDF7-266E257AD4B1}"/>
      </w:docPartPr>
      <w:docPartBody>
        <w:p>
          <w:r>
            <w:rPr>
              <w:color w:val="808080"/>
            </w:rPr>
            <w:t>单击此处输入文字。</w:t>
          </w:r>
        </w:p>
      </w:docPartBody>
    </w:docPart>
    <w:docPart>
      <w:docPartPr>
        <w:name w:val="{548e2bc2-bb6e-4208-a984-882b4cb6e277}"/>
        <w:style w:val=""/>
        <w:category>
          <w:name w:val="常规"/>
          <w:gallery w:val="placeholder"/>
        </w:category>
        <w:types>
          <w:type w:val="bbPlcHdr"/>
        </w:types>
        <w:behaviors>
          <w:behavior w:val="content"/>
        </w:behaviors>
        <w:description w:val=""/>
        <w:guid w:val="{548E2BC2-BB6E-4208-A984-882B4CB6E277}"/>
      </w:docPartPr>
      <w:docPartBody>
        <w:p>
          <w:r>
            <w:rPr>
              <w:color w:val="808080"/>
            </w:rPr>
            <w:t>单击此处输入文字。</w:t>
          </w:r>
        </w:p>
      </w:docPartBody>
    </w:docPart>
    <w:docPart>
      <w:docPartPr>
        <w:name w:val="{15e2a078-e62b-48a0-8576-4b834a097ce3}"/>
        <w:style w:val=""/>
        <w:category>
          <w:name w:val="常规"/>
          <w:gallery w:val="placeholder"/>
        </w:category>
        <w:types>
          <w:type w:val="bbPlcHdr"/>
        </w:types>
        <w:behaviors>
          <w:behavior w:val="content"/>
        </w:behaviors>
        <w:description w:val=""/>
        <w:guid w:val="{15E2A078-E62B-48A0-8576-4B834A097CE3}"/>
      </w:docPartPr>
      <w:docPartBody>
        <w:p>
          <w:r>
            <w:rPr>
              <w:color w:val="808080"/>
            </w:rPr>
            <w:t>单击此处输入文字。</w:t>
          </w:r>
        </w:p>
      </w:docPartBody>
    </w:docPart>
    <w:docPart>
      <w:docPartPr>
        <w:name w:val="{007150f5-fbda-4fe0-925d-5b3fb3ffd4de}"/>
        <w:style w:val=""/>
        <w:category>
          <w:name w:val="常规"/>
          <w:gallery w:val="placeholder"/>
        </w:category>
        <w:types>
          <w:type w:val="bbPlcHdr"/>
        </w:types>
        <w:behaviors>
          <w:behavior w:val="content"/>
        </w:behaviors>
        <w:description w:val=""/>
        <w:guid w:val="{007150F5-FBDA-4FE0-925D-5B3FB3FFD4DE}"/>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377E87"/>
    <w:rsid w:val="00377E87"/>
    <w:rsid w:val="00591720"/>
    <w:rsid w:val="00654D86"/>
    <w:rsid w:val="00A54C3D"/>
    <w:rsid w:val="00CB04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CB7BF0-66F2-47E0-AE15-C17A9DBF38CF}">
  <ds:schemaRefs/>
</ds:datastoreItem>
</file>

<file path=docProps/app.xml><?xml version="1.0" encoding="utf-8"?>
<Properties xmlns="http://schemas.openxmlformats.org/officeDocument/2006/extended-properties" xmlns:vt="http://schemas.openxmlformats.org/officeDocument/2006/docPropsVTypes">
  <Template>0</Template>
  <Pages>107</Pages>
  <Words>20420</Words>
  <Characters>116399</Characters>
  <Lines>969</Lines>
  <Paragraphs>273</Paragraphs>
  <TotalTime>6</TotalTime>
  <ScaleCrop>false</ScaleCrop>
  <LinksUpToDate>false</LinksUpToDate>
  <CharactersWithSpaces>136546</CharactersWithSpaces>
  <Application>WPS Office_11.1.0.8162_F1E327BC-269C-435d-A152-05C5408002CA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2018-07-12T05:14:00Z</dcterms:created>
  <dc:creator>CR</dc:creator>
  <cp:lastModifiedBy>CR</cp:lastModifiedBy>
  <dcterms:modified xsi:type="dcterms:W3CDTF">2018-12-12T09:54:14Z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2052-11.1.0.8162</vt:lpwstr>
  </property>
</Properties>
</file>