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1CFCA" w14:textId="414E5487" w:rsidR="00EB31D4" w:rsidRPr="00EB31D4" w:rsidRDefault="00EB31D4" w:rsidP="00EB31D4">
      <w:pPr>
        <w:spacing w:line="360" w:lineRule="auto"/>
        <w:jc w:val="center"/>
        <w:rPr>
          <w:rFonts w:ascii="Arial" w:hAnsi="Arial" w:cs="Arial"/>
          <w:b/>
          <w:sz w:val="40"/>
          <w:szCs w:val="40"/>
        </w:rPr>
      </w:pPr>
      <w:r w:rsidRPr="00EB31D4">
        <w:rPr>
          <w:rFonts w:ascii="Arial" w:hAnsi="Arial" w:cs="Arial"/>
          <w:b/>
          <w:sz w:val="40"/>
          <w:szCs w:val="40"/>
        </w:rPr>
        <w:t>INTI INTERNATIONAL UNIVERSITY</w:t>
      </w:r>
    </w:p>
    <w:p w14:paraId="31ACE2F6" w14:textId="77777777" w:rsidR="00EB31D4" w:rsidRPr="00C035FD" w:rsidRDefault="00EB31D4" w:rsidP="00EB31D4">
      <w:pPr>
        <w:spacing w:line="360" w:lineRule="auto"/>
        <w:jc w:val="both"/>
        <w:rPr>
          <w:rFonts w:ascii="Arial" w:hAnsi="Arial" w:cs="Arial"/>
        </w:rPr>
      </w:pPr>
    </w:p>
    <w:p w14:paraId="508BC6CA" w14:textId="77777777" w:rsidR="00EB31D4" w:rsidRPr="00EB31D4" w:rsidRDefault="00EB31D4" w:rsidP="00EB31D4">
      <w:pPr>
        <w:pStyle w:val="BodyText"/>
        <w:spacing w:line="360" w:lineRule="auto"/>
        <w:jc w:val="center"/>
        <w:rPr>
          <w:rFonts w:cs="Arial"/>
          <w:b/>
          <w:bCs/>
          <w:sz w:val="28"/>
          <w:szCs w:val="24"/>
        </w:rPr>
      </w:pPr>
      <w:r w:rsidRPr="00EB31D4">
        <w:rPr>
          <w:rFonts w:cs="Arial"/>
          <w:b/>
          <w:bCs/>
          <w:sz w:val="28"/>
          <w:szCs w:val="24"/>
        </w:rPr>
        <w:t>MASTER OF BUSINESS ADMINISTRATION</w:t>
      </w:r>
    </w:p>
    <w:p w14:paraId="1D5621E8" w14:textId="77777777" w:rsidR="00EB31D4" w:rsidRPr="00EB31D4" w:rsidRDefault="00EB31D4" w:rsidP="00EB31D4">
      <w:pPr>
        <w:pStyle w:val="BodyText"/>
        <w:spacing w:line="360" w:lineRule="auto"/>
        <w:jc w:val="center"/>
        <w:rPr>
          <w:rFonts w:cs="Arial"/>
          <w:b/>
          <w:bCs/>
          <w:sz w:val="28"/>
          <w:szCs w:val="24"/>
        </w:rPr>
      </w:pPr>
    </w:p>
    <w:p w14:paraId="0C5F71B0" w14:textId="77777777" w:rsidR="00EB31D4" w:rsidRPr="00EB31D4" w:rsidRDefault="00EB31D4" w:rsidP="00EB31D4">
      <w:pPr>
        <w:pStyle w:val="BodyText"/>
        <w:spacing w:line="360" w:lineRule="auto"/>
        <w:jc w:val="center"/>
        <w:rPr>
          <w:rFonts w:cs="Arial"/>
          <w:b/>
          <w:bCs/>
          <w:sz w:val="28"/>
          <w:szCs w:val="24"/>
        </w:rPr>
      </w:pPr>
      <w:r w:rsidRPr="00EB31D4">
        <w:rPr>
          <w:rFonts w:cs="Arial"/>
          <w:b/>
          <w:bCs/>
          <w:sz w:val="28"/>
          <w:szCs w:val="24"/>
        </w:rPr>
        <w:t>RESEARCH PROPOSAL</w:t>
      </w:r>
    </w:p>
    <w:p w14:paraId="44992D73" w14:textId="77777777" w:rsidR="00EB31D4" w:rsidRPr="00C035FD" w:rsidRDefault="00EB31D4" w:rsidP="00EB31D4">
      <w:pPr>
        <w:pStyle w:val="BodyText"/>
        <w:spacing w:line="360" w:lineRule="auto"/>
        <w:jc w:val="both"/>
        <w:rPr>
          <w:rFonts w:cs="Arial"/>
          <w:b/>
          <w:szCs w:val="22"/>
        </w:rPr>
      </w:pPr>
    </w:p>
    <w:p w14:paraId="1CD6C168" w14:textId="26D229BC" w:rsidR="00EB31D4" w:rsidRDefault="00EB31D4" w:rsidP="00EB31D4">
      <w:pPr>
        <w:pStyle w:val="BodyText"/>
        <w:spacing w:line="360" w:lineRule="auto"/>
        <w:jc w:val="both"/>
        <w:rPr>
          <w:rFonts w:cs="Arial"/>
          <w:b/>
          <w:szCs w:val="22"/>
        </w:rPr>
      </w:pPr>
    </w:p>
    <w:p w14:paraId="1092FBB8" w14:textId="77777777" w:rsidR="00262AC5" w:rsidRDefault="00262AC5" w:rsidP="00EB31D4">
      <w:pPr>
        <w:pStyle w:val="BodyText"/>
        <w:spacing w:line="360" w:lineRule="auto"/>
        <w:jc w:val="center"/>
        <w:rPr>
          <w:rFonts w:cs="Arial"/>
          <w:b/>
          <w:bCs/>
          <w:sz w:val="30"/>
          <w:szCs w:val="30"/>
        </w:rPr>
      </w:pPr>
    </w:p>
    <w:p w14:paraId="75C674F1" w14:textId="6FFFB273" w:rsidR="00EB31D4" w:rsidRPr="00EB31D4" w:rsidRDefault="00262AC5" w:rsidP="00EB31D4">
      <w:pPr>
        <w:pStyle w:val="BodyText"/>
        <w:spacing w:line="360" w:lineRule="auto"/>
        <w:jc w:val="center"/>
        <w:rPr>
          <w:rFonts w:cs="Arial"/>
          <w:b/>
          <w:bCs/>
          <w:sz w:val="30"/>
          <w:szCs w:val="30"/>
        </w:rPr>
      </w:pPr>
      <w:r w:rsidRPr="00262AC5">
        <w:rPr>
          <w:rFonts w:cs="Arial"/>
          <w:b/>
          <w:bCs/>
          <w:sz w:val="30"/>
          <w:szCs w:val="30"/>
        </w:rPr>
        <w:t>Liquidity Risk Management: A Comparative Analysis Between Islamic And Conventional Banking in Malaysia</w:t>
      </w:r>
    </w:p>
    <w:p w14:paraId="59812A4D" w14:textId="77777777" w:rsidR="00EB31D4" w:rsidRPr="00C035FD" w:rsidRDefault="00EB31D4" w:rsidP="00EB31D4">
      <w:pPr>
        <w:jc w:val="both"/>
        <w:rPr>
          <w:rFonts w:ascii="Arial" w:hAnsi="Arial" w:cs="Arial"/>
        </w:rPr>
      </w:pPr>
    </w:p>
    <w:p w14:paraId="4B40A36A" w14:textId="77777777" w:rsidR="00EB31D4" w:rsidRPr="00C035FD" w:rsidRDefault="00EB31D4" w:rsidP="00EB31D4">
      <w:pPr>
        <w:jc w:val="both"/>
        <w:rPr>
          <w:rFonts w:ascii="Arial" w:hAnsi="Arial" w:cs="Arial"/>
          <w:b/>
        </w:rPr>
      </w:pPr>
    </w:p>
    <w:p w14:paraId="09C9F260" w14:textId="77777777" w:rsidR="00EB31D4" w:rsidRDefault="00EB31D4" w:rsidP="00EB31D4">
      <w:pPr>
        <w:jc w:val="both"/>
        <w:rPr>
          <w:rFonts w:ascii="Arial" w:hAnsi="Arial" w:cs="Arial"/>
          <w:b/>
        </w:rPr>
      </w:pPr>
    </w:p>
    <w:p w14:paraId="236410B0" w14:textId="77777777" w:rsidR="00EB31D4" w:rsidRDefault="00EB31D4" w:rsidP="00EB31D4">
      <w:pPr>
        <w:jc w:val="both"/>
        <w:rPr>
          <w:rFonts w:ascii="Arial" w:hAnsi="Arial" w:cs="Arial"/>
          <w:b/>
        </w:rPr>
      </w:pPr>
    </w:p>
    <w:p w14:paraId="50E0F22C" w14:textId="77777777" w:rsidR="00EB31D4" w:rsidRPr="00C035FD" w:rsidRDefault="00EB31D4" w:rsidP="00EB31D4">
      <w:pPr>
        <w:jc w:val="both"/>
        <w:rPr>
          <w:rFonts w:ascii="Arial" w:hAnsi="Arial" w:cs="Arial"/>
          <w:b/>
        </w:rPr>
      </w:pPr>
    </w:p>
    <w:p w14:paraId="60B771B3" w14:textId="77777777" w:rsidR="00EB31D4" w:rsidRPr="00C035FD" w:rsidRDefault="00EB31D4" w:rsidP="00EB31D4">
      <w:pPr>
        <w:jc w:val="both"/>
        <w:rPr>
          <w:rFonts w:ascii="Arial" w:hAnsi="Arial" w:cs="Arial"/>
          <w:b/>
        </w:rPr>
      </w:pPr>
    </w:p>
    <w:p w14:paraId="7891D98F" w14:textId="009BD9B2" w:rsidR="00EB31D4" w:rsidRPr="00C035FD" w:rsidRDefault="00EB31D4" w:rsidP="00EB31D4">
      <w:pPr>
        <w:jc w:val="both"/>
        <w:rPr>
          <w:rFonts w:ascii="Arial" w:hAnsi="Arial" w:cs="Arial"/>
          <w:bCs/>
        </w:rPr>
      </w:pPr>
      <w:r w:rsidRPr="00C035FD">
        <w:rPr>
          <w:rFonts w:ascii="Arial" w:hAnsi="Arial" w:cs="Arial"/>
          <w:b/>
        </w:rPr>
        <w:t xml:space="preserve">Author: </w:t>
      </w:r>
      <w:r>
        <w:rPr>
          <w:rFonts w:ascii="Arial" w:hAnsi="Arial" w:cs="Arial"/>
          <w:b/>
        </w:rPr>
        <w:t>ZHOU TINGTING</w:t>
      </w:r>
    </w:p>
    <w:p w14:paraId="0E54349E" w14:textId="77777777" w:rsidR="00EB31D4" w:rsidRPr="00C035FD" w:rsidRDefault="00EB31D4" w:rsidP="00EB31D4">
      <w:pPr>
        <w:jc w:val="both"/>
        <w:rPr>
          <w:rFonts w:ascii="Arial" w:hAnsi="Arial" w:cs="Arial"/>
          <w:b/>
        </w:rPr>
      </w:pPr>
    </w:p>
    <w:p w14:paraId="4F735A01" w14:textId="0D77BA59" w:rsidR="00EB31D4" w:rsidRPr="00C035FD" w:rsidRDefault="00EB31D4" w:rsidP="00EB31D4">
      <w:pPr>
        <w:jc w:val="both"/>
        <w:rPr>
          <w:rFonts w:ascii="Arial" w:hAnsi="Arial" w:cs="Arial"/>
          <w:bCs/>
        </w:rPr>
      </w:pPr>
      <w:r w:rsidRPr="00C035FD">
        <w:rPr>
          <w:rFonts w:ascii="Arial" w:hAnsi="Arial" w:cs="Arial"/>
          <w:b/>
        </w:rPr>
        <w:t xml:space="preserve">Student No: </w:t>
      </w:r>
      <w:r w:rsidRPr="00C035FD">
        <w:rPr>
          <w:rFonts w:ascii="Arial" w:hAnsi="Arial" w:cs="Arial"/>
          <w:b/>
        </w:rPr>
        <w:tab/>
      </w:r>
      <w:r>
        <w:rPr>
          <w:rFonts w:ascii="Arial" w:hAnsi="Arial" w:cs="Arial"/>
          <w:b/>
        </w:rPr>
        <w:t>I14006631</w:t>
      </w:r>
    </w:p>
    <w:p w14:paraId="1750B294" w14:textId="77777777" w:rsidR="00EB31D4" w:rsidRPr="00C035FD" w:rsidRDefault="00EB31D4" w:rsidP="00EB31D4">
      <w:pPr>
        <w:jc w:val="both"/>
        <w:rPr>
          <w:rFonts w:ascii="Arial" w:hAnsi="Arial" w:cs="Arial"/>
          <w:b/>
        </w:rPr>
      </w:pPr>
    </w:p>
    <w:p w14:paraId="57ECED27" w14:textId="70C05A6D" w:rsidR="00EB31D4" w:rsidRPr="00DF4680" w:rsidRDefault="00EB31D4" w:rsidP="00EB31D4">
      <w:pPr>
        <w:jc w:val="both"/>
        <w:rPr>
          <w:rFonts w:ascii="Arial" w:hAnsi="Arial" w:cs="Arial"/>
          <w:b/>
        </w:rPr>
      </w:pPr>
      <w:r w:rsidRPr="00C035FD">
        <w:rPr>
          <w:rFonts w:ascii="Arial" w:hAnsi="Arial" w:cs="Arial"/>
          <w:b/>
        </w:rPr>
        <w:t>Supervisor:</w:t>
      </w:r>
      <w:r w:rsidRPr="00C035FD">
        <w:rPr>
          <w:rFonts w:ascii="Arial" w:hAnsi="Arial" w:cs="Arial"/>
        </w:rPr>
        <w:t xml:space="preserve"> </w:t>
      </w:r>
      <w:r w:rsidRPr="00C035FD">
        <w:rPr>
          <w:rFonts w:ascii="Arial" w:hAnsi="Arial" w:cs="Arial"/>
        </w:rPr>
        <w:tab/>
      </w:r>
      <w:r>
        <w:rPr>
          <w:rFonts w:ascii="Arial" w:hAnsi="Arial" w:cs="Arial"/>
        </w:rPr>
        <w:t xml:space="preserve">MS </w:t>
      </w:r>
      <w:r>
        <w:rPr>
          <w:rFonts w:ascii="Arial" w:eastAsiaTheme="minorEastAsia" w:hAnsi="Arial" w:cs="Arial"/>
          <w:color w:val="1A1A1A"/>
          <w:sz w:val="26"/>
          <w:szCs w:val="26"/>
          <w:lang w:val="en-GB"/>
        </w:rPr>
        <w:t xml:space="preserve">Siti </w:t>
      </w:r>
      <w:proofErr w:type="spellStart"/>
      <w:r>
        <w:rPr>
          <w:rFonts w:ascii="Arial" w:eastAsiaTheme="minorEastAsia" w:hAnsi="Arial" w:cs="Arial"/>
          <w:color w:val="1A1A1A"/>
          <w:sz w:val="26"/>
          <w:szCs w:val="26"/>
          <w:lang w:val="en-GB"/>
        </w:rPr>
        <w:t>Nurbaayah</w:t>
      </w:r>
      <w:proofErr w:type="spellEnd"/>
    </w:p>
    <w:p w14:paraId="028CEC00" w14:textId="77777777" w:rsidR="00EB31D4" w:rsidRPr="00C035FD" w:rsidRDefault="00EB31D4" w:rsidP="00EB31D4">
      <w:pPr>
        <w:jc w:val="both"/>
        <w:rPr>
          <w:rFonts w:ascii="Arial" w:hAnsi="Arial" w:cs="Arial"/>
        </w:rPr>
      </w:pPr>
    </w:p>
    <w:p w14:paraId="73466DAD" w14:textId="4AAF99D5" w:rsidR="00EB31D4" w:rsidRPr="00C035FD" w:rsidRDefault="00EB31D4" w:rsidP="00EB31D4">
      <w:pPr>
        <w:rPr>
          <w:rFonts w:ascii="Arial" w:hAnsi="Arial" w:cs="Arial"/>
        </w:rPr>
      </w:pPr>
      <w:r w:rsidRPr="00C035FD">
        <w:rPr>
          <w:rFonts w:ascii="Arial" w:hAnsi="Arial" w:cs="Arial"/>
          <w:b/>
          <w:bCs/>
        </w:rPr>
        <w:t>Final Word Count:</w:t>
      </w:r>
      <w:r w:rsidRPr="00C035FD">
        <w:rPr>
          <w:rFonts w:ascii="Arial" w:hAnsi="Arial" w:cs="Arial"/>
        </w:rPr>
        <w:tab/>
      </w:r>
      <w:r>
        <w:rPr>
          <w:rFonts w:ascii="Arial" w:hAnsi="Arial" w:cs="Arial"/>
        </w:rPr>
        <w:t xml:space="preserve"> </w:t>
      </w:r>
      <w:r w:rsidR="002E5DDC">
        <w:rPr>
          <w:rFonts w:ascii="Arial" w:hAnsi="Arial" w:cs="Arial"/>
        </w:rPr>
        <w:t>8,442</w:t>
      </w:r>
      <w:r>
        <w:rPr>
          <w:rFonts w:ascii="Arial" w:hAnsi="Arial" w:cs="Arial"/>
        </w:rPr>
        <w:t xml:space="preserve">words </w:t>
      </w:r>
    </w:p>
    <w:p w14:paraId="0FDB4F5E" w14:textId="77777777" w:rsidR="00EB31D4" w:rsidRDefault="00EB31D4" w:rsidP="00495D62">
      <w:pPr>
        <w:spacing w:line="480" w:lineRule="auto"/>
        <w:jc w:val="both"/>
      </w:pPr>
    </w:p>
    <w:p w14:paraId="3D957CA4" w14:textId="77777777" w:rsidR="00EB31D4" w:rsidRDefault="00EB31D4" w:rsidP="00495D62">
      <w:pPr>
        <w:spacing w:line="480" w:lineRule="auto"/>
        <w:jc w:val="both"/>
      </w:pPr>
    </w:p>
    <w:p w14:paraId="7939796F" w14:textId="2CF49043" w:rsidR="00DF4680" w:rsidRDefault="00DF4680" w:rsidP="00495D62">
      <w:pPr>
        <w:spacing w:line="480" w:lineRule="auto"/>
        <w:jc w:val="both"/>
      </w:pPr>
    </w:p>
    <w:p w14:paraId="3D4F1469" w14:textId="77777777" w:rsidR="00DF4680" w:rsidRDefault="00DF4680" w:rsidP="00495D62">
      <w:pPr>
        <w:spacing w:line="480" w:lineRule="auto"/>
        <w:jc w:val="both"/>
      </w:pPr>
    </w:p>
    <w:p w14:paraId="6BF0277E" w14:textId="6CAF7D19" w:rsidR="00EB31D4" w:rsidRDefault="00EB31D4" w:rsidP="00495D62">
      <w:pPr>
        <w:spacing w:line="480" w:lineRule="auto"/>
        <w:jc w:val="both"/>
      </w:pPr>
    </w:p>
    <w:p w14:paraId="235F0C7D" w14:textId="77777777" w:rsidR="00780042" w:rsidRDefault="00780042" w:rsidP="00495D62">
      <w:pPr>
        <w:spacing w:line="480" w:lineRule="auto"/>
        <w:jc w:val="both"/>
      </w:pPr>
    </w:p>
    <w:p w14:paraId="4BBE1AEE" w14:textId="77777777" w:rsidR="00EB31D4" w:rsidRPr="00262AC5" w:rsidRDefault="00EB31D4" w:rsidP="00EB31D4">
      <w:pPr>
        <w:pStyle w:val="Heading1"/>
        <w:spacing w:after="480" w:line="360" w:lineRule="auto"/>
        <w:ind w:left="142"/>
        <w:jc w:val="center"/>
        <w:rPr>
          <w:rFonts w:ascii="Arial" w:hAnsi="Arial" w:cs="Arial"/>
          <w:b/>
          <w:sz w:val="28"/>
          <w:szCs w:val="28"/>
        </w:rPr>
      </w:pPr>
      <w:bookmarkStart w:id="0" w:name="_Toc23723795"/>
      <w:bookmarkStart w:id="1" w:name="_Toc27578576"/>
      <w:r w:rsidRPr="00262AC5">
        <w:rPr>
          <w:rFonts w:ascii="Arial" w:hAnsi="Arial" w:cs="Arial"/>
          <w:b/>
          <w:sz w:val="28"/>
          <w:szCs w:val="28"/>
        </w:rPr>
        <w:lastRenderedPageBreak/>
        <w:t>Declaration</w:t>
      </w:r>
      <w:bookmarkEnd w:id="0"/>
      <w:bookmarkEnd w:id="1"/>
    </w:p>
    <w:p w14:paraId="571C0CB4" w14:textId="426874F3" w:rsidR="00EB31D4" w:rsidRDefault="00EB31D4" w:rsidP="00EB31D4">
      <w:pPr>
        <w:spacing w:after="480" w:line="360" w:lineRule="auto"/>
        <w:jc w:val="both"/>
        <w:rPr>
          <w:rFonts w:ascii="Arial" w:hAnsi="Arial" w:cs="Arial"/>
        </w:rPr>
      </w:pPr>
      <w:r w:rsidRPr="00EB31D4">
        <w:rPr>
          <w:rFonts w:ascii="Arial" w:hAnsi="Arial" w:cs="Arial"/>
        </w:rPr>
        <w:t>I hereby declare that the research paper is submitted by me is based on actual and original work carried out to be me. And the other sources of information have been used which they have been duly acknowledged. In addition, I further certify that the research paper has not been published or submitted for publication anywhere.</w:t>
      </w:r>
      <w:r>
        <w:rPr>
          <w:rFonts w:ascii="Arial" w:hAnsi="Arial" w:cs="Arial"/>
        </w:rPr>
        <w:t xml:space="preserve"> </w:t>
      </w:r>
    </w:p>
    <w:p w14:paraId="6A2032F9" w14:textId="77777777" w:rsidR="00EB31D4" w:rsidRDefault="00EB31D4" w:rsidP="00EB31D4">
      <w:pPr>
        <w:spacing w:after="480" w:line="360" w:lineRule="auto"/>
        <w:jc w:val="both"/>
        <w:rPr>
          <w:rFonts w:ascii="Arial" w:hAnsi="Arial" w:cs="Arial"/>
        </w:rPr>
      </w:pPr>
    </w:p>
    <w:p w14:paraId="705075A3" w14:textId="249B5791" w:rsidR="00EB31D4" w:rsidRDefault="00EB31D4" w:rsidP="00EB31D4">
      <w:pPr>
        <w:spacing w:after="480" w:line="360" w:lineRule="auto"/>
        <w:jc w:val="both"/>
        <w:rPr>
          <w:rFonts w:ascii="Arial" w:hAnsi="Arial" w:cs="Arial"/>
        </w:rPr>
      </w:pPr>
      <w:r>
        <w:rPr>
          <w:rFonts w:ascii="Arial" w:hAnsi="Arial" w:cs="Arial"/>
        </w:rPr>
        <w:t>Name: ZHOU TINGTING</w:t>
      </w:r>
    </w:p>
    <w:p w14:paraId="59BDDFBB" w14:textId="339FC1C8" w:rsidR="00EB31D4" w:rsidRDefault="00EB31D4" w:rsidP="00EB31D4">
      <w:pPr>
        <w:spacing w:after="480" w:line="360" w:lineRule="auto"/>
        <w:jc w:val="both"/>
        <w:rPr>
          <w:rFonts w:ascii="Arial" w:hAnsi="Arial" w:cs="Arial"/>
        </w:rPr>
      </w:pPr>
      <w:r>
        <w:rPr>
          <w:rFonts w:ascii="Arial" w:hAnsi="Arial" w:cs="Arial"/>
        </w:rPr>
        <w:t>Student ID: I14006631</w:t>
      </w:r>
    </w:p>
    <w:p w14:paraId="643CE9F7" w14:textId="42397EA1" w:rsidR="00EB31D4" w:rsidRDefault="00EB31D4" w:rsidP="00EB31D4">
      <w:pPr>
        <w:spacing w:after="480" w:line="360" w:lineRule="auto"/>
        <w:jc w:val="both"/>
        <w:rPr>
          <w:rFonts w:ascii="Arial" w:hAnsi="Arial" w:cs="Arial"/>
        </w:rPr>
      </w:pPr>
      <w:r>
        <w:rPr>
          <w:rFonts w:ascii="Arial" w:hAnsi="Arial" w:cs="Arial"/>
        </w:rPr>
        <w:t>Signature:</w:t>
      </w:r>
      <w:r w:rsidRPr="00DF4680">
        <w:rPr>
          <w:rFonts w:ascii="Brush Script MT" w:eastAsia="Brush Script MT" w:hAnsi="Brush Script MT" w:cs="Brush Script MT"/>
        </w:rPr>
        <w:t xml:space="preserve"> </w:t>
      </w:r>
      <w:r w:rsidR="00DF4680" w:rsidRPr="00DF4680">
        <w:rPr>
          <w:rFonts w:ascii="Brush Script MT" w:eastAsia="Brush Script MT" w:hAnsi="Brush Script MT" w:cs="Brush Script MT"/>
        </w:rPr>
        <w:t xml:space="preserve">ZHOU </w:t>
      </w:r>
      <w:proofErr w:type="spellStart"/>
      <w:r w:rsidR="00DF4680" w:rsidRPr="00DF4680">
        <w:rPr>
          <w:rFonts w:ascii="Brush Script MT" w:eastAsia="Brush Script MT" w:hAnsi="Brush Script MT" w:cs="Brush Script MT"/>
        </w:rPr>
        <w:t>Tingting</w:t>
      </w:r>
      <w:proofErr w:type="spellEnd"/>
    </w:p>
    <w:p w14:paraId="0FE88B31" w14:textId="77777777" w:rsidR="00EB31D4" w:rsidRPr="00C035FD" w:rsidRDefault="00EB31D4" w:rsidP="00EB31D4">
      <w:pPr>
        <w:spacing w:after="480" w:line="360" w:lineRule="auto"/>
        <w:jc w:val="both"/>
        <w:rPr>
          <w:rFonts w:ascii="Arial" w:hAnsi="Arial" w:cs="Arial"/>
        </w:rPr>
      </w:pPr>
      <w:r>
        <w:rPr>
          <w:rFonts w:ascii="Arial" w:hAnsi="Arial" w:cs="Arial"/>
        </w:rPr>
        <w:t>Date: 3</w:t>
      </w:r>
      <w:r w:rsidRPr="00C035FD">
        <w:rPr>
          <w:rFonts w:ascii="Arial" w:hAnsi="Arial" w:cs="Arial"/>
          <w:vertAlign w:val="superscript"/>
        </w:rPr>
        <w:t>rd</w:t>
      </w:r>
      <w:r>
        <w:rPr>
          <w:rFonts w:ascii="Arial" w:hAnsi="Arial" w:cs="Arial"/>
        </w:rPr>
        <w:t xml:space="preserve"> November, 2019</w:t>
      </w:r>
    </w:p>
    <w:p w14:paraId="53E322E2" w14:textId="77777777" w:rsidR="00EB31D4" w:rsidRDefault="00EB31D4" w:rsidP="00495D62">
      <w:pPr>
        <w:spacing w:line="480" w:lineRule="auto"/>
        <w:jc w:val="both"/>
      </w:pPr>
    </w:p>
    <w:p w14:paraId="05DDBE17" w14:textId="767B1A28" w:rsidR="00EB31D4" w:rsidRDefault="00EB31D4" w:rsidP="00495D62">
      <w:pPr>
        <w:spacing w:line="480" w:lineRule="auto"/>
        <w:jc w:val="both"/>
      </w:pPr>
    </w:p>
    <w:p w14:paraId="6BA7717B" w14:textId="11B96CC1" w:rsidR="00EB31D4" w:rsidRDefault="00EB31D4" w:rsidP="00495D62">
      <w:pPr>
        <w:spacing w:line="480" w:lineRule="auto"/>
        <w:jc w:val="both"/>
      </w:pPr>
    </w:p>
    <w:p w14:paraId="118DDF57" w14:textId="0ABDBB11" w:rsidR="00EB31D4" w:rsidRDefault="00EB31D4" w:rsidP="00495D62">
      <w:pPr>
        <w:spacing w:line="480" w:lineRule="auto"/>
        <w:jc w:val="both"/>
      </w:pPr>
    </w:p>
    <w:p w14:paraId="2BBE1FF8" w14:textId="37DD27B0" w:rsidR="00EB31D4" w:rsidRDefault="00EB31D4" w:rsidP="00495D62">
      <w:pPr>
        <w:spacing w:line="480" w:lineRule="auto"/>
        <w:jc w:val="both"/>
      </w:pPr>
    </w:p>
    <w:p w14:paraId="34C17366" w14:textId="7C74E64B" w:rsidR="00780042" w:rsidRDefault="00780042" w:rsidP="00262AC5">
      <w:pPr>
        <w:pStyle w:val="Heading1"/>
        <w:spacing w:after="480"/>
        <w:ind w:left="142"/>
        <w:jc w:val="center"/>
        <w:rPr>
          <w:rFonts w:ascii="Arial" w:hAnsi="Arial" w:cs="Arial"/>
          <w:b/>
          <w:sz w:val="28"/>
          <w:szCs w:val="28"/>
        </w:rPr>
      </w:pPr>
      <w:bookmarkStart w:id="2" w:name="_Toc23723796"/>
    </w:p>
    <w:p w14:paraId="2BB3CE13" w14:textId="2BF56813" w:rsidR="00780042" w:rsidRDefault="00780042" w:rsidP="00780042"/>
    <w:p w14:paraId="00A66B16" w14:textId="77777777" w:rsidR="00780042" w:rsidRPr="00780042" w:rsidRDefault="00780042" w:rsidP="00780042"/>
    <w:p w14:paraId="029D922D" w14:textId="4EFC08C5" w:rsidR="00262AC5" w:rsidRPr="00262AC5" w:rsidRDefault="00262AC5" w:rsidP="00262AC5">
      <w:pPr>
        <w:pStyle w:val="Heading1"/>
        <w:spacing w:after="480"/>
        <w:ind w:left="142"/>
        <w:jc w:val="center"/>
        <w:rPr>
          <w:rFonts w:ascii="Arial" w:hAnsi="Arial" w:cs="Arial"/>
          <w:b/>
          <w:sz w:val="28"/>
          <w:szCs w:val="28"/>
        </w:rPr>
      </w:pPr>
      <w:bookmarkStart w:id="3" w:name="_Toc27578577"/>
      <w:r w:rsidRPr="00262AC5">
        <w:rPr>
          <w:rFonts w:ascii="Arial" w:hAnsi="Arial" w:cs="Arial"/>
          <w:b/>
          <w:sz w:val="28"/>
          <w:szCs w:val="28"/>
        </w:rPr>
        <w:lastRenderedPageBreak/>
        <w:t>Abstract</w:t>
      </w:r>
      <w:bookmarkEnd w:id="2"/>
      <w:bookmarkEnd w:id="3"/>
    </w:p>
    <w:p w14:paraId="564042F3" w14:textId="2B526CFD" w:rsidR="00B36508" w:rsidRDefault="00262AC5" w:rsidP="00CA7237">
      <w:pPr>
        <w:spacing w:line="360" w:lineRule="auto"/>
        <w:jc w:val="both"/>
        <w:rPr>
          <w:rFonts w:ascii="Arial" w:hAnsi="Arial" w:cs="Arial"/>
        </w:rPr>
      </w:pPr>
      <w:r>
        <w:rPr>
          <w:rFonts w:ascii="Arial" w:hAnsi="Arial" w:cs="Arial"/>
        </w:rPr>
        <w:tab/>
      </w:r>
      <w:r w:rsidR="00CA7237" w:rsidRPr="00CA7237">
        <w:rPr>
          <w:rFonts w:ascii="Arial" w:hAnsi="Arial" w:cs="Arial"/>
        </w:rPr>
        <w:t>This research proposal focus</w:t>
      </w:r>
      <w:r w:rsidR="001E2B10">
        <w:rPr>
          <w:rFonts w:ascii="Arial" w:hAnsi="Arial" w:cs="Arial"/>
        </w:rPr>
        <w:t>ed</w:t>
      </w:r>
      <w:r w:rsidR="00CA7237" w:rsidRPr="00CA7237">
        <w:rPr>
          <w:rFonts w:ascii="Arial" w:hAnsi="Arial" w:cs="Arial"/>
        </w:rPr>
        <w:t xml:space="preserve"> on conventional and Islamic banking continued its activities in Malaysia, what are the bank-specific factors that affect liquidity risk management between conventional and Islamic banks.  For this purpose that the researcher will be adopted a quantitative research methodology. And this research proposal will collect the second data from bursa Malaysia.com or the company’s website to get the annual report. The annual report of conventional and Islamic banks for the financial year 2014 to 2018. In the scope of the analysis, a total of 20 banks (10 conventional and 10  Islamic banks were used by using convenience sampling. Moreover, liquidity risk management is measured by Liquid assets over total assets, while the bank-specific factors include Bank Size, Profitability, and </w:t>
      </w:r>
      <w:r w:rsidR="003F148A">
        <w:rPr>
          <w:rFonts w:ascii="Arial" w:hAnsi="Arial" w:cs="Arial"/>
        </w:rPr>
        <w:t>Deposits</w:t>
      </w:r>
      <w:r w:rsidR="00CA7237" w:rsidRPr="00CA7237">
        <w:rPr>
          <w:rFonts w:ascii="Arial" w:hAnsi="Arial" w:cs="Arial"/>
        </w:rPr>
        <w:t>. The research proposal will adopt IBM SPSS software as the tool to conduct the analysis between the variables.</w:t>
      </w:r>
    </w:p>
    <w:p w14:paraId="5CE8E32A" w14:textId="77777777" w:rsidR="00CA7237" w:rsidRDefault="00CA7237" w:rsidP="00CA7237">
      <w:pPr>
        <w:spacing w:line="360" w:lineRule="auto"/>
        <w:jc w:val="both"/>
        <w:rPr>
          <w:rFonts w:ascii="Arial" w:hAnsi="Arial" w:cs="Arial"/>
        </w:rPr>
      </w:pPr>
    </w:p>
    <w:p w14:paraId="356D5D5A" w14:textId="7BA42146" w:rsidR="00B36508" w:rsidRDefault="00B36508" w:rsidP="00262AC5">
      <w:pPr>
        <w:spacing w:line="360" w:lineRule="auto"/>
        <w:jc w:val="both"/>
        <w:rPr>
          <w:rFonts w:ascii="Arial" w:hAnsi="Arial" w:cs="Arial"/>
        </w:rPr>
      </w:pPr>
      <w:r w:rsidRPr="00B36508">
        <w:rPr>
          <w:rFonts w:ascii="Arial" w:hAnsi="Arial" w:cs="Arial"/>
        </w:rPr>
        <w:t>Keywords: Liquidity Risk Management, Conventional Banking, Islamic Banking</w:t>
      </w:r>
      <w:r>
        <w:rPr>
          <w:rFonts w:ascii="Arial" w:hAnsi="Arial" w:cs="Arial"/>
        </w:rPr>
        <w:t>, B</w:t>
      </w:r>
      <w:r w:rsidRPr="00B36508">
        <w:rPr>
          <w:rFonts w:ascii="Arial" w:hAnsi="Arial" w:cs="Arial"/>
        </w:rPr>
        <w:t xml:space="preserve">ank </w:t>
      </w:r>
      <w:r>
        <w:rPr>
          <w:rFonts w:ascii="Arial" w:hAnsi="Arial" w:cs="Arial"/>
        </w:rPr>
        <w:t>S</w:t>
      </w:r>
      <w:r w:rsidRPr="00B36508">
        <w:rPr>
          <w:rFonts w:ascii="Arial" w:hAnsi="Arial" w:cs="Arial"/>
        </w:rPr>
        <w:t xml:space="preserve">ize, </w:t>
      </w:r>
      <w:r w:rsidR="007C3D1C">
        <w:rPr>
          <w:rFonts w:ascii="Arial" w:hAnsi="Arial" w:cs="Arial"/>
        </w:rPr>
        <w:t>Profitability</w:t>
      </w:r>
      <w:r w:rsidR="007C3D1C" w:rsidRPr="00B36508">
        <w:rPr>
          <w:rFonts w:ascii="Arial" w:hAnsi="Arial" w:cs="Arial"/>
        </w:rPr>
        <w:t xml:space="preserve"> </w:t>
      </w:r>
      <w:r w:rsidRPr="00B36508">
        <w:rPr>
          <w:rFonts w:ascii="Arial" w:hAnsi="Arial" w:cs="Arial"/>
        </w:rPr>
        <w:t xml:space="preserve">and </w:t>
      </w:r>
      <w:r w:rsidR="003F148A">
        <w:rPr>
          <w:rFonts w:ascii="Arial" w:hAnsi="Arial" w:cs="Arial"/>
        </w:rPr>
        <w:t>Deposits</w:t>
      </w:r>
      <w:r w:rsidR="00CA7237">
        <w:rPr>
          <w:rFonts w:ascii="Arial" w:hAnsi="Arial" w:cs="Arial"/>
        </w:rPr>
        <w:t>.</w:t>
      </w:r>
    </w:p>
    <w:p w14:paraId="7BF303BE" w14:textId="34E39911" w:rsidR="00CA7237" w:rsidRDefault="00CA7237" w:rsidP="00262AC5">
      <w:pPr>
        <w:spacing w:line="360" w:lineRule="auto"/>
        <w:jc w:val="both"/>
        <w:rPr>
          <w:rFonts w:ascii="Arial" w:hAnsi="Arial" w:cs="Arial"/>
        </w:rPr>
      </w:pPr>
    </w:p>
    <w:p w14:paraId="1A74038F" w14:textId="6FB94B61" w:rsidR="00CA7237" w:rsidRDefault="00CA7237" w:rsidP="00262AC5">
      <w:pPr>
        <w:spacing w:line="360" w:lineRule="auto"/>
        <w:jc w:val="both"/>
        <w:rPr>
          <w:rFonts w:ascii="Arial" w:hAnsi="Arial" w:cs="Arial"/>
        </w:rPr>
      </w:pPr>
    </w:p>
    <w:p w14:paraId="328DBE8D" w14:textId="02D3F9DF" w:rsidR="00CA7237" w:rsidRDefault="00CA7237" w:rsidP="00262AC5">
      <w:pPr>
        <w:spacing w:line="360" w:lineRule="auto"/>
        <w:jc w:val="both"/>
        <w:rPr>
          <w:rFonts w:ascii="Arial" w:hAnsi="Arial" w:cs="Arial"/>
        </w:rPr>
      </w:pPr>
    </w:p>
    <w:p w14:paraId="1925A0E7" w14:textId="539A7CEF" w:rsidR="00CA7237" w:rsidRDefault="00CA7237" w:rsidP="00262AC5">
      <w:pPr>
        <w:spacing w:line="360" w:lineRule="auto"/>
        <w:jc w:val="both"/>
        <w:rPr>
          <w:rFonts w:ascii="Arial" w:hAnsi="Arial" w:cs="Arial"/>
        </w:rPr>
      </w:pPr>
    </w:p>
    <w:p w14:paraId="68B7C473" w14:textId="6CF851A2" w:rsidR="00CA7237" w:rsidRDefault="00CA7237" w:rsidP="00262AC5">
      <w:pPr>
        <w:spacing w:line="360" w:lineRule="auto"/>
        <w:jc w:val="both"/>
        <w:rPr>
          <w:rFonts w:ascii="Arial" w:hAnsi="Arial" w:cs="Arial"/>
        </w:rPr>
      </w:pPr>
    </w:p>
    <w:p w14:paraId="0D60963C" w14:textId="4D70424E" w:rsidR="00CA7237" w:rsidRDefault="00CA7237" w:rsidP="00262AC5">
      <w:pPr>
        <w:spacing w:line="360" w:lineRule="auto"/>
        <w:jc w:val="both"/>
        <w:rPr>
          <w:rFonts w:ascii="Arial" w:hAnsi="Arial" w:cs="Arial"/>
        </w:rPr>
      </w:pPr>
    </w:p>
    <w:p w14:paraId="66AC8140" w14:textId="02E76911" w:rsidR="00CA7237" w:rsidRDefault="00CA7237" w:rsidP="00262AC5">
      <w:pPr>
        <w:spacing w:line="360" w:lineRule="auto"/>
        <w:jc w:val="both"/>
        <w:rPr>
          <w:rFonts w:ascii="Arial" w:hAnsi="Arial" w:cs="Arial"/>
        </w:rPr>
      </w:pPr>
    </w:p>
    <w:p w14:paraId="02B66B79" w14:textId="2B45C093" w:rsidR="00CA7237" w:rsidRDefault="00CA7237" w:rsidP="00262AC5">
      <w:pPr>
        <w:spacing w:line="360" w:lineRule="auto"/>
        <w:jc w:val="both"/>
        <w:rPr>
          <w:rFonts w:ascii="Arial" w:hAnsi="Arial" w:cs="Arial"/>
        </w:rPr>
      </w:pPr>
    </w:p>
    <w:p w14:paraId="2DF99A0C" w14:textId="5B97779A" w:rsidR="00CA7237" w:rsidRDefault="00CA7237" w:rsidP="00262AC5">
      <w:pPr>
        <w:spacing w:line="360" w:lineRule="auto"/>
        <w:jc w:val="both"/>
        <w:rPr>
          <w:rFonts w:ascii="Arial" w:hAnsi="Arial" w:cs="Arial"/>
        </w:rPr>
      </w:pPr>
    </w:p>
    <w:p w14:paraId="5C247EB5" w14:textId="7F1DDD09" w:rsidR="00CA7237" w:rsidRDefault="00CA7237" w:rsidP="00262AC5">
      <w:pPr>
        <w:spacing w:line="360" w:lineRule="auto"/>
        <w:jc w:val="both"/>
        <w:rPr>
          <w:rFonts w:ascii="Arial" w:hAnsi="Arial" w:cs="Arial"/>
        </w:rPr>
      </w:pPr>
    </w:p>
    <w:p w14:paraId="37B5A911" w14:textId="0B66D7BA" w:rsidR="00CA7237" w:rsidRDefault="00CA7237" w:rsidP="00262AC5">
      <w:pPr>
        <w:spacing w:line="360" w:lineRule="auto"/>
        <w:jc w:val="both"/>
        <w:rPr>
          <w:rFonts w:ascii="Arial" w:hAnsi="Arial" w:cs="Arial"/>
        </w:rPr>
      </w:pPr>
    </w:p>
    <w:p w14:paraId="036EBEE9" w14:textId="77777777" w:rsidR="00780042" w:rsidRDefault="00780042" w:rsidP="00262AC5">
      <w:pPr>
        <w:spacing w:line="360" w:lineRule="auto"/>
        <w:jc w:val="both"/>
        <w:rPr>
          <w:rFonts w:ascii="Arial" w:hAnsi="Arial" w:cs="Arial"/>
        </w:rPr>
      </w:pPr>
    </w:p>
    <w:p w14:paraId="64DA1228" w14:textId="77777777" w:rsidR="00CA7237" w:rsidRDefault="00CA7237" w:rsidP="00CA7237">
      <w:pPr>
        <w:pStyle w:val="Heading1"/>
        <w:spacing w:after="480"/>
        <w:ind w:left="142"/>
        <w:jc w:val="center"/>
        <w:rPr>
          <w:rFonts w:ascii="Arial" w:hAnsi="Arial" w:cs="Arial"/>
          <w:b/>
          <w:sz w:val="24"/>
          <w:szCs w:val="24"/>
        </w:rPr>
      </w:pPr>
      <w:bookmarkStart w:id="4" w:name="_Toc23723797"/>
      <w:bookmarkStart w:id="5" w:name="_Toc27578578"/>
      <w:r>
        <w:rPr>
          <w:rFonts w:ascii="Arial" w:hAnsi="Arial" w:cs="Arial"/>
          <w:b/>
          <w:sz w:val="24"/>
          <w:szCs w:val="24"/>
        </w:rPr>
        <w:lastRenderedPageBreak/>
        <w:t>Acknowledgement</w:t>
      </w:r>
      <w:bookmarkEnd w:id="4"/>
      <w:bookmarkEnd w:id="5"/>
      <w:r>
        <w:rPr>
          <w:rFonts w:ascii="Arial" w:hAnsi="Arial" w:cs="Arial"/>
          <w:b/>
          <w:sz w:val="24"/>
          <w:szCs w:val="24"/>
        </w:rPr>
        <w:t xml:space="preserve"> </w:t>
      </w:r>
    </w:p>
    <w:p w14:paraId="5E32FB28" w14:textId="326DF784" w:rsidR="00CA7237" w:rsidRDefault="00CA7237" w:rsidP="00CA7237">
      <w:pPr>
        <w:spacing w:after="480" w:line="360" w:lineRule="auto"/>
        <w:jc w:val="both"/>
        <w:rPr>
          <w:rFonts w:ascii="Arial" w:hAnsi="Arial" w:cs="Arial"/>
        </w:rPr>
      </w:pPr>
      <w:r>
        <w:rPr>
          <w:rFonts w:ascii="Arial" w:hAnsi="Arial" w:cs="Arial"/>
        </w:rPr>
        <w:tab/>
      </w:r>
      <w:r w:rsidRPr="00CA7237">
        <w:rPr>
          <w:rFonts w:ascii="Arial" w:hAnsi="Arial" w:cs="Arial"/>
        </w:rPr>
        <w:t xml:space="preserve">First of all, I would like to address my sincere gratitude to all the people and INTI International University that assist and guide me throughout my master’s degree. I also would like to convey my thankfulness towards my supervisor, Ms. Siti </w:t>
      </w:r>
      <w:proofErr w:type="spellStart"/>
      <w:r w:rsidRPr="00CA7237">
        <w:rPr>
          <w:rFonts w:ascii="Arial" w:hAnsi="Arial" w:cs="Arial"/>
        </w:rPr>
        <w:t>Nurbaayah</w:t>
      </w:r>
      <w:proofErr w:type="spellEnd"/>
      <w:r w:rsidRPr="00CA7237">
        <w:rPr>
          <w:rFonts w:ascii="Arial" w:hAnsi="Arial" w:cs="Arial"/>
        </w:rPr>
        <w:t xml:space="preserve"> for the great assistance along with my research proposal writing the journey. Also, my second supervisor, Ms. Rebecca Yew Ming </w:t>
      </w:r>
      <w:proofErr w:type="spellStart"/>
      <w:r w:rsidRPr="00CA7237">
        <w:rPr>
          <w:rFonts w:ascii="Arial" w:hAnsi="Arial" w:cs="Arial"/>
        </w:rPr>
        <w:t>Yian</w:t>
      </w:r>
      <w:proofErr w:type="spellEnd"/>
      <w:r w:rsidRPr="00CA7237">
        <w:rPr>
          <w:rFonts w:ascii="Arial" w:hAnsi="Arial" w:cs="Arial"/>
        </w:rPr>
        <w:t xml:space="preserve"> for the insightful discussion and advice during this study. Without guidance and supports from all the mentioned parties that this thesis would not be completed successfully.</w:t>
      </w:r>
    </w:p>
    <w:p w14:paraId="7777B77B" w14:textId="77777777" w:rsidR="00EB31D4" w:rsidRDefault="00EB31D4" w:rsidP="00495D62">
      <w:pPr>
        <w:spacing w:line="480" w:lineRule="auto"/>
        <w:jc w:val="both"/>
      </w:pPr>
    </w:p>
    <w:p w14:paraId="01D6C73C" w14:textId="77777777" w:rsidR="00262AC5" w:rsidRDefault="00262AC5" w:rsidP="00495D62">
      <w:pPr>
        <w:spacing w:line="480" w:lineRule="auto"/>
        <w:jc w:val="both"/>
        <w:rPr>
          <w:lang w:val="en-US"/>
        </w:rPr>
      </w:pPr>
    </w:p>
    <w:p w14:paraId="6D268A4A" w14:textId="5D0904B8" w:rsidR="00495D62" w:rsidRDefault="00495D62" w:rsidP="000D4E7A">
      <w:pPr>
        <w:spacing w:line="360" w:lineRule="auto"/>
        <w:jc w:val="center"/>
        <w:rPr>
          <w:b/>
          <w:sz w:val="32"/>
          <w:u w:val="single"/>
        </w:rPr>
      </w:pPr>
    </w:p>
    <w:p w14:paraId="3E06DE36" w14:textId="28878F84" w:rsidR="00495D62" w:rsidRDefault="00495D62" w:rsidP="000D4E7A">
      <w:pPr>
        <w:spacing w:line="360" w:lineRule="auto"/>
        <w:jc w:val="center"/>
        <w:rPr>
          <w:b/>
          <w:sz w:val="32"/>
          <w:u w:val="single"/>
        </w:rPr>
      </w:pPr>
    </w:p>
    <w:p w14:paraId="739982E2" w14:textId="4A9EA26F" w:rsidR="00495D62" w:rsidRDefault="00495D62" w:rsidP="000D4E7A">
      <w:pPr>
        <w:spacing w:line="360" w:lineRule="auto"/>
        <w:jc w:val="center"/>
        <w:rPr>
          <w:b/>
          <w:sz w:val="32"/>
          <w:u w:val="single"/>
        </w:rPr>
      </w:pPr>
    </w:p>
    <w:p w14:paraId="42CA5DD8" w14:textId="0EFAA243" w:rsidR="00780042" w:rsidRDefault="00780042" w:rsidP="000D4E7A">
      <w:pPr>
        <w:spacing w:line="360" w:lineRule="auto"/>
        <w:jc w:val="center"/>
        <w:rPr>
          <w:b/>
          <w:sz w:val="32"/>
          <w:u w:val="single"/>
        </w:rPr>
      </w:pPr>
    </w:p>
    <w:p w14:paraId="402FA035" w14:textId="7E21F01C" w:rsidR="00780042" w:rsidRDefault="00780042" w:rsidP="000D4E7A">
      <w:pPr>
        <w:spacing w:line="360" w:lineRule="auto"/>
        <w:jc w:val="center"/>
        <w:rPr>
          <w:b/>
          <w:sz w:val="32"/>
          <w:u w:val="single"/>
        </w:rPr>
      </w:pPr>
    </w:p>
    <w:p w14:paraId="770560B9" w14:textId="245C9178" w:rsidR="00780042" w:rsidRDefault="00780042" w:rsidP="000D4E7A">
      <w:pPr>
        <w:spacing w:line="360" w:lineRule="auto"/>
        <w:jc w:val="center"/>
        <w:rPr>
          <w:b/>
          <w:sz w:val="32"/>
          <w:u w:val="single"/>
        </w:rPr>
      </w:pPr>
    </w:p>
    <w:p w14:paraId="0E45709A" w14:textId="18FD8CC7" w:rsidR="00780042" w:rsidRDefault="00780042" w:rsidP="000D4E7A">
      <w:pPr>
        <w:spacing w:line="360" w:lineRule="auto"/>
        <w:jc w:val="center"/>
        <w:rPr>
          <w:b/>
          <w:sz w:val="32"/>
          <w:u w:val="single"/>
        </w:rPr>
      </w:pPr>
    </w:p>
    <w:p w14:paraId="520E770C" w14:textId="0FF9EF83" w:rsidR="00780042" w:rsidRDefault="00780042" w:rsidP="000D4E7A">
      <w:pPr>
        <w:spacing w:line="360" w:lineRule="auto"/>
        <w:jc w:val="center"/>
        <w:rPr>
          <w:b/>
          <w:sz w:val="32"/>
          <w:u w:val="single"/>
        </w:rPr>
      </w:pPr>
    </w:p>
    <w:p w14:paraId="02663A81" w14:textId="26DF0609" w:rsidR="00780042" w:rsidRDefault="00780042" w:rsidP="000D4E7A">
      <w:pPr>
        <w:spacing w:line="360" w:lineRule="auto"/>
        <w:jc w:val="center"/>
        <w:rPr>
          <w:b/>
          <w:sz w:val="32"/>
          <w:u w:val="single"/>
        </w:rPr>
      </w:pPr>
    </w:p>
    <w:p w14:paraId="54F75053" w14:textId="77777777" w:rsidR="00780042" w:rsidRDefault="00780042" w:rsidP="000D4E7A">
      <w:pPr>
        <w:spacing w:line="360" w:lineRule="auto"/>
        <w:jc w:val="center"/>
        <w:rPr>
          <w:b/>
          <w:sz w:val="32"/>
          <w:u w:val="single"/>
        </w:rPr>
      </w:pPr>
    </w:p>
    <w:p w14:paraId="02FC6379" w14:textId="2780BAFA" w:rsidR="00495D62" w:rsidRDefault="00495D62" w:rsidP="000D4E7A">
      <w:pPr>
        <w:spacing w:line="360" w:lineRule="auto"/>
        <w:jc w:val="center"/>
        <w:rPr>
          <w:b/>
          <w:sz w:val="32"/>
          <w:u w:val="single"/>
        </w:rPr>
      </w:pPr>
    </w:p>
    <w:p w14:paraId="4A90A1EF" w14:textId="2DD14420" w:rsidR="00495D62" w:rsidRDefault="00495D62" w:rsidP="00AE4BF6">
      <w:pPr>
        <w:spacing w:line="360" w:lineRule="auto"/>
        <w:rPr>
          <w:b/>
          <w:sz w:val="32"/>
          <w:u w:val="single"/>
        </w:rPr>
      </w:pPr>
    </w:p>
    <w:p w14:paraId="502F417C" w14:textId="62C8D985" w:rsidR="00AE4BF6" w:rsidRDefault="00AE4BF6" w:rsidP="00AE4BF6">
      <w:pPr>
        <w:spacing w:line="360" w:lineRule="auto"/>
        <w:rPr>
          <w:b/>
          <w:sz w:val="32"/>
          <w:u w:val="single"/>
        </w:rPr>
      </w:pPr>
    </w:p>
    <w:p w14:paraId="4E4DA147" w14:textId="77777777" w:rsidR="008B1B71" w:rsidRDefault="008B1B71" w:rsidP="00AE4BF6">
      <w:pPr>
        <w:spacing w:line="360" w:lineRule="auto"/>
        <w:rPr>
          <w:b/>
          <w:sz w:val="32"/>
          <w:u w:val="single"/>
        </w:rPr>
      </w:pPr>
    </w:p>
    <w:p w14:paraId="6723F497" w14:textId="333670C2" w:rsidR="000D4E7A" w:rsidRPr="000D4E7A" w:rsidRDefault="000D4E7A" w:rsidP="000D4E7A">
      <w:pPr>
        <w:spacing w:line="360" w:lineRule="auto"/>
        <w:jc w:val="center"/>
        <w:rPr>
          <w:b/>
          <w:sz w:val="32"/>
          <w:u w:val="single"/>
        </w:rPr>
      </w:pPr>
      <w:r w:rsidRPr="000D4E7A">
        <w:rPr>
          <w:b/>
          <w:sz w:val="32"/>
          <w:u w:val="single"/>
        </w:rPr>
        <w:lastRenderedPageBreak/>
        <w:t xml:space="preserve">TABLE OF CONTENTS </w:t>
      </w:r>
    </w:p>
    <w:sdt>
      <w:sdtPr>
        <w:rPr>
          <w:rFonts w:ascii="Times New Roman" w:hAnsi="Times New Roman"/>
          <w:b w:val="0"/>
          <w:bCs w:val="0"/>
          <w:caps w:val="0"/>
          <w:smallCaps/>
          <w:sz w:val="24"/>
          <w:szCs w:val="24"/>
          <w:u w:val="none"/>
        </w:rPr>
        <w:id w:val="-606580643"/>
        <w:docPartObj>
          <w:docPartGallery w:val="Table of Contents"/>
          <w:docPartUnique/>
        </w:docPartObj>
      </w:sdtPr>
      <w:sdtEndPr>
        <w:rPr>
          <w:rFonts w:asciiTheme="minorHAnsi" w:hAnsiTheme="minorHAnsi"/>
          <w:b/>
          <w:bCs/>
          <w:noProof/>
          <w:sz w:val="22"/>
          <w:szCs w:val="22"/>
        </w:rPr>
      </w:sdtEndPr>
      <w:sdtContent>
        <w:bookmarkStart w:id="6" w:name="_Hlk510088552" w:displacedByCustomXml="prev"/>
        <w:p w14:paraId="22F8A72E" w14:textId="636C463F" w:rsidR="009C2656" w:rsidRPr="00495D62" w:rsidRDefault="009C2656" w:rsidP="009C2656">
          <w:pPr>
            <w:pStyle w:val="TOC1"/>
            <w:jc w:val="both"/>
            <w:rPr>
              <w:rFonts w:ascii="Times New Roman" w:hAnsi="Times New Roman"/>
              <w:b w:val="0"/>
              <w:bCs w:val="0"/>
              <w:u w:val="none"/>
            </w:rPr>
          </w:pPr>
          <w:r w:rsidRPr="009C2656">
            <w:rPr>
              <w:rFonts w:ascii="Times New Roman" w:hAnsi="Times New Roman"/>
              <w:u w:val="none"/>
            </w:rPr>
            <w:t>Acknowledgeme</w:t>
          </w:r>
          <w:bookmarkStart w:id="7" w:name="_GoBack"/>
          <w:bookmarkEnd w:id="7"/>
          <w:r w:rsidRPr="009C2656">
            <w:rPr>
              <w:rFonts w:ascii="Times New Roman" w:hAnsi="Times New Roman"/>
              <w:u w:val="none"/>
            </w:rPr>
            <w:t xml:space="preserve">nt </w:t>
          </w:r>
          <w:r w:rsidRPr="009C2656">
            <w:rPr>
              <w:rFonts w:ascii="Times New Roman" w:hAnsi="Times New Roman"/>
              <w:u w:val="none"/>
            </w:rPr>
            <w:ptab w:relativeTo="margin" w:alignment="right" w:leader="dot"/>
          </w:r>
          <w:bookmarkEnd w:id="6"/>
          <w:r w:rsidR="00495D62">
            <w:rPr>
              <w:rFonts w:ascii="Times New Roman" w:hAnsi="Times New Roman"/>
              <w:u w:val="none"/>
            </w:rPr>
            <w:t>2</w:t>
          </w:r>
        </w:p>
        <w:p w14:paraId="38324822" w14:textId="143C9573" w:rsidR="009C2656" w:rsidRPr="009C2656" w:rsidRDefault="009C2656" w:rsidP="009C2656">
          <w:pPr>
            <w:pStyle w:val="TOC1"/>
            <w:jc w:val="both"/>
            <w:rPr>
              <w:rFonts w:ascii="Times New Roman" w:hAnsi="Times New Roman"/>
              <w:u w:val="none"/>
            </w:rPr>
          </w:pPr>
          <w:r w:rsidRPr="009C2656">
            <w:rPr>
              <w:rFonts w:ascii="Times New Roman" w:hAnsi="Times New Roman"/>
              <w:u w:val="none"/>
            </w:rPr>
            <w:t xml:space="preserve">Abstract </w:t>
          </w:r>
          <w:r w:rsidRPr="009C2656">
            <w:rPr>
              <w:rFonts w:ascii="Times New Roman" w:hAnsi="Times New Roman"/>
              <w:u w:val="none"/>
            </w:rPr>
            <w:ptab w:relativeTo="margin" w:alignment="right" w:leader="dot"/>
          </w:r>
          <w:r w:rsidR="00495D62">
            <w:rPr>
              <w:rFonts w:ascii="Times New Roman" w:hAnsi="Times New Roman"/>
              <w:u w:val="none"/>
            </w:rPr>
            <w:t>3</w:t>
          </w:r>
        </w:p>
        <w:p w14:paraId="7C061192" w14:textId="316F435A" w:rsidR="009C2656" w:rsidRPr="009C2656" w:rsidRDefault="009C2656" w:rsidP="009C2656">
          <w:pPr>
            <w:pStyle w:val="TOC1"/>
            <w:jc w:val="both"/>
            <w:rPr>
              <w:rFonts w:ascii="Times New Roman" w:hAnsi="Times New Roman"/>
              <w:u w:val="none"/>
            </w:rPr>
          </w:pPr>
          <w:r w:rsidRPr="009C2656">
            <w:rPr>
              <w:rFonts w:ascii="Times New Roman" w:hAnsi="Times New Roman"/>
              <w:u w:val="none"/>
            </w:rPr>
            <w:t xml:space="preserve">Table of Contents </w:t>
          </w:r>
          <w:r w:rsidRPr="009C2656">
            <w:rPr>
              <w:rFonts w:ascii="Times New Roman" w:hAnsi="Times New Roman"/>
              <w:u w:val="none"/>
            </w:rPr>
            <w:ptab w:relativeTo="margin" w:alignment="right" w:leader="dot"/>
          </w:r>
          <w:r w:rsidR="00495D62">
            <w:rPr>
              <w:rFonts w:ascii="Times New Roman" w:hAnsi="Times New Roman"/>
              <w:u w:val="none"/>
            </w:rPr>
            <w:t>4</w:t>
          </w:r>
        </w:p>
        <w:p w14:paraId="0FDD0A59" w14:textId="4D12C068" w:rsidR="009C2656" w:rsidRPr="009C2656" w:rsidRDefault="009C2656" w:rsidP="009C2656">
          <w:pPr>
            <w:pStyle w:val="TOC1"/>
            <w:jc w:val="both"/>
            <w:rPr>
              <w:rFonts w:ascii="Times New Roman" w:hAnsi="Times New Roman"/>
              <w:u w:val="none"/>
            </w:rPr>
          </w:pPr>
          <w:r w:rsidRPr="009C2656">
            <w:rPr>
              <w:rFonts w:ascii="Times New Roman" w:hAnsi="Times New Roman"/>
              <w:u w:val="none"/>
            </w:rPr>
            <w:t xml:space="preserve">Abbreviation  </w:t>
          </w:r>
          <w:r w:rsidRPr="009C2656">
            <w:rPr>
              <w:rFonts w:ascii="Times New Roman" w:hAnsi="Times New Roman"/>
              <w:u w:val="none"/>
            </w:rPr>
            <w:ptab w:relativeTo="margin" w:alignment="right" w:leader="dot"/>
          </w:r>
          <w:r w:rsidR="00495D62">
            <w:rPr>
              <w:rFonts w:ascii="Times New Roman" w:hAnsi="Times New Roman"/>
              <w:u w:val="none"/>
            </w:rPr>
            <w:t>6</w:t>
          </w:r>
        </w:p>
        <w:p w14:paraId="6DDFDF1B" w14:textId="69C406A7" w:rsidR="009C2656" w:rsidRPr="0022391D" w:rsidRDefault="009C2656" w:rsidP="009C2656">
          <w:pPr>
            <w:pStyle w:val="TOC1"/>
            <w:jc w:val="both"/>
            <w:rPr>
              <w:rFonts w:ascii="Times New Roman" w:hAnsi="Times New Roman"/>
              <w:u w:val="none"/>
            </w:rPr>
          </w:pPr>
          <w:r w:rsidRPr="0022391D">
            <w:rPr>
              <w:rFonts w:ascii="Times New Roman" w:hAnsi="Times New Roman"/>
              <w:u w:val="none"/>
            </w:rPr>
            <w:t>List of Tables</w:t>
          </w:r>
          <w:r w:rsidR="006B6052" w:rsidRPr="0022391D">
            <w:rPr>
              <w:rFonts w:ascii="Times New Roman" w:hAnsi="Times New Roman"/>
              <w:u w:val="none"/>
            </w:rPr>
            <w:t xml:space="preserve"> and</w:t>
          </w:r>
          <w:r w:rsidRPr="0022391D">
            <w:rPr>
              <w:rFonts w:ascii="Times New Roman" w:hAnsi="Times New Roman"/>
              <w:u w:val="none"/>
            </w:rPr>
            <w:t xml:space="preserve"> Figures </w:t>
          </w:r>
          <w:r w:rsidRPr="0022391D">
            <w:rPr>
              <w:rFonts w:ascii="Times New Roman" w:hAnsi="Times New Roman"/>
              <w:u w:val="none"/>
            </w:rPr>
            <w:ptab w:relativeTo="margin" w:alignment="right" w:leader="dot"/>
          </w:r>
          <w:r w:rsidR="006B6052" w:rsidRPr="0022391D">
            <w:rPr>
              <w:rFonts w:ascii="Times New Roman" w:hAnsi="Times New Roman"/>
              <w:u w:val="none"/>
            </w:rPr>
            <w:t>7</w:t>
          </w:r>
        </w:p>
        <w:p w14:paraId="26F61B05" w14:textId="6B5DCDB7" w:rsidR="00AE4BF6" w:rsidRPr="002E5DDC" w:rsidRDefault="009C2656">
          <w:pPr>
            <w:pStyle w:val="TOC1"/>
            <w:tabs>
              <w:tab w:val="right" w:leader="dot" w:pos="8487"/>
            </w:tabs>
            <w:rPr>
              <w:rFonts w:eastAsiaTheme="minorEastAsia" w:cstheme="minorBidi"/>
              <w:b w:val="0"/>
              <w:bCs w:val="0"/>
              <w:caps w:val="0"/>
              <w:noProof/>
              <w:sz w:val="24"/>
              <w:szCs w:val="24"/>
              <w:u w:val="none"/>
            </w:rPr>
          </w:pPr>
          <w:r w:rsidRPr="006912B2">
            <w:rPr>
              <w:rFonts w:ascii="Times New Roman" w:hAnsi="Times New Roman"/>
              <w:color w:val="000000" w:themeColor="text1"/>
              <w:sz w:val="24"/>
              <w:szCs w:val="24"/>
              <w:u w:val="none"/>
            </w:rPr>
            <w:fldChar w:fldCharType="begin"/>
          </w:r>
          <w:r w:rsidRPr="006912B2">
            <w:rPr>
              <w:rFonts w:ascii="Times New Roman" w:hAnsi="Times New Roman"/>
              <w:color w:val="000000" w:themeColor="text1"/>
              <w:sz w:val="24"/>
              <w:szCs w:val="24"/>
              <w:u w:val="none"/>
            </w:rPr>
            <w:instrText xml:space="preserve"> TOC \o "1-3" \h \z \u </w:instrText>
          </w:r>
          <w:r w:rsidRPr="006912B2">
            <w:rPr>
              <w:rFonts w:ascii="Times New Roman" w:hAnsi="Times New Roman"/>
              <w:color w:val="000000" w:themeColor="text1"/>
              <w:sz w:val="24"/>
              <w:szCs w:val="24"/>
              <w:u w:val="none"/>
            </w:rPr>
            <w:fldChar w:fldCharType="separate"/>
          </w:r>
          <w:hyperlink w:anchor="_Toc27578576" w:history="1">
            <w:r w:rsidR="00AE4BF6" w:rsidRPr="002E5DDC">
              <w:rPr>
                <w:rStyle w:val="Hyperlink"/>
                <w:rFonts w:ascii="Arial" w:hAnsi="Arial" w:cs="Arial"/>
                <w:noProof/>
                <w:u w:val="none"/>
              </w:rPr>
              <w:t>Declaration</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_Toc27578576 \h </w:instrText>
            </w:r>
            <w:r w:rsidR="00AE4BF6" w:rsidRPr="002E5DDC">
              <w:rPr>
                <w:noProof/>
                <w:webHidden/>
                <w:u w:val="none"/>
              </w:rPr>
            </w:r>
            <w:r w:rsidR="00AE4BF6" w:rsidRPr="002E5DDC">
              <w:rPr>
                <w:noProof/>
                <w:webHidden/>
                <w:u w:val="none"/>
              </w:rPr>
              <w:fldChar w:fldCharType="separate"/>
            </w:r>
            <w:r w:rsidR="006B166C">
              <w:rPr>
                <w:noProof/>
                <w:webHidden/>
                <w:u w:val="none"/>
              </w:rPr>
              <w:t>2</w:t>
            </w:r>
            <w:r w:rsidR="00AE4BF6" w:rsidRPr="002E5DDC">
              <w:rPr>
                <w:noProof/>
                <w:webHidden/>
                <w:u w:val="none"/>
              </w:rPr>
              <w:fldChar w:fldCharType="end"/>
            </w:r>
          </w:hyperlink>
        </w:p>
        <w:p w14:paraId="4A775A45" w14:textId="72CA012C" w:rsidR="00AE4BF6" w:rsidRPr="002E5DDC" w:rsidRDefault="00102DDD">
          <w:pPr>
            <w:pStyle w:val="TOC1"/>
            <w:tabs>
              <w:tab w:val="right" w:leader="dot" w:pos="8487"/>
            </w:tabs>
            <w:rPr>
              <w:rFonts w:eastAsiaTheme="minorEastAsia" w:cstheme="minorBidi"/>
              <w:b w:val="0"/>
              <w:bCs w:val="0"/>
              <w:caps w:val="0"/>
              <w:noProof/>
              <w:sz w:val="24"/>
              <w:szCs w:val="24"/>
              <w:u w:val="none"/>
            </w:rPr>
          </w:pPr>
          <w:hyperlink w:anchor="_Toc27578577" w:history="1">
            <w:r w:rsidR="00AE4BF6" w:rsidRPr="002E5DDC">
              <w:rPr>
                <w:rStyle w:val="Hyperlink"/>
                <w:rFonts w:ascii="Arial" w:hAnsi="Arial" w:cs="Arial"/>
                <w:noProof/>
                <w:u w:val="none"/>
              </w:rPr>
              <w:t>Abstract</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_Toc27578577 \h </w:instrText>
            </w:r>
            <w:r w:rsidR="00AE4BF6" w:rsidRPr="002E5DDC">
              <w:rPr>
                <w:noProof/>
                <w:webHidden/>
                <w:u w:val="none"/>
              </w:rPr>
            </w:r>
            <w:r w:rsidR="00AE4BF6" w:rsidRPr="002E5DDC">
              <w:rPr>
                <w:noProof/>
                <w:webHidden/>
                <w:u w:val="none"/>
              </w:rPr>
              <w:fldChar w:fldCharType="separate"/>
            </w:r>
            <w:r w:rsidR="006B166C">
              <w:rPr>
                <w:noProof/>
                <w:webHidden/>
                <w:u w:val="none"/>
              </w:rPr>
              <w:t>3</w:t>
            </w:r>
            <w:r w:rsidR="00AE4BF6" w:rsidRPr="002E5DDC">
              <w:rPr>
                <w:noProof/>
                <w:webHidden/>
                <w:u w:val="none"/>
              </w:rPr>
              <w:fldChar w:fldCharType="end"/>
            </w:r>
          </w:hyperlink>
        </w:p>
        <w:p w14:paraId="5FCEDF88" w14:textId="501B8E0C" w:rsidR="00AE4BF6" w:rsidRPr="002E5DDC" w:rsidRDefault="00102DDD">
          <w:pPr>
            <w:pStyle w:val="TOC1"/>
            <w:tabs>
              <w:tab w:val="right" w:leader="dot" w:pos="8487"/>
            </w:tabs>
            <w:rPr>
              <w:rFonts w:eastAsiaTheme="minorEastAsia" w:cstheme="minorBidi"/>
              <w:b w:val="0"/>
              <w:bCs w:val="0"/>
              <w:caps w:val="0"/>
              <w:noProof/>
              <w:sz w:val="24"/>
              <w:szCs w:val="24"/>
              <w:u w:val="none"/>
            </w:rPr>
          </w:pPr>
          <w:hyperlink w:anchor="_Toc27578578" w:history="1">
            <w:r w:rsidR="00AE4BF6" w:rsidRPr="002E5DDC">
              <w:rPr>
                <w:rStyle w:val="Hyperlink"/>
                <w:rFonts w:ascii="Arial" w:hAnsi="Arial" w:cs="Arial"/>
                <w:noProof/>
                <w:u w:val="none"/>
              </w:rPr>
              <w:t>Acknowledgement</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_Toc27578578 \h </w:instrText>
            </w:r>
            <w:r w:rsidR="00AE4BF6" w:rsidRPr="002E5DDC">
              <w:rPr>
                <w:noProof/>
                <w:webHidden/>
                <w:u w:val="none"/>
              </w:rPr>
            </w:r>
            <w:r w:rsidR="00AE4BF6" w:rsidRPr="002E5DDC">
              <w:rPr>
                <w:noProof/>
                <w:webHidden/>
                <w:u w:val="none"/>
              </w:rPr>
              <w:fldChar w:fldCharType="separate"/>
            </w:r>
            <w:r w:rsidR="006B166C">
              <w:rPr>
                <w:noProof/>
                <w:webHidden/>
                <w:u w:val="none"/>
              </w:rPr>
              <w:t>4</w:t>
            </w:r>
            <w:r w:rsidR="00AE4BF6" w:rsidRPr="002E5DDC">
              <w:rPr>
                <w:noProof/>
                <w:webHidden/>
                <w:u w:val="none"/>
              </w:rPr>
              <w:fldChar w:fldCharType="end"/>
            </w:r>
          </w:hyperlink>
        </w:p>
        <w:p w14:paraId="1E6255C6" w14:textId="2534DC02" w:rsidR="00AE4BF6" w:rsidRPr="002E5DDC" w:rsidRDefault="00102DDD">
          <w:pPr>
            <w:pStyle w:val="TOC1"/>
            <w:tabs>
              <w:tab w:val="right" w:leader="dot" w:pos="8487"/>
            </w:tabs>
            <w:rPr>
              <w:rFonts w:eastAsiaTheme="minorEastAsia" w:cstheme="minorBidi"/>
              <w:b w:val="0"/>
              <w:bCs w:val="0"/>
              <w:caps w:val="0"/>
              <w:noProof/>
              <w:sz w:val="24"/>
              <w:szCs w:val="24"/>
              <w:u w:val="none"/>
            </w:rPr>
          </w:pPr>
          <w:hyperlink w:anchor="_Toc27578579" w:history="1">
            <w:r w:rsidR="00AE4BF6" w:rsidRPr="002E5DDC">
              <w:rPr>
                <w:rStyle w:val="Hyperlink"/>
                <w:rFonts w:ascii="Arial" w:hAnsi="Arial" w:cs="Arial"/>
                <w:noProof/>
                <w:u w:val="none"/>
              </w:rPr>
              <w:t>ABBREVIATION</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_Toc27578579 \h </w:instrText>
            </w:r>
            <w:r w:rsidR="00AE4BF6" w:rsidRPr="002E5DDC">
              <w:rPr>
                <w:noProof/>
                <w:webHidden/>
                <w:u w:val="none"/>
              </w:rPr>
            </w:r>
            <w:r w:rsidR="00AE4BF6" w:rsidRPr="002E5DDC">
              <w:rPr>
                <w:noProof/>
                <w:webHidden/>
                <w:u w:val="none"/>
              </w:rPr>
              <w:fldChar w:fldCharType="separate"/>
            </w:r>
            <w:r w:rsidR="006B166C">
              <w:rPr>
                <w:noProof/>
                <w:webHidden/>
                <w:u w:val="none"/>
              </w:rPr>
              <w:t>7</w:t>
            </w:r>
            <w:r w:rsidR="00AE4BF6" w:rsidRPr="002E5DDC">
              <w:rPr>
                <w:noProof/>
                <w:webHidden/>
                <w:u w:val="none"/>
              </w:rPr>
              <w:fldChar w:fldCharType="end"/>
            </w:r>
          </w:hyperlink>
        </w:p>
        <w:p w14:paraId="3D815FF3" w14:textId="2424CD38" w:rsidR="00AE4BF6" w:rsidRPr="002E5DDC" w:rsidRDefault="00102DDD">
          <w:pPr>
            <w:pStyle w:val="TOC1"/>
            <w:tabs>
              <w:tab w:val="right" w:leader="dot" w:pos="8487"/>
            </w:tabs>
            <w:rPr>
              <w:rFonts w:eastAsiaTheme="minorEastAsia" w:cstheme="minorBidi"/>
              <w:b w:val="0"/>
              <w:bCs w:val="0"/>
              <w:caps w:val="0"/>
              <w:noProof/>
              <w:sz w:val="24"/>
              <w:szCs w:val="24"/>
              <w:u w:val="none"/>
            </w:rPr>
          </w:pPr>
          <w:hyperlink w:anchor="_Toc27578580" w:history="1">
            <w:r w:rsidR="00AE4BF6" w:rsidRPr="002E5DDC">
              <w:rPr>
                <w:rStyle w:val="Hyperlink"/>
                <w:rFonts w:ascii="Arial" w:hAnsi="Arial" w:cs="Arial"/>
                <w:noProof/>
                <w:u w:val="none"/>
              </w:rPr>
              <w:t>LIST OF TABLES &amp; FIGURES</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_Toc27578580 \h </w:instrText>
            </w:r>
            <w:r w:rsidR="00AE4BF6" w:rsidRPr="002E5DDC">
              <w:rPr>
                <w:noProof/>
                <w:webHidden/>
                <w:u w:val="none"/>
              </w:rPr>
            </w:r>
            <w:r w:rsidR="00AE4BF6" w:rsidRPr="002E5DDC">
              <w:rPr>
                <w:noProof/>
                <w:webHidden/>
                <w:u w:val="none"/>
              </w:rPr>
              <w:fldChar w:fldCharType="separate"/>
            </w:r>
            <w:r w:rsidR="006B166C">
              <w:rPr>
                <w:noProof/>
                <w:webHidden/>
                <w:u w:val="none"/>
              </w:rPr>
              <w:t>8</w:t>
            </w:r>
            <w:r w:rsidR="00AE4BF6" w:rsidRPr="002E5DDC">
              <w:rPr>
                <w:noProof/>
                <w:webHidden/>
                <w:u w:val="none"/>
              </w:rPr>
              <w:fldChar w:fldCharType="end"/>
            </w:r>
          </w:hyperlink>
        </w:p>
        <w:p w14:paraId="274AD102" w14:textId="4F6D8BA9" w:rsidR="00AE4BF6" w:rsidRPr="002E5DDC" w:rsidRDefault="00102DDD">
          <w:pPr>
            <w:pStyle w:val="TOC1"/>
            <w:tabs>
              <w:tab w:val="right" w:leader="dot" w:pos="8487"/>
            </w:tabs>
            <w:rPr>
              <w:rFonts w:eastAsiaTheme="minorEastAsia" w:cstheme="minorBidi"/>
              <w:b w:val="0"/>
              <w:bCs w:val="0"/>
              <w:caps w:val="0"/>
              <w:noProof/>
              <w:sz w:val="24"/>
              <w:szCs w:val="24"/>
              <w:u w:val="none"/>
            </w:rPr>
          </w:pPr>
          <w:hyperlink w:anchor="_Toc27578581" w:history="1">
            <w:r w:rsidR="00AE4BF6" w:rsidRPr="002E5DDC">
              <w:rPr>
                <w:rStyle w:val="Hyperlink"/>
                <w:rFonts w:ascii="Arial" w:hAnsi="Arial" w:cs="Arial"/>
                <w:noProof/>
                <w:u w:val="none"/>
              </w:rPr>
              <w:t>Chapter 1 Introduction</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_Toc27578581 \h </w:instrText>
            </w:r>
            <w:r w:rsidR="00AE4BF6" w:rsidRPr="002E5DDC">
              <w:rPr>
                <w:noProof/>
                <w:webHidden/>
                <w:u w:val="none"/>
              </w:rPr>
            </w:r>
            <w:r w:rsidR="00AE4BF6" w:rsidRPr="002E5DDC">
              <w:rPr>
                <w:noProof/>
                <w:webHidden/>
                <w:u w:val="none"/>
              </w:rPr>
              <w:fldChar w:fldCharType="separate"/>
            </w:r>
            <w:r w:rsidR="006B166C">
              <w:rPr>
                <w:noProof/>
                <w:webHidden/>
                <w:u w:val="none"/>
              </w:rPr>
              <w:t>9</w:t>
            </w:r>
            <w:r w:rsidR="00AE4BF6" w:rsidRPr="002E5DDC">
              <w:rPr>
                <w:noProof/>
                <w:webHidden/>
                <w:u w:val="none"/>
              </w:rPr>
              <w:fldChar w:fldCharType="end"/>
            </w:r>
          </w:hyperlink>
        </w:p>
        <w:p w14:paraId="7C410A7F" w14:textId="410FDE66" w:rsidR="00AE4BF6" w:rsidRPr="002E5DDC" w:rsidRDefault="00102DDD">
          <w:pPr>
            <w:pStyle w:val="TOC2"/>
            <w:tabs>
              <w:tab w:val="left" w:pos="546"/>
            </w:tabs>
            <w:rPr>
              <w:rFonts w:eastAsiaTheme="minorEastAsia" w:cstheme="minorBidi"/>
              <w:b w:val="0"/>
              <w:bCs w:val="0"/>
              <w:smallCaps w:val="0"/>
              <w:noProof/>
              <w:sz w:val="24"/>
              <w:szCs w:val="24"/>
            </w:rPr>
          </w:pPr>
          <w:hyperlink w:anchor="_Toc27578582" w:history="1">
            <w:r w:rsidR="00AE4BF6" w:rsidRPr="002E5DDC">
              <w:rPr>
                <w:rStyle w:val="Hyperlink"/>
                <w:rFonts w:ascii="Arial" w:hAnsi="Arial" w:cs="Arial"/>
                <w:noProof/>
                <w:u w:val="none"/>
              </w:rPr>
              <w:t>1.1</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Background</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_Toc27578582 \h </w:instrText>
            </w:r>
            <w:r w:rsidR="00AE4BF6" w:rsidRPr="002E5DDC">
              <w:rPr>
                <w:noProof/>
                <w:webHidden/>
              </w:rPr>
            </w:r>
            <w:r w:rsidR="00AE4BF6" w:rsidRPr="002E5DDC">
              <w:rPr>
                <w:noProof/>
                <w:webHidden/>
              </w:rPr>
              <w:fldChar w:fldCharType="separate"/>
            </w:r>
            <w:r w:rsidR="006B166C">
              <w:rPr>
                <w:noProof/>
                <w:webHidden/>
              </w:rPr>
              <w:t>9</w:t>
            </w:r>
            <w:r w:rsidR="00AE4BF6" w:rsidRPr="002E5DDC">
              <w:rPr>
                <w:noProof/>
                <w:webHidden/>
              </w:rPr>
              <w:fldChar w:fldCharType="end"/>
            </w:r>
          </w:hyperlink>
        </w:p>
        <w:p w14:paraId="663CA2FE" w14:textId="2ACFA0A9" w:rsidR="00AE4BF6" w:rsidRPr="002E5DDC" w:rsidRDefault="00102DDD">
          <w:pPr>
            <w:pStyle w:val="TOC2"/>
            <w:tabs>
              <w:tab w:val="left" w:pos="546"/>
            </w:tabs>
            <w:rPr>
              <w:rFonts w:eastAsiaTheme="minorEastAsia" w:cstheme="minorBidi"/>
              <w:b w:val="0"/>
              <w:bCs w:val="0"/>
              <w:smallCaps w:val="0"/>
              <w:noProof/>
              <w:sz w:val="24"/>
              <w:szCs w:val="24"/>
            </w:rPr>
          </w:pPr>
          <w:hyperlink w:anchor="_Toc27578583" w:history="1">
            <w:r w:rsidR="00AE4BF6" w:rsidRPr="002E5DDC">
              <w:rPr>
                <w:rStyle w:val="Hyperlink"/>
                <w:rFonts w:ascii="Arial" w:hAnsi="Arial" w:cs="Arial"/>
                <w:noProof/>
                <w:u w:val="none"/>
              </w:rPr>
              <w:t>1.2</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Problem Statement</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_Toc27578583 \h </w:instrText>
            </w:r>
            <w:r w:rsidR="00AE4BF6" w:rsidRPr="002E5DDC">
              <w:rPr>
                <w:noProof/>
                <w:webHidden/>
              </w:rPr>
            </w:r>
            <w:r w:rsidR="00AE4BF6" w:rsidRPr="002E5DDC">
              <w:rPr>
                <w:noProof/>
                <w:webHidden/>
              </w:rPr>
              <w:fldChar w:fldCharType="separate"/>
            </w:r>
            <w:r w:rsidR="006B166C">
              <w:rPr>
                <w:noProof/>
                <w:webHidden/>
              </w:rPr>
              <w:t>11</w:t>
            </w:r>
            <w:r w:rsidR="00AE4BF6" w:rsidRPr="002E5DDC">
              <w:rPr>
                <w:noProof/>
                <w:webHidden/>
              </w:rPr>
              <w:fldChar w:fldCharType="end"/>
            </w:r>
          </w:hyperlink>
        </w:p>
        <w:p w14:paraId="3F45EA07" w14:textId="0602C301" w:rsidR="00AE4BF6" w:rsidRPr="002E5DDC" w:rsidRDefault="00102DDD">
          <w:pPr>
            <w:pStyle w:val="TOC2"/>
            <w:tabs>
              <w:tab w:val="left" w:pos="546"/>
            </w:tabs>
            <w:rPr>
              <w:rFonts w:eastAsiaTheme="minorEastAsia" w:cstheme="minorBidi"/>
              <w:b w:val="0"/>
              <w:bCs w:val="0"/>
              <w:smallCaps w:val="0"/>
              <w:noProof/>
              <w:sz w:val="24"/>
              <w:szCs w:val="24"/>
            </w:rPr>
          </w:pPr>
          <w:hyperlink w:anchor="_Toc27578584" w:history="1">
            <w:r w:rsidR="00AE4BF6" w:rsidRPr="002E5DDC">
              <w:rPr>
                <w:rStyle w:val="Hyperlink"/>
                <w:rFonts w:ascii="Arial" w:hAnsi="Arial" w:cs="Arial"/>
                <w:noProof/>
                <w:u w:val="none"/>
              </w:rPr>
              <w:t>1.3</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Research Objectives</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_Toc27578584 \h </w:instrText>
            </w:r>
            <w:r w:rsidR="00AE4BF6" w:rsidRPr="002E5DDC">
              <w:rPr>
                <w:noProof/>
                <w:webHidden/>
              </w:rPr>
            </w:r>
            <w:r w:rsidR="00AE4BF6" w:rsidRPr="002E5DDC">
              <w:rPr>
                <w:noProof/>
                <w:webHidden/>
              </w:rPr>
              <w:fldChar w:fldCharType="separate"/>
            </w:r>
            <w:r w:rsidR="006B166C">
              <w:rPr>
                <w:noProof/>
                <w:webHidden/>
              </w:rPr>
              <w:t>13</w:t>
            </w:r>
            <w:r w:rsidR="00AE4BF6" w:rsidRPr="002E5DDC">
              <w:rPr>
                <w:noProof/>
                <w:webHidden/>
              </w:rPr>
              <w:fldChar w:fldCharType="end"/>
            </w:r>
          </w:hyperlink>
        </w:p>
        <w:p w14:paraId="782FDCC4" w14:textId="7AAEE0AA" w:rsidR="00AE4BF6" w:rsidRPr="002E5DDC" w:rsidRDefault="00102DDD">
          <w:pPr>
            <w:pStyle w:val="TOC2"/>
            <w:tabs>
              <w:tab w:val="left" w:pos="546"/>
            </w:tabs>
            <w:rPr>
              <w:rFonts w:eastAsiaTheme="minorEastAsia" w:cstheme="minorBidi"/>
              <w:b w:val="0"/>
              <w:bCs w:val="0"/>
              <w:smallCaps w:val="0"/>
              <w:noProof/>
              <w:sz w:val="24"/>
              <w:szCs w:val="24"/>
            </w:rPr>
          </w:pPr>
          <w:hyperlink w:anchor="_Toc27578585" w:history="1">
            <w:r w:rsidR="00AE4BF6" w:rsidRPr="002E5DDC">
              <w:rPr>
                <w:rStyle w:val="Hyperlink"/>
                <w:rFonts w:ascii="Arial" w:hAnsi="Arial" w:cs="Arial"/>
                <w:noProof/>
                <w:u w:val="none"/>
              </w:rPr>
              <w:t>1.4</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Significance of the Study</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_Toc27578585 \h </w:instrText>
            </w:r>
            <w:r w:rsidR="00AE4BF6" w:rsidRPr="002E5DDC">
              <w:rPr>
                <w:noProof/>
                <w:webHidden/>
              </w:rPr>
            </w:r>
            <w:r w:rsidR="00AE4BF6" w:rsidRPr="002E5DDC">
              <w:rPr>
                <w:noProof/>
                <w:webHidden/>
              </w:rPr>
              <w:fldChar w:fldCharType="separate"/>
            </w:r>
            <w:r w:rsidR="006B166C">
              <w:rPr>
                <w:noProof/>
                <w:webHidden/>
              </w:rPr>
              <w:t>14</w:t>
            </w:r>
            <w:r w:rsidR="00AE4BF6" w:rsidRPr="002E5DDC">
              <w:rPr>
                <w:noProof/>
                <w:webHidden/>
              </w:rPr>
              <w:fldChar w:fldCharType="end"/>
            </w:r>
          </w:hyperlink>
        </w:p>
        <w:p w14:paraId="5F353D51" w14:textId="310DCFC6" w:rsidR="00AE4BF6" w:rsidRPr="002E5DDC" w:rsidRDefault="00102DDD">
          <w:pPr>
            <w:pStyle w:val="TOC3"/>
            <w:tabs>
              <w:tab w:val="left" w:pos="729"/>
              <w:tab w:val="right" w:leader="dot" w:pos="8487"/>
            </w:tabs>
            <w:rPr>
              <w:rFonts w:eastAsiaTheme="minorEastAsia" w:cstheme="minorBidi"/>
              <w:smallCaps w:val="0"/>
              <w:noProof/>
              <w:sz w:val="24"/>
              <w:szCs w:val="24"/>
            </w:rPr>
          </w:pPr>
          <w:hyperlink w:anchor="_Toc27578586" w:history="1">
            <w:r w:rsidR="00AE4BF6" w:rsidRPr="002E5DDC">
              <w:rPr>
                <w:rStyle w:val="Hyperlink"/>
                <w:rFonts w:ascii="Arial" w:hAnsi="Arial" w:cs="Arial"/>
                <w:b/>
                <w:bCs/>
                <w:noProof/>
                <w:u w:val="none"/>
              </w:rPr>
              <w:t>1.4.1</w:t>
            </w:r>
            <w:r w:rsidR="00AE4BF6" w:rsidRPr="002E5DDC">
              <w:rPr>
                <w:rFonts w:eastAsiaTheme="minorEastAsia" w:cstheme="minorBidi"/>
                <w:smallCaps w:val="0"/>
                <w:noProof/>
                <w:sz w:val="24"/>
                <w:szCs w:val="24"/>
              </w:rPr>
              <w:tab/>
            </w:r>
            <w:r w:rsidR="00AE4BF6" w:rsidRPr="002E5DDC">
              <w:rPr>
                <w:rStyle w:val="Hyperlink"/>
                <w:rFonts w:ascii="Arial" w:hAnsi="Arial" w:cs="Arial"/>
                <w:b/>
                <w:bCs/>
                <w:noProof/>
                <w:u w:val="none"/>
              </w:rPr>
              <w:t>Significance to Researchers and Academicians</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_Toc27578586 \h </w:instrText>
            </w:r>
            <w:r w:rsidR="00AE4BF6" w:rsidRPr="002E5DDC">
              <w:rPr>
                <w:noProof/>
                <w:webHidden/>
              </w:rPr>
            </w:r>
            <w:r w:rsidR="00AE4BF6" w:rsidRPr="002E5DDC">
              <w:rPr>
                <w:noProof/>
                <w:webHidden/>
              </w:rPr>
              <w:fldChar w:fldCharType="separate"/>
            </w:r>
            <w:r w:rsidR="006B166C">
              <w:rPr>
                <w:noProof/>
                <w:webHidden/>
              </w:rPr>
              <w:t>14</w:t>
            </w:r>
            <w:r w:rsidR="00AE4BF6" w:rsidRPr="002E5DDC">
              <w:rPr>
                <w:noProof/>
                <w:webHidden/>
              </w:rPr>
              <w:fldChar w:fldCharType="end"/>
            </w:r>
          </w:hyperlink>
        </w:p>
        <w:p w14:paraId="187E3ED8" w14:textId="046399E5" w:rsidR="00AE4BF6" w:rsidRPr="002E5DDC" w:rsidRDefault="00102DDD">
          <w:pPr>
            <w:pStyle w:val="TOC3"/>
            <w:tabs>
              <w:tab w:val="left" w:pos="729"/>
              <w:tab w:val="right" w:leader="dot" w:pos="8487"/>
            </w:tabs>
            <w:rPr>
              <w:rFonts w:eastAsiaTheme="minorEastAsia" w:cstheme="minorBidi"/>
              <w:smallCaps w:val="0"/>
              <w:noProof/>
              <w:sz w:val="24"/>
              <w:szCs w:val="24"/>
            </w:rPr>
          </w:pPr>
          <w:hyperlink w:anchor="_Toc27578587" w:history="1">
            <w:r w:rsidR="00AE4BF6" w:rsidRPr="002E5DDC">
              <w:rPr>
                <w:rStyle w:val="Hyperlink"/>
                <w:rFonts w:ascii="Arial" w:hAnsi="Arial" w:cs="Arial"/>
                <w:b/>
                <w:bCs/>
                <w:noProof/>
                <w:u w:val="none"/>
              </w:rPr>
              <w:t>1.4.2</w:t>
            </w:r>
            <w:r w:rsidR="00AE4BF6" w:rsidRPr="002E5DDC">
              <w:rPr>
                <w:rFonts w:eastAsiaTheme="minorEastAsia" w:cstheme="minorBidi"/>
                <w:smallCaps w:val="0"/>
                <w:noProof/>
                <w:sz w:val="24"/>
                <w:szCs w:val="24"/>
              </w:rPr>
              <w:tab/>
            </w:r>
            <w:r w:rsidR="00AE4BF6" w:rsidRPr="002E5DDC">
              <w:rPr>
                <w:rStyle w:val="Hyperlink"/>
                <w:rFonts w:ascii="Arial" w:hAnsi="Arial" w:cs="Arial"/>
                <w:b/>
                <w:bCs/>
                <w:noProof/>
                <w:u w:val="none"/>
              </w:rPr>
              <w:t>Significance to Businesses and Banks</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_Toc27578587 \h </w:instrText>
            </w:r>
            <w:r w:rsidR="00AE4BF6" w:rsidRPr="002E5DDC">
              <w:rPr>
                <w:noProof/>
                <w:webHidden/>
              </w:rPr>
            </w:r>
            <w:r w:rsidR="00AE4BF6" w:rsidRPr="002E5DDC">
              <w:rPr>
                <w:noProof/>
                <w:webHidden/>
              </w:rPr>
              <w:fldChar w:fldCharType="separate"/>
            </w:r>
            <w:r w:rsidR="006B166C">
              <w:rPr>
                <w:noProof/>
                <w:webHidden/>
              </w:rPr>
              <w:t>14</w:t>
            </w:r>
            <w:r w:rsidR="00AE4BF6" w:rsidRPr="002E5DDC">
              <w:rPr>
                <w:noProof/>
                <w:webHidden/>
              </w:rPr>
              <w:fldChar w:fldCharType="end"/>
            </w:r>
          </w:hyperlink>
        </w:p>
        <w:p w14:paraId="3E3DA5F5" w14:textId="29F036D7" w:rsidR="00AE4BF6" w:rsidRPr="002E5DDC" w:rsidRDefault="00102DDD">
          <w:pPr>
            <w:pStyle w:val="TOC3"/>
            <w:tabs>
              <w:tab w:val="left" w:pos="729"/>
              <w:tab w:val="right" w:leader="dot" w:pos="8487"/>
            </w:tabs>
            <w:rPr>
              <w:rFonts w:eastAsiaTheme="minorEastAsia" w:cstheme="minorBidi"/>
              <w:smallCaps w:val="0"/>
              <w:noProof/>
              <w:sz w:val="24"/>
              <w:szCs w:val="24"/>
            </w:rPr>
          </w:pPr>
          <w:hyperlink w:anchor="_Toc27578588" w:history="1">
            <w:r w:rsidR="00AE4BF6" w:rsidRPr="002E5DDC">
              <w:rPr>
                <w:rStyle w:val="Hyperlink"/>
                <w:rFonts w:ascii="Arial" w:hAnsi="Arial" w:cs="Arial"/>
                <w:b/>
                <w:bCs/>
                <w:noProof/>
                <w:u w:val="none"/>
              </w:rPr>
              <w:t>1.4.3</w:t>
            </w:r>
            <w:r w:rsidR="00AE4BF6" w:rsidRPr="002E5DDC">
              <w:rPr>
                <w:rFonts w:eastAsiaTheme="minorEastAsia" w:cstheme="minorBidi"/>
                <w:smallCaps w:val="0"/>
                <w:noProof/>
                <w:sz w:val="24"/>
                <w:szCs w:val="24"/>
              </w:rPr>
              <w:tab/>
            </w:r>
            <w:r w:rsidR="00AE4BF6" w:rsidRPr="002E5DDC">
              <w:rPr>
                <w:rStyle w:val="Hyperlink"/>
                <w:rFonts w:ascii="Arial" w:hAnsi="Arial" w:cs="Arial"/>
                <w:b/>
                <w:bCs/>
                <w:noProof/>
                <w:u w:val="none"/>
              </w:rPr>
              <w:t>Significance to Government</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_Toc27578588 \h </w:instrText>
            </w:r>
            <w:r w:rsidR="00AE4BF6" w:rsidRPr="002E5DDC">
              <w:rPr>
                <w:noProof/>
                <w:webHidden/>
              </w:rPr>
            </w:r>
            <w:r w:rsidR="00AE4BF6" w:rsidRPr="002E5DDC">
              <w:rPr>
                <w:noProof/>
                <w:webHidden/>
              </w:rPr>
              <w:fldChar w:fldCharType="separate"/>
            </w:r>
            <w:r w:rsidR="006B166C">
              <w:rPr>
                <w:noProof/>
                <w:webHidden/>
              </w:rPr>
              <w:t>15</w:t>
            </w:r>
            <w:r w:rsidR="00AE4BF6" w:rsidRPr="002E5DDC">
              <w:rPr>
                <w:noProof/>
                <w:webHidden/>
              </w:rPr>
              <w:fldChar w:fldCharType="end"/>
            </w:r>
          </w:hyperlink>
        </w:p>
        <w:p w14:paraId="5E147867" w14:textId="3F83905F" w:rsidR="00AE4BF6" w:rsidRPr="002E5DDC" w:rsidRDefault="00102DDD">
          <w:pPr>
            <w:pStyle w:val="TOC2"/>
            <w:tabs>
              <w:tab w:val="left" w:pos="546"/>
            </w:tabs>
            <w:rPr>
              <w:rFonts w:eastAsiaTheme="minorEastAsia" w:cstheme="minorBidi"/>
              <w:b w:val="0"/>
              <w:bCs w:val="0"/>
              <w:smallCaps w:val="0"/>
              <w:noProof/>
              <w:sz w:val="24"/>
              <w:szCs w:val="24"/>
            </w:rPr>
          </w:pPr>
          <w:hyperlink w:anchor="_Toc27578589" w:history="1">
            <w:r w:rsidR="00AE4BF6" w:rsidRPr="002E5DDC">
              <w:rPr>
                <w:rStyle w:val="Hyperlink"/>
                <w:rFonts w:ascii="Arial" w:hAnsi="Arial" w:cs="Arial"/>
                <w:noProof/>
                <w:u w:val="none"/>
              </w:rPr>
              <w:t>1.5</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Scope of the Study</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_Toc27578589 \h </w:instrText>
            </w:r>
            <w:r w:rsidR="00AE4BF6" w:rsidRPr="002E5DDC">
              <w:rPr>
                <w:noProof/>
                <w:webHidden/>
              </w:rPr>
            </w:r>
            <w:r w:rsidR="00AE4BF6" w:rsidRPr="002E5DDC">
              <w:rPr>
                <w:noProof/>
                <w:webHidden/>
              </w:rPr>
              <w:fldChar w:fldCharType="separate"/>
            </w:r>
            <w:r w:rsidR="006B166C">
              <w:rPr>
                <w:noProof/>
                <w:webHidden/>
              </w:rPr>
              <w:t>15</w:t>
            </w:r>
            <w:r w:rsidR="00AE4BF6" w:rsidRPr="002E5DDC">
              <w:rPr>
                <w:noProof/>
                <w:webHidden/>
              </w:rPr>
              <w:fldChar w:fldCharType="end"/>
            </w:r>
          </w:hyperlink>
        </w:p>
        <w:p w14:paraId="525BDD6F" w14:textId="1F7D4C6E" w:rsidR="00AE4BF6" w:rsidRPr="002E5DDC" w:rsidRDefault="00102DDD">
          <w:pPr>
            <w:pStyle w:val="TOC2"/>
            <w:tabs>
              <w:tab w:val="left" w:pos="546"/>
            </w:tabs>
            <w:rPr>
              <w:rFonts w:eastAsiaTheme="minorEastAsia" w:cstheme="minorBidi"/>
              <w:b w:val="0"/>
              <w:bCs w:val="0"/>
              <w:smallCaps w:val="0"/>
              <w:noProof/>
              <w:sz w:val="24"/>
              <w:szCs w:val="24"/>
            </w:rPr>
          </w:pPr>
          <w:hyperlink w:anchor="_Toc27578590" w:history="1">
            <w:r w:rsidR="00AE4BF6" w:rsidRPr="002E5DDC">
              <w:rPr>
                <w:rStyle w:val="Hyperlink"/>
                <w:rFonts w:ascii="Arial" w:hAnsi="Arial" w:cs="Arial"/>
                <w:noProof/>
                <w:u w:val="none"/>
              </w:rPr>
              <w:t>1.6</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Ethical Consideration</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_Toc27578590 \h </w:instrText>
            </w:r>
            <w:r w:rsidR="00AE4BF6" w:rsidRPr="002E5DDC">
              <w:rPr>
                <w:noProof/>
                <w:webHidden/>
              </w:rPr>
            </w:r>
            <w:r w:rsidR="00AE4BF6" w:rsidRPr="002E5DDC">
              <w:rPr>
                <w:noProof/>
                <w:webHidden/>
              </w:rPr>
              <w:fldChar w:fldCharType="separate"/>
            </w:r>
            <w:r w:rsidR="006B166C">
              <w:rPr>
                <w:noProof/>
                <w:webHidden/>
              </w:rPr>
              <w:t>15</w:t>
            </w:r>
            <w:r w:rsidR="00AE4BF6" w:rsidRPr="002E5DDC">
              <w:rPr>
                <w:noProof/>
                <w:webHidden/>
              </w:rPr>
              <w:fldChar w:fldCharType="end"/>
            </w:r>
          </w:hyperlink>
        </w:p>
        <w:p w14:paraId="294AD93F" w14:textId="7CB45737" w:rsidR="00AE4BF6" w:rsidRPr="002E5DDC" w:rsidRDefault="00102DDD">
          <w:pPr>
            <w:pStyle w:val="TOC1"/>
            <w:tabs>
              <w:tab w:val="right" w:leader="dot" w:pos="8487"/>
            </w:tabs>
            <w:rPr>
              <w:rFonts w:eastAsiaTheme="minorEastAsia" w:cstheme="minorBidi"/>
              <w:b w:val="0"/>
              <w:bCs w:val="0"/>
              <w:caps w:val="0"/>
              <w:noProof/>
              <w:sz w:val="24"/>
              <w:szCs w:val="24"/>
              <w:u w:val="none"/>
            </w:rPr>
          </w:pPr>
          <w:hyperlink w:anchor="_Toc27578591" w:history="1">
            <w:r w:rsidR="00AE4BF6" w:rsidRPr="002E5DDC">
              <w:rPr>
                <w:rStyle w:val="Hyperlink"/>
                <w:rFonts w:ascii="Arial" w:hAnsi="Arial" w:cs="Arial"/>
                <w:noProof/>
                <w:u w:val="none"/>
              </w:rPr>
              <w:t>Chapter 2 Literature Reviews</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_Toc27578591 \h </w:instrText>
            </w:r>
            <w:r w:rsidR="00AE4BF6" w:rsidRPr="002E5DDC">
              <w:rPr>
                <w:noProof/>
                <w:webHidden/>
                <w:u w:val="none"/>
              </w:rPr>
            </w:r>
            <w:r w:rsidR="00AE4BF6" w:rsidRPr="002E5DDC">
              <w:rPr>
                <w:noProof/>
                <w:webHidden/>
                <w:u w:val="none"/>
              </w:rPr>
              <w:fldChar w:fldCharType="separate"/>
            </w:r>
            <w:r w:rsidR="006B166C">
              <w:rPr>
                <w:noProof/>
                <w:webHidden/>
                <w:u w:val="none"/>
              </w:rPr>
              <w:t>17</w:t>
            </w:r>
            <w:r w:rsidR="00AE4BF6" w:rsidRPr="002E5DDC">
              <w:rPr>
                <w:noProof/>
                <w:webHidden/>
                <w:u w:val="none"/>
              </w:rPr>
              <w:fldChar w:fldCharType="end"/>
            </w:r>
          </w:hyperlink>
        </w:p>
        <w:p w14:paraId="377D0B45" w14:textId="52204581" w:rsidR="00AE4BF6" w:rsidRPr="002E5DDC" w:rsidRDefault="00102DDD">
          <w:pPr>
            <w:pStyle w:val="TOC2"/>
            <w:tabs>
              <w:tab w:val="left" w:pos="546"/>
            </w:tabs>
            <w:rPr>
              <w:rFonts w:eastAsiaTheme="minorEastAsia" w:cstheme="minorBidi"/>
              <w:b w:val="0"/>
              <w:bCs w:val="0"/>
              <w:smallCaps w:val="0"/>
              <w:noProof/>
              <w:sz w:val="24"/>
              <w:szCs w:val="24"/>
            </w:rPr>
          </w:pPr>
          <w:hyperlink w:anchor="_Toc27578592" w:history="1">
            <w:r w:rsidR="00AE4BF6" w:rsidRPr="002E5DDC">
              <w:rPr>
                <w:rStyle w:val="Hyperlink"/>
                <w:rFonts w:ascii="Arial" w:hAnsi="Arial" w:cs="Arial"/>
                <w:noProof/>
                <w:u w:val="none"/>
              </w:rPr>
              <w:t>2.1</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Introduction</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_Toc27578592 \h </w:instrText>
            </w:r>
            <w:r w:rsidR="00AE4BF6" w:rsidRPr="002E5DDC">
              <w:rPr>
                <w:noProof/>
                <w:webHidden/>
              </w:rPr>
            </w:r>
            <w:r w:rsidR="00AE4BF6" w:rsidRPr="002E5DDC">
              <w:rPr>
                <w:noProof/>
                <w:webHidden/>
              </w:rPr>
              <w:fldChar w:fldCharType="separate"/>
            </w:r>
            <w:r w:rsidR="006B166C">
              <w:rPr>
                <w:noProof/>
                <w:webHidden/>
              </w:rPr>
              <w:t>17</w:t>
            </w:r>
            <w:r w:rsidR="00AE4BF6" w:rsidRPr="002E5DDC">
              <w:rPr>
                <w:noProof/>
                <w:webHidden/>
              </w:rPr>
              <w:fldChar w:fldCharType="end"/>
            </w:r>
          </w:hyperlink>
        </w:p>
        <w:p w14:paraId="5326378C" w14:textId="3F29981C" w:rsidR="00AE4BF6" w:rsidRPr="002E5DDC" w:rsidRDefault="00102DDD">
          <w:pPr>
            <w:pStyle w:val="TOC2"/>
            <w:tabs>
              <w:tab w:val="left" w:pos="546"/>
            </w:tabs>
            <w:rPr>
              <w:rFonts w:eastAsiaTheme="minorEastAsia" w:cstheme="minorBidi"/>
              <w:b w:val="0"/>
              <w:bCs w:val="0"/>
              <w:smallCaps w:val="0"/>
              <w:noProof/>
              <w:sz w:val="24"/>
              <w:szCs w:val="24"/>
            </w:rPr>
          </w:pPr>
          <w:hyperlink w:anchor="_Toc27578593" w:history="1">
            <w:r w:rsidR="00AE4BF6" w:rsidRPr="002E5DDC">
              <w:rPr>
                <w:rStyle w:val="Hyperlink"/>
                <w:rFonts w:ascii="Arial" w:hAnsi="Arial" w:cs="Arial"/>
                <w:noProof/>
                <w:u w:val="none"/>
              </w:rPr>
              <w:t>2.2</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 xml:space="preserve">Overview of Conventional </w:t>
            </w:r>
            <w:r w:rsidR="00AE4BF6" w:rsidRPr="002E5DDC">
              <w:rPr>
                <w:rStyle w:val="Hyperlink"/>
                <w:rFonts w:ascii="Arial" w:hAnsi="Arial" w:cs="Arial"/>
                <w:noProof/>
                <w:u w:val="none"/>
                <w:lang w:val="en-US"/>
              </w:rPr>
              <w:t xml:space="preserve">and </w:t>
            </w:r>
            <w:r w:rsidR="00AE4BF6" w:rsidRPr="002E5DDC">
              <w:rPr>
                <w:rStyle w:val="Hyperlink"/>
                <w:rFonts w:ascii="Arial" w:hAnsi="Arial" w:cs="Arial"/>
                <w:noProof/>
                <w:u w:val="none"/>
              </w:rPr>
              <w:t>Islamic Banking in Malaysia</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_Toc27578593 \h </w:instrText>
            </w:r>
            <w:r w:rsidR="00AE4BF6" w:rsidRPr="002E5DDC">
              <w:rPr>
                <w:noProof/>
                <w:webHidden/>
              </w:rPr>
            </w:r>
            <w:r w:rsidR="00AE4BF6" w:rsidRPr="002E5DDC">
              <w:rPr>
                <w:noProof/>
                <w:webHidden/>
              </w:rPr>
              <w:fldChar w:fldCharType="separate"/>
            </w:r>
            <w:r w:rsidR="006B166C">
              <w:rPr>
                <w:noProof/>
                <w:webHidden/>
              </w:rPr>
              <w:t>17</w:t>
            </w:r>
            <w:r w:rsidR="00AE4BF6" w:rsidRPr="002E5DDC">
              <w:rPr>
                <w:noProof/>
                <w:webHidden/>
              </w:rPr>
              <w:fldChar w:fldCharType="end"/>
            </w:r>
          </w:hyperlink>
        </w:p>
        <w:p w14:paraId="7C2DDBC2" w14:textId="7900BBB5" w:rsidR="00AE4BF6" w:rsidRPr="002E5DDC" w:rsidRDefault="00102DDD">
          <w:pPr>
            <w:pStyle w:val="TOC2"/>
            <w:tabs>
              <w:tab w:val="left" w:pos="546"/>
            </w:tabs>
            <w:rPr>
              <w:rFonts w:eastAsiaTheme="minorEastAsia" w:cstheme="minorBidi"/>
              <w:b w:val="0"/>
              <w:bCs w:val="0"/>
              <w:smallCaps w:val="0"/>
              <w:noProof/>
              <w:sz w:val="24"/>
              <w:szCs w:val="24"/>
            </w:rPr>
          </w:pPr>
          <w:hyperlink w:anchor="_Toc27578594" w:history="1">
            <w:r w:rsidR="00AE4BF6" w:rsidRPr="002E5DDC">
              <w:rPr>
                <w:rStyle w:val="Hyperlink"/>
                <w:rFonts w:ascii="Arial" w:hAnsi="Arial" w:cs="Arial"/>
                <w:noProof/>
                <w:u w:val="none"/>
              </w:rPr>
              <w:t>2.3</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Theoretical Review</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_Toc27578594 \h </w:instrText>
            </w:r>
            <w:r w:rsidR="00AE4BF6" w:rsidRPr="002E5DDC">
              <w:rPr>
                <w:noProof/>
                <w:webHidden/>
              </w:rPr>
            </w:r>
            <w:r w:rsidR="00AE4BF6" w:rsidRPr="002E5DDC">
              <w:rPr>
                <w:noProof/>
                <w:webHidden/>
              </w:rPr>
              <w:fldChar w:fldCharType="separate"/>
            </w:r>
            <w:r w:rsidR="006B166C">
              <w:rPr>
                <w:noProof/>
                <w:webHidden/>
              </w:rPr>
              <w:t>19</w:t>
            </w:r>
            <w:r w:rsidR="00AE4BF6" w:rsidRPr="002E5DDC">
              <w:rPr>
                <w:noProof/>
                <w:webHidden/>
              </w:rPr>
              <w:fldChar w:fldCharType="end"/>
            </w:r>
          </w:hyperlink>
        </w:p>
        <w:p w14:paraId="0654A2E2" w14:textId="1AA18E7B" w:rsidR="00AE4BF6" w:rsidRPr="002E5DDC" w:rsidRDefault="00102DDD">
          <w:pPr>
            <w:pStyle w:val="TOC3"/>
            <w:tabs>
              <w:tab w:val="left" w:pos="729"/>
              <w:tab w:val="right" w:leader="dot" w:pos="8487"/>
            </w:tabs>
            <w:rPr>
              <w:rFonts w:eastAsiaTheme="minorEastAsia" w:cstheme="minorBidi"/>
              <w:smallCaps w:val="0"/>
              <w:noProof/>
              <w:sz w:val="24"/>
              <w:szCs w:val="24"/>
            </w:rPr>
          </w:pPr>
          <w:hyperlink w:anchor="_Toc27578595" w:history="1">
            <w:r w:rsidR="00AE4BF6" w:rsidRPr="002E5DDC">
              <w:rPr>
                <w:rStyle w:val="Hyperlink"/>
                <w:rFonts w:ascii="Arial" w:hAnsi="Arial" w:cs="Arial"/>
                <w:noProof/>
                <w:u w:val="none"/>
              </w:rPr>
              <w:t>2.3.1</w:t>
            </w:r>
            <w:r w:rsidR="00AE4BF6" w:rsidRPr="002E5DDC">
              <w:rPr>
                <w:rFonts w:eastAsiaTheme="minorEastAsia" w:cstheme="minorBidi"/>
                <w:smallCaps w:val="0"/>
                <w:noProof/>
                <w:sz w:val="24"/>
                <w:szCs w:val="24"/>
              </w:rPr>
              <w:tab/>
            </w:r>
            <w:r w:rsidR="00AE4BF6" w:rsidRPr="002E5DDC">
              <w:rPr>
                <w:rStyle w:val="Hyperlink"/>
                <w:rFonts w:ascii="Arial" w:hAnsi="Arial" w:cs="Arial"/>
                <w:noProof/>
                <w:u w:val="none"/>
              </w:rPr>
              <w:t>Loanable Funds Theory</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_Toc27578595 \h </w:instrText>
            </w:r>
            <w:r w:rsidR="00AE4BF6" w:rsidRPr="002E5DDC">
              <w:rPr>
                <w:noProof/>
                <w:webHidden/>
              </w:rPr>
            </w:r>
            <w:r w:rsidR="00AE4BF6" w:rsidRPr="002E5DDC">
              <w:rPr>
                <w:noProof/>
                <w:webHidden/>
              </w:rPr>
              <w:fldChar w:fldCharType="separate"/>
            </w:r>
            <w:r w:rsidR="006B166C">
              <w:rPr>
                <w:noProof/>
                <w:webHidden/>
              </w:rPr>
              <w:t>19</w:t>
            </w:r>
            <w:r w:rsidR="00AE4BF6" w:rsidRPr="002E5DDC">
              <w:rPr>
                <w:noProof/>
                <w:webHidden/>
              </w:rPr>
              <w:fldChar w:fldCharType="end"/>
            </w:r>
          </w:hyperlink>
        </w:p>
        <w:p w14:paraId="77F95FE3" w14:textId="56937CB0" w:rsidR="00AE4BF6" w:rsidRPr="002E5DDC" w:rsidRDefault="00102DDD">
          <w:pPr>
            <w:pStyle w:val="TOC3"/>
            <w:tabs>
              <w:tab w:val="left" w:pos="729"/>
              <w:tab w:val="right" w:leader="dot" w:pos="8487"/>
            </w:tabs>
            <w:rPr>
              <w:rFonts w:eastAsiaTheme="minorEastAsia" w:cstheme="minorBidi"/>
              <w:smallCaps w:val="0"/>
              <w:noProof/>
              <w:sz w:val="24"/>
              <w:szCs w:val="24"/>
            </w:rPr>
          </w:pPr>
          <w:hyperlink w:anchor="_Toc27578596" w:history="1">
            <w:r w:rsidR="00AE4BF6" w:rsidRPr="002E5DDC">
              <w:rPr>
                <w:rStyle w:val="Hyperlink"/>
                <w:rFonts w:ascii="Arial" w:hAnsi="Arial" w:cs="Arial"/>
                <w:noProof/>
                <w:u w:val="none"/>
              </w:rPr>
              <w:t>2.3.2</w:t>
            </w:r>
            <w:r w:rsidR="00AE4BF6" w:rsidRPr="002E5DDC">
              <w:rPr>
                <w:rFonts w:eastAsiaTheme="minorEastAsia" w:cstheme="minorBidi"/>
                <w:smallCaps w:val="0"/>
                <w:noProof/>
                <w:sz w:val="24"/>
                <w:szCs w:val="24"/>
              </w:rPr>
              <w:tab/>
            </w:r>
            <w:r w:rsidR="00AE4BF6" w:rsidRPr="002E5DDC">
              <w:rPr>
                <w:rStyle w:val="Hyperlink"/>
                <w:rFonts w:ascii="Arial" w:hAnsi="Arial" w:cs="Arial"/>
                <w:noProof/>
                <w:u w:val="none"/>
              </w:rPr>
              <w:t>Shift-ability Theory</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_Toc27578596 \h </w:instrText>
            </w:r>
            <w:r w:rsidR="00AE4BF6" w:rsidRPr="002E5DDC">
              <w:rPr>
                <w:noProof/>
                <w:webHidden/>
              </w:rPr>
            </w:r>
            <w:r w:rsidR="00AE4BF6" w:rsidRPr="002E5DDC">
              <w:rPr>
                <w:noProof/>
                <w:webHidden/>
              </w:rPr>
              <w:fldChar w:fldCharType="separate"/>
            </w:r>
            <w:r w:rsidR="006B166C">
              <w:rPr>
                <w:noProof/>
                <w:webHidden/>
              </w:rPr>
              <w:t>19</w:t>
            </w:r>
            <w:r w:rsidR="00AE4BF6" w:rsidRPr="002E5DDC">
              <w:rPr>
                <w:noProof/>
                <w:webHidden/>
              </w:rPr>
              <w:fldChar w:fldCharType="end"/>
            </w:r>
          </w:hyperlink>
        </w:p>
        <w:p w14:paraId="34E0729D" w14:textId="50B34948" w:rsidR="00AE4BF6" w:rsidRPr="002E5DDC" w:rsidRDefault="00102DDD">
          <w:pPr>
            <w:pStyle w:val="TOC3"/>
            <w:tabs>
              <w:tab w:val="left" w:pos="729"/>
              <w:tab w:val="right" w:leader="dot" w:pos="8487"/>
            </w:tabs>
            <w:rPr>
              <w:rFonts w:eastAsiaTheme="minorEastAsia" w:cstheme="minorBidi"/>
              <w:smallCaps w:val="0"/>
              <w:noProof/>
              <w:sz w:val="24"/>
              <w:szCs w:val="24"/>
            </w:rPr>
          </w:pPr>
          <w:hyperlink w:anchor="_Toc27578597" w:history="1">
            <w:r w:rsidR="00AE4BF6" w:rsidRPr="002E5DDC">
              <w:rPr>
                <w:rStyle w:val="Hyperlink"/>
                <w:rFonts w:ascii="Arial" w:hAnsi="Arial" w:cs="Arial"/>
                <w:noProof/>
                <w:u w:val="none"/>
              </w:rPr>
              <w:t>2.3.3</w:t>
            </w:r>
            <w:r w:rsidR="00AE4BF6" w:rsidRPr="002E5DDC">
              <w:rPr>
                <w:rFonts w:eastAsiaTheme="minorEastAsia" w:cstheme="minorBidi"/>
                <w:smallCaps w:val="0"/>
                <w:noProof/>
                <w:sz w:val="24"/>
                <w:szCs w:val="24"/>
              </w:rPr>
              <w:tab/>
            </w:r>
            <w:r w:rsidR="00AE4BF6" w:rsidRPr="002E5DDC">
              <w:rPr>
                <w:rStyle w:val="Hyperlink"/>
                <w:rFonts w:ascii="Arial" w:hAnsi="Arial" w:cs="Arial"/>
                <w:noProof/>
                <w:u w:val="none"/>
              </w:rPr>
              <w:t>Liquidity Risk Theory</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_Toc27578597 \h </w:instrText>
            </w:r>
            <w:r w:rsidR="00AE4BF6" w:rsidRPr="002E5DDC">
              <w:rPr>
                <w:noProof/>
                <w:webHidden/>
              </w:rPr>
            </w:r>
            <w:r w:rsidR="00AE4BF6" w:rsidRPr="002E5DDC">
              <w:rPr>
                <w:noProof/>
                <w:webHidden/>
              </w:rPr>
              <w:fldChar w:fldCharType="separate"/>
            </w:r>
            <w:r w:rsidR="006B166C">
              <w:rPr>
                <w:noProof/>
                <w:webHidden/>
              </w:rPr>
              <w:t>20</w:t>
            </w:r>
            <w:r w:rsidR="00AE4BF6" w:rsidRPr="002E5DDC">
              <w:rPr>
                <w:noProof/>
                <w:webHidden/>
              </w:rPr>
              <w:fldChar w:fldCharType="end"/>
            </w:r>
          </w:hyperlink>
        </w:p>
        <w:p w14:paraId="2199C149" w14:textId="5A7BF343" w:rsidR="00AE4BF6" w:rsidRPr="002E5DDC" w:rsidRDefault="00102DDD">
          <w:pPr>
            <w:pStyle w:val="TOC2"/>
            <w:tabs>
              <w:tab w:val="left" w:pos="546"/>
            </w:tabs>
            <w:rPr>
              <w:rFonts w:eastAsiaTheme="minorEastAsia" w:cstheme="minorBidi"/>
              <w:b w:val="0"/>
              <w:bCs w:val="0"/>
              <w:smallCaps w:val="0"/>
              <w:noProof/>
              <w:sz w:val="24"/>
              <w:szCs w:val="24"/>
            </w:rPr>
          </w:pPr>
          <w:hyperlink w:anchor="_Toc27578598" w:history="1">
            <w:r w:rsidR="00AE4BF6" w:rsidRPr="002E5DDC">
              <w:rPr>
                <w:rStyle w:val="Hyperlink"/>
                <w:rFonts w:ascii="Arial" w:hAnsi="Arial" w:cs="Arial"/>
                <w:noProof/>
                <w:u w:val="none"/>
              </w:rPr>
              <w:t>2.4</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Financial Performance Measurements of Liquidity Risk Management</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_Toc27578598 \h </w:instrText>
            </w:r>
            <w:r w:rsidR="00AE4BF6" w:rsidRPr="002E5DDC">
              <w:rPr>
                <w:noProof/>
                <w:webHidden/>
              </w:rPr>
            </w:r>
            <w:r w:rsidR="00AE4BF6" w:rsidRPr="002E5DDC">
              <w:rPr>
                <w:noProof/>
                <w:webHidden/>
              </w:rPr>
              <w:fldChar w:fldCharType="separate"/>
            </w:r>
            <w:r w:rsidR="006B166C">
              <w:rPr>
                <w:noProof/>
                <w:webHidden/>
              </w:rPr>
              <w:t>20</w:t>
            </w:r>
            <w:r w:rsidR="00AE4BF6" w:rsidRPr="002E5DDC">
              <w:rPr>
                <w:noProof/>
                <w:webHidden/>
              </w:rPr>
              <w:fldChar w:fldCharType="end"/>
            </w:r>
          </w:hyperlink>
        </w:p>
        <w:p w14:paraId="2298D59A" w14:textId="7E5E0CD0" w:rsidR="00AE4BF6" w:rsidRPr="002E5DDC" w:rsidRDefault="00102DDD">
          <w:pPr>
            <w:pStyle w:val="TOC2"/>
            <w:tabs>
              <w:tab w:val="left" w:pos="546"/>
            </w:tabs>
            <w:rPr>
              <w:rFonts w:eastAsiaTheme="minorEastAsia" w:cstheme="minorBidi"/>
              <w:b w:val="0"/>
              <w:bCs w:val="0"/>
              <w:smallCaps w:val="0"/>
              <w:noProof/>
              <w:sz w:val="24"/>
              <w:szCs w:val="24"/>
            </w:rPr>
          </w:pPr>
          <w:hyperlink w:anchor="_Toc27578599" w:history="1">
            <w:r w:rsidR="00AE4BF6" w:rsidRPr="002E5DDC">
              <w:rPr>
                <w:rStyle w:val="Hyperlink"/>
                <w:rFonts w:ascii="Arial" w:hAnsi="Arial" w:cs="Arial"/>
                <w:noProof/>
                <w:u w:val="none"/>
              </w:rPr>
              <w:t>2.5</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Framework of the Research</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_Toc27578599 \h </w:instrText>
            </w:r>
            <w:r w:rsidR="00AE4BF6" w:rsidRPr="002E5DDC">
              <w:rPr>
                <w:noProof/>
                <w:webHidden/>
              </w:rPr>
            </w:r>
            <w:r w:rsidR="00AE4BF6" w:rsidRPr="002E5DDC">
              <w:rPr>
                <w:noProof/>
                <w:webHidden/>
              </w:rPr>
              <w:fldChar w:fldCharType="separate"/>
            </w:r>
            <w:r w:rsidR="006B166C">
              <w:rPr>
                <w:noProof/>
                <w:webHidden/>
              </w:rPr>
              <w:t>23</w:t>
            </w:r>
            <w:r w:rsidR="00AE4BF6" w:rsidRPr="002E5DDC">
              <w:rPr>
                <w:noProof/>
                <w:webHidden/>
              </w:rPr>
              <w:fldChar w:fldCharType="end"/>
            </w:r>
          </w:hyperlink>
        </w:p>
        <w:p w14:paraId="5C4744BE" w14:textId="78BE92DA" w:rsidR="00AE4BF6" w:rsidRPr="002E5DDC" w:rsidRDefault="00102DDD">
          <w:pPr>
            <w:pStyle w:val="TOC1"/>
            <w:tabs>
              <w:tab w:val="right" w:leader="dot" w:pos="8487"/>
            </w:tabs>
            <w:rPr>
              <w:rFonts w:eastAsiaTheme="minorEastAsia" w:cstheme="minorBidi"/>
              <w:b w:val="0"/>
              <w:bCs w:val="0"/>
              <w:caps w:val="0"/>
              <w:noProof/>
              <w:sz w:val="24"/>
              <w:szCs w:val="24"/>
              <w:u w:val="none"/>
            </w:rPr>
          </w:pPr>
          <w:hyperlink w:anchor="_Toc27578600" w:history="1">
            <w:r w:rsidR="00AE4BF6" w:rsidRPr="002E5DDC">
              <w:rPr>
                <w:rStyle w:val="Hyperlink"/>
                <w:rFonts w:ascii="Arial" w:hAnsi="Arial" w:cs="Arial"/>
                <w:noProof/>
                <w:u w:val="none"/>
              </w:rPr>
              <w:t xml:space="preserve">Chapter 3 Research </w:t>
            </w:r>
            <w:r w:rsidR="00AE4BF6" w:rsidRPr="002E5DDC">
              <w:rPr>
                <w:rStyle w:val="Hyperlink"/>
                <w:rFonts w:ascii="Arial" w:hAnsi="Arial" w:cs="Arial"/>
                <w:noProof/>
                <w:u w:val="none"/>
                <w:lang w:val="en-US"/>
              </w:rPr>
              <w:t xml:space="preserve">and </w:t>
            </w:r>
            <w:r w:rsidR="00AE4BF6" w:rsidRPr="002E5DDC">
              <w:rPr>
                <w:rStyle w:val="Hyperlink"/>
                <w:rFonts w:ascii="Arial" w:hAnsi="Arial" w:cs="Arial"/>
                <w:noProof/>
                <w:u w:val="none"/>
              </w:rPr>
              <w:t>Methodology</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_Toc27578600 \h </w:instrText>
            </w:r>
            <w:r w:rsidR="00AE4BF6" w:rsidRPr="002E5DDC">
              <w:rPr>
                <w:noProof/>
                <w:webHidden/>
                <w:u w:val="none"/>
              </w:rPr>
            </w:r>
            <w:r w:rsidR="00AE4BF6" w:rsidRPr="002E5DDC">
              <w:rPr>
                <w:noProof/>
                <w:webHidden/>
                <w:u w:val="none"/>
              </w:rPr>
              <w:fldChar w:fldCharType="separate"/>
            </w:r>
            <w:r w:rsidR="006B166C">
              <w:rPr>
                <w:noProof/>
                <w:webHidden/>
                <w:u w:val="none"/>
              </w:rPr>
              <w:t>24</w:t>
            </w:r>
            <w:r w:rsidR="00AE4BF6" w:rsidRPr="002E5DDC">
              <w:rPr>
                <w:noProof/>
                <w:webHidden/>
                <w:u w:val="none"/>
              </w:rPr>
              <w:fldChar w:fldCharType="end"/>
            </w:r>
          </w:hyperlink>
        </w:p>
        <w:p w14:paraId="35251806" w14:textId="0475FF90" w:rsidR="00AE4BF6" w:rsidRPr="002E5DDC" w:rsidRDefault="00102DDD">
          <w:pPr>
            <w:pStyle w:val="TOC2"/>
            <w:tabs>
              <w:tab w:val="left" w:pos="546"/>
            </w:tabs>
            <w:rPr>
              <w:rFonts w:eastAsiaTheme="minorEastAsia" w:cstheme="minorBidi"/>
              <w:b w:val="0"/>
              <w:bCs w:val="0"/>
              <w:smallCaps w:val="0"/>
              <w:noProof/>
              <w:sz w:val="24"/>
              <w:szCs w:val="24"/>
            </w:rPr>
          </w:pPr>
          <w:hyperlink w:anchor="_Toc27578601" w:history="1">
            <w:r w:rsidR="00AE4BF6" w:rsidRPr="002E5DDC">
              <w:rPr>
                <w:rStyle w:val="Hyperlink"/>
                <w:rFonts w:ascii="Arial" w:hAnsi="Arial" w:cs="Arial"/>
                <w:noProof/>
                <w:u w:val="none"/>
              </w:rPr>
              <w:t>3.1</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Introduction</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_Toc27578601 \h </w:instrText>
            </w:r>
            <w:r w:rsidR="00AE4BF6" w:rsidRPr="002E5DDC">
              <w:rPr>
                <w:noProof/>
                <w:webHidden/>
              </w:rPr>
            </w:r>
            <w:r w:rsidR="00AE4BF6" w:rsidRPr="002E5DDC">
              <w:rPr>
                <w:noProof/>
                <w:webHidden/>
              </w:rPr>
              <w:fldChar w:fldCharType="separate"/>
            </w:r>
            <w:r w:rsidR="006B166C">
              <w:rPr>
                <w:noProof/>
                <w:webHidden/>
              </w:rPr>
              <w:t>24</w:t>
            </w:r>
            <w:r w:rsidR="00AE4BF6" w:rsidRPr="002E5DDC">
              <w:rPr>
                <w:noProof/>
                <w:webHidden/>
              </w:rPr>
              <w:fldChar w:fldCharType="end"/>
            </w:r>
          </w:hyperlink>
        </w:p>
        <w:p w14:paraId="6B176057" w14:textId="2F8A09C4" w:rsidR="00AE4BF6" w:rsidRPr="002E5DDC" w:rsidRDefault="00102DDD">
          <w:pPr>
            <w:pStyle w:val="TOC2"/>
            <w:tabs>
              <w:tab w:val="left" w:pos="546"/>
            </w:tabs>
            <w:rPr>
              <w:rFonts w:eastAsiaTheme="minorEastAsia" w:cstheme="minorBidi"/>
              <w:b w:val="0"/>
              <w:bCs w:val="0"/>
              <w:smallCaps w:val="0"/>
              <w:noProof/>
              <w:sz w:val="24"/>
              <w:szCs w:val="24"/>
            </w:rPr>
          </w:pPr>
          <w:hyperlink w:anchor="_Toc27578602" w:history="1">
            <w:r w:rsidR="00AE4BF6" w:rsidRPr="002E5DDC">
              <w:rPr>
                <w:rStyle w:val="Hyperlink"/>
                <w:rFonts w:ascii="Arial" w:hAnsi="Arial" w:cs="Arial"/>
                <w:noProof/>
                <w:u w:val="none"/>
              </w:rPr>
              <w:t>3.2</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Research Design</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_Toc27578602 \h </w:instrText>
            </w:r>
            <w:r w:rsidR="00AE4BF6" w:rsidRPr="002E5DDC">
              <w:rPr>
                <w:noProof/>
                <w:webHidden/>
              </w:rPr>
            </w:r>
            <w:r w:rsidR="00AE4BF6" w:rsidRPr="002E5DDC">
              <w:rPr>
                <w:noProof/>
                <w:webHidden/>
              </w:rPr>
              <w:fldChar w:fldCharType="separate"/>
            </w:r>
            <w:r w:rsidR="006B166C">
              <w:rPr>
                <w:noProof/>
                <w:webHidden/>
              </w:rPr>
              <w:t>25</w:t>
            </w:r>
            <w:r w:rsidR="00AE4BF6" w:rsidRPr="002E5DDC">
              <w:rPr>
                <w:noProof/>
                <w:webHidden/>
              </w:rPr>
              <w:fldChar w:fldCharType="end"/>
            </w:r>
          </w:hyperlink>
        </w:p>
        <w:p w14:paraId="7AD7D25A" w14:textId="46CF6ABF" w:rsidR="00AE4BF6" w:rsidRPr="002E5DDC" w:rsidRDefault="00102DDD">
          <w:pPr>
            <w:pStyle w:val="TOC3"/>
            <w:tabs>
              <w:tab w:val="left" w:pos="546"/>
              <w:tab w:val="right" w:leader="dot" w:pos="8487"/>
            </w:tabs>
            <w:rPr>
              <w:rFonts w:eastAsiaTheme="minorEastAsia" w:cstheme="minorBidi"/>
              <w:smallCaps w:val="0"/>
              <w:noProof/>
              <w:sz w:val="24"/>
              <w:szCs w:val="24"/>
            </w:rPr>
          </w:pPr>
          <w:hyperlink w:anchor="_Toc27578603" w:history="1">
            <w:r w:rsidR="00AE4BF6" w:rsidRPr="002E5DDC">
              <w:rPr>
                <w:rStyle w:val="Hyperlink"/>
                <w:rFonts w:ascii="Arial" w:hAnsi="Arial" w:cs="Arial"/>
                <w:b/>
                <w:noProof/>
                <w:u w:val="none"/>
              </w:rPr>
              <w:t>3.3</w:t>
            </w:r>
            <w:r w:rsidR="00AE4BF6" w:rsidRPr="002E5DDC">
              <w:rPr>
                <w:rFonts w:eastAsiaTheme="minorEastAsia" w:cstheme="minorBidi"/>
                <w:smallCaps w:val="0"/>
                <w:noProof/>
                <w:sz w:val="24"/>
                <w:szCs w:val="24"/>
              </w:rPr>
              <w:tab/>
            </w:r>
            <w:r w:rsidR="00AE4BF6" w:rsidRPr="002E5DDC">
              <w:rPr>
                <w:rStyle w:val="Hyperlink"/>
                <w:rFonts w:ascii="Arial" w:hAnsi="Arial" w:cs="Arial"/>
                <w:b/>
                <w:noProof/>
                <w:u w:val="none"/>
              </w:rPr>
              <w:t>Population, Sample Selection and Sampling Procedure</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_Toc27578603 \h </w:instrText>
            </w:r>
            <w:r w:rsidR="00AE4BF6" w:rsidRPr="002E5DDC">
              <w:rPr>
                <w:noProof/>
                <w:webHidden/>
              </w:rPr>
            </w:r>
            <w:r w:rsidR="00AE4BF6" w:rsidRPr="002E5DDC">
              <w:rPr>
                <w:noProof/>
                <w:webHidden/>
              </w:rPr>
              <w:fldChar w:fldCharType="separate"/>
            </w:r>
            <w:r w:rsidR="006B166C">
              <w:rPr>
                <w:noProof/>
                <w:webHidden/>
              </w:rPr>
              <w:t>26</w:t>
            </w:r>
            <w:r w:rsidR="00AE4BF6" w:rsidRPr="002E5DDC">
              <w:rPr>
                <w:noProof/>
                <w:webHidden/>
              </w:rPr>
              <w:fldChar w:fldCharType="end"/>
            </w:r>
          </w:hyperlink>
        </w:p>
        <w:p w14:paraId="44ADC480" w14:textId="7B9B8B9D" w:rsidR="00AE4BF6" w:rsidRPr="002E5DDC" w:rsidRDefault="00102DDD">
          <w:pPr>
            <w:pStyle w:val="TOC2"/>
            <w:tabs>
              <w:tab w:val="left" w:pos="546"/>
            </w:tabs>
            <w:rPr>
              <w:rFonts w:eastAsiaTheme="minorEastAsia" w:cstheme="minorBidi"/>
              <w:b w:val="0"/>
              <w:bCs w:val="0"/>
              <w:smallCaps w:val="0"/>
              <w:noProof/>
              <w:sz w:val="24"/>
              <w:szCs w:val="24"/>
            </w:rPr>
          </w:pPr>
          <w:hyperlink w:anchor="_Toc27578604" w:history="1">
            <w:r w:rsidR="00AE4BF6" w:rsidRPr="002E5DDC">
              <w:rPr>
                <w:rStyle w:val="Hyperlink"/>
                <w:rFonts w:ascii="Arial" w:hAnsi="Arial" w:cs="Arial"/>
                <w:noProof/>
                <w:u w:val="none"/>
              </w:rPr>
              <w:t>3.4</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Validity and Reliability Test</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_Toc27578604 \h </w:instrText>
            </w:r>
            <w:r w:rsidR="00AE4BF6" w:rsidRPr="002E5DDC">
              <w:rPr>
                <w:noProof/>
                <w:webHidden/>
              </w:rPr>
            </w:r>
            <w:r w:rsidR="00AE4BF6" w:rsidRPr="002E5DDC">
              <w:rPr>
                <w:noProof/>
                <w:webHidden/>
              </w:rPr>
              <w:fldChar w:fldCharType="separate"/>
            </w:r>
            <w:r w:rsidR="006B166C">
              <w:rPr>
                <w:noProof/>
                <w:webHidden/>
              </w:rPr>
              <w:t>27</w:t>
            </w:r>
            <w:r w:rsidR="00AE4BF6" w:rsidRPr="002E5DDC">
              <w:rPr>
                <w:noProof/>
                <w:webHidden/>
              </w:rPr>
              <w:fldChar w:fldCharType="end"/>
            </w:r>
          </w:hyperlink>
        </w:p>
        <w:p w14:paraId="59583B70" w14:textId="7350AF64" w:rsidR="00AE4BF6" w:rsidRPr="002E5DDC" w:rsidRDefault="00102DDD">
          <w:pPr>
            <w:pStyle w:val="TOC2"/>
            <w:tabs>
              <w:tab w:val="left" w:pos="546"/>
            </w:tabs>
            <w:rPr>
              <w:rFonts w:eastAsiaTheme="minorEastAsia" w:cstheme="minorBidi"/>
              <w:b w:val="0"/>
              <w:bCs w:val="0"/>
              <w:smallCaps w:val="0"/>
              <w:noProof/>
              <w:sz w:val="24"/>
              <w:szCs w:val="24"/>
            </w:rPr>
          </w:pPr>
          <w:hyperlink w:anchor="_Toc27578605" w:history="1">
            <w:r w:rsidR="00AE4BF6" w:rsidRPr="002E5DDC">
              <w:rPr>
                <w:rStyle w:val="Hyperlink"/>
                <w:rFonts w:ascii="Arial" w:hAnsi="Arial" w:cs="Arial"/>
                <w:noProof/>
                <w:u w:val="none"/>
              </w:rPr>
              <w:t>3.5</w:t>
            </w:r>
            <w:r w:rsidR="00AE4BF6" w:rsidRPr="002E5DDC">
              <w:rPr>
                <w:rFonts w:eastAsiaTheme="minorEastAsia" w:cstheme="minorBidi"/>
                <w:b w:val="0"/>
                <w:bCs w:val="0"/>
                <w:smallCaps w:val="0"/>
                <w:noProof/>
                <w:sz w:val="24"/>
                <w:szCs w:val="24"/>
              </w:rPr>
              <w:tab/>
            </w:r>
            <w:r w:rsidR="00AE4BF6" w:rsidRPr="002E5DDC">
              <w:rPr>
                <w:rStyle w:val="Hyperlink"/>
                <w:rFonts w:ascii="Arial" w:hAnsi="Arial" w:cs="Arial"/>
                <w:noProof/>
                <w:u w:val="none"/>
              </w:rPr>
              <w:t>Data Collection and Analysis</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_Toc27578605 \h </w:instrText>
            </w:r>
            <w:r w:rsidR="00AE4BF6" w:rsidRPr="002E5DDC">
              <w:rPr>
                <w:noProof/>
                <w:webHidden/>
              </w:rPr>
            </w:r>
            <w:r w:rsidR="00AE4BF6" w:rsidRPr="002E5DDC">
              <w:rPr>
                <w:noProof/>
                <w:webHidden/>
              </w:rPr>
              <w:fldChar w:fldCharType="separate"/>
            </w:r>
            <w:r w:rsidR="006B166C">
              <w:rPr>
                <w:noProof/>
                <w:webHidden/>
              </w:rPr>
              <w:t>27</w:t>
            </w:r>
            <w:r w:rsidR="00AE4BF6" w:rsidRPr="002E5DDC">
              <w:rPr>
                <w:noProof/>
                <w:webHidden/>
              </w:rPr>
              <w:fldChar w:fldCharType="end"/>
            </w:r>
          </w:hyperlink>
        </w:p>
        <w:p w14:paraId="28ED28D5" w14:textId="74025817" w:rsidR="00AE4BF6" w:rsidRPr="002E5DDC" w:rsidRDefault="00102DDD">
          <w:pPr>
            <w:pStyle w:val="TOC3"/>
            <w:tabs>
              <w:tab w:val="left" w:pos="729"/>
              <w:tab w:val="right" w:leader="dot" w:pos="8487"/>
            </w:tabs>
            <w:rPr>
              <w:rFonts w:eastAsiaTheme="minorEastAsia" w:cstheme="minorBidi"/>
              <w:smallCaps w:val="0"/>
              <w:noProof/>
              <w:sz w:val="24"/>
              <w:szCs w:val="24"/>
            </w:rPr>
          </w:pPr>
          <w:hyperlink w:anchor="_Toc27578606" w:history="1">
            <w:r w:rsidR="00AE4BF6" w:rsidRPr="002E5DDC">
              <w:rPr>
                <w:rStyle w:val="Hyperlink"/>
                <w:rFonts w:ascii="Arial" w:hAnsi="Arial" w:cs="Arial"/>
                <w:b/>
                <w:noProof/>
                <w:u w:val="none"/>
              </w:rPr>
              <w:t>3.5.1</w:t>
            </w:r>
            <w:r w:rsidR="00AE4BF6" w:rsidRPr="002E5DDC">
              <w:rPr>
                <w:rFonts w:eastAsiaTheme="minorEastAsia" w:cstheme="minorBidi"/>
                <w:smallCaps w:val="0"/>
                <w:noProof/>
                <w:sz w:val="24"/>
                <w:szCs w:val="24"/>
              </w:rPr>
              <w:tab/>
            </w:r>
            <w:r w:rsidR="00AE4BF6" w:rsidRPr="002E5DDC">
              <w:rPr>
                <w:rStyle w:val="Hyperlink"/>
                <w:rFonts w:ascii="Arial" w:hAnsi="Arial" w:cs="Arial"/>
                <w:b/>
                <w:noProof/>
                <w:u w:val="none"/>
              </w:rPr>
              <w:t>Data Collection</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_Toc27578606 \h </w:instrText>
            </w:r>
            <w:r w:rsidR="00AE4BF6" w:rsidRPr="002E5DDC">
              <w:rPr>
                <w:noProof/>
                <w:webHidden/>
              </w:rPr>
            </w:r>
            <w:r w:rsidR="00AE4BF6" w:rsidRPr="002E5DDC">
              <w:rPr>
                <w:noProof/>
                <w:webHidden/>
              </w:rPr>
              <w:fldChar w:fldCharType="separate"/>
            </w:r>
            <w:r w:rsidR="006B166C">
              <w:rPr>
                <w:noProof/>
                <w:webHidden/>
              </w:rPr>
              <w:t>27</w:t>
            </w:r>
            <w:r w:rsidR="00AE4BF6" w:rsidRPr="002E5DDC">
              <w:rPr>
                <w:noProof/>
                <w:webHidden/>
              </w:rPr>
              <w:fldChar w:fldCharType="end"/>
            </w:r>
          </w:hyperlink>
        </w:p>
        <w:p w14:paraId="2D44317F" w14:textId="3642CC32" w:rsidR="00AE4BF6" w:rsidRPr="002E5DDC" w:rsidRDefault="00102DDD">
          <w:pPr>
            <w:pStyle w:val="TOC3"/>
            <w:tabs>
              <w:tab w:val="left" w:pos="729"/>
              <w:tab w:val="right" w:leader="dot" w:pos="8487"/>
            </w:tabs>
            <w:rPr>
              <w:rFonts w:eastAsiaTheme="minorEastAsia" w:cstheme="minorBidi"/>
              <w:smallCaps w:val="0"/>
              <w:noProof/>
              <w:sz w:val="24"/>
              <w:szCs w:val="24"/>
            </w:rPr>
          </w:pPr>
          <w:hyperlink w:anchor="_Toc27578607" w:history="1">
            <w:r w:rsidR="00AE4BF6" w:rsidRPr="002E5DDC">
              <w:rPr>
                <w:rStyle w:val="Hyperlink"/>
                <w:rFonts w:ascii="Arial" w:hAnsi="Arial" w:cs="Arial"/>
                <w:b/>
                <w:noProof/>
                <w:u w:val="none"/>
              </w:rPr>
              <w:t>3.5.2</w:t>
            </w:r>
            <w:r w:rsidR="00AE4BF6" w:rsidRPr="002E5DDC">
              <w:rPr>
                <w:rFonts w:eastAsiaTheme="minorEastAsia" w:cstheme="minorBidi"/>
                <w:smallCaps w:val="0"/>
                <w:noProof/>
                <w:sz w:val="24"/>
                <w:szCs w:val="24"/>
              </w:rPr>
              <w:tab/>
            </w:r>
            <w:r w:rsidR="00AE4BF6" w:rsidRPr="002E5DDC">
              <w:rPr>
                <w:rStyle w:val="Hyperlink"/>
                <w:rFonts w:ascii="Arial" w:hAnsi="Arial" w:cs="Arial"/>
                <w:b/>
                <w:noProof/>
                <w:u w:val="none"/>
              </w:rPr>
              <w:t>Data Analysis</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_Toc27578607 \h </w:instrText>
            </w:r>
            <w:r w:rsidR="00AE4BF6" w:rsidRPr="002E5DDC">
              <w:rPr>
                <w:noProof/>
                <w:webHidden/>
              </w:rPr>
            </w:r>
            <w:r w:rsidR="00AE4BF6" w:rsidRPr="002E5DDC">
              <w:rPr>
                <w:noProof/>
                <w:webHidden/>
              </w:rPr>
              <w:fldChar w:fldCharType="separate"/>
            </w:r>
            <w:r w:rsidR="006B166C">
              <w:rPr>
                <w:noProof/>
                <w:webHidden/>
              </w:rPr>
              <w:t>28</w:t>
            </w:r>
            <w:r w:rsidR="00AE4BF6" w:rsidRPr="002E5DDC">
              <w:rPr>
                <w:noProof/>
                <w:webHidden/>
              </w:rPr>
              <w:fldChar w:fldCharType="end"/>
            </w:r>
          </w:hyperlink>
        </w:p>
        <w:p w14:paraId="2C2B9EDE" w14:textId="6FA3451E" w:rsidR="00AE4BF6" w:rsidRPr="002E5DDC" w:rsidRDefault="00102DDD">
          <w:pPr>
            <w:pStyle w:val="TOC1"/>
            <w:tabs>
              <w:tab w:val="right" w:leader="dot" w:pos="8487"/>
            </w:tabs>
            <w:rPr>
              <w:rFonts w:eastAsiaTheme="minorEastAsia" w:cstheme="minorBidi"/>
              <w:b w:val="0"/>
              <w:bCs w:val="0"/>
              <w:caps w:val="0"/>
              <w:noProof/>
              <w:sz w:val="24"/>
              <w:szCs w:val="24"/>
              <w:u w:val="none"/>
            </w:rPr>
          </w:pPr>
          <w:hyperlink w:anchor="_Toc27578608" w:history="1">
            <w:r w:rsidR="00AE4BF6" w:rsidRPr="002E5DDC">
              <w:rPr>
                <w:rStyle w:val="Hyperlink"/>
                <w:rFonts w:ascii="Arial" w:hAnsi="Arial" w:cs="Arial"/>
                <w:noProof/>
                <w:u w:val="none"/>
              </w:rPr>
              <w:t>Chapter 4 Findings and Discussion</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_Toc27578608 \h </w:instrText>
            </w:r>
            <w:r w:rsidR="00AE4BF6" w:rsidRPr="002E5DDC">
              <w:rPr>
                <w:noProof/>
                <w:webHidden/>
                <w:u w:val="none"/>
              </w:rPr>
            </w:r>
            <w:r w:rsidR="00AE4BF6" w:rsidRPr="002E5DDC">
              <w:rPr>
                <w:noProof/>
                <w:webHidden/>
                <w:u w:val="none"/>
              </w:rPr>
              <w:fldChar w:fldCharType="separate"/>
            </w:r>
            <w:r w:rsidR="006B166C">
              <w:rPr>
                <w:noProof/>
                <w:webHidden/>
                <w:u w:val="none"/>
              </w:rPr>
              <w:t>30</w:t>
            </w:r>
            <w:r w:rsidR="00AE4BF6" w:rsidRPr="002E5DDC">
              <w:rPr>
                <w:noProof/>
                <w:webHidden/>
                <w:u w:val="none"/>
              </w:rPr>
              <w:fldChar w:fldCharType="end"/>
            </w:r>
          </w:hyperlink>
        </w:p>
        <w:p w14:paraId="207A7A4D" w14:textId="0F209651" w:rsidR="00AE4BF6" w:rsidRPr="002E5DDC" w:rsidRDefault="00102DDD">
          <w:pPr>
            <w:pStyle w:val="TOC2"/>
            <w:rPr>
              <w:rFonts w:eastAsiaTheme="minorEastAsia" w:cstheme="minorBidi"/>
              <w:b w:val="0"/>
              <w:bCs w:val="0"/>
              <w:smallCaps w:val="0"/>
              <w:noProof/>
              <w:sz w:val="24"/>
              <w:szCs w:val="24"/>
            </w:rPr>
          </w:pPr>
          <w:hyperlink w:anchor="_Toc27578609" w:history="1">
            <w:r w:rsidR="00AE4BF6" w:rsidRPr="002E5DDC">
              <w:rPr>
                <w:rStyle w:val="Hyperlink"/>
                <w:rFonts w:ascii="Arial" w:hAnsi="Arial" w:cs="Arial"/>
                <w:noProof/>
                <w:u w:val="none"/>
              </w:rPr>
              <w:t>4.1 Introduction</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_Toc27578609 \h </w:instrText>
            </w:r>
            <w:r w:rsidR="00AE4BF6" w:rsidRPr="002E5DDC">
              <w:rPr>
                <w:noProof/>
                <w:webHidden/>
              </w:rPr>
            </w:r>
            <w:r w:rsidR="00AE4BF6" w:rsidRPr="002E5DDC">
              <w:rPr>
                <w:noProof/>
                <w:webHidden/>
              </w:rPr>
              <w:fldChar w:fldCharType="separate"/>
            </w:r>
            <w:r w:rsidR="006B166C">
              <w:rPr>
                <w:noProof/>
                <w:webHidden/>
              </w:rPr>
              <w:t>30</w:t>
            </w:r>
            <w:r w:rsidR="00AE4BF6" w:rsidRPr="002E5DDC">
              <w:rPr>
                <w:noProof/>
                <w:webHidden/>
              </w:rPr>
              <w:fldChar w:fldCharType="end"/>
            </w:r>
          </w:hyperlink>
        </w:p>
        <w:p w14:paraId="15B292AC" w14:textId="489E04B7" w:rsidR="00AE4BF6" w:rsidRPr="002E5DDC" w:rsidRDefault="00102DDD">
          <w:pPr>
            <w:pStyle w:val="TOC2"/>
            <w:rPr>
              <w:rFonts w:eastAsiaTheme="minorEastAsia" w:cstheme="minorBidi"/>
              <w:b w:val="0"/>
              <w:bCs w:val="0"/>
              <w:smallCaps w:val="0"/>
              <w:noProof/>
              <w:sz w:val="24"/>
              <w:szCs w:val="24"/>
            </w:rPr>
          </w:pPr>
          <w:hyperlink w:anchor="_Toc27578610" w:history="1">
            <w:r w:rsidR="00AE4BF6" w:rsidRPr="002E5DDC">
              <w:rPr>
                <w:rStyle w:val="Hyperlink"/>
                <w:rFonts w:ascii="Arial" w:hAnsi="Arial" w:cs="Arial"/>
                <w:noProof/>
                <w:u w:val="none"/>
              </w:rPr>
              <w:t>4.2 Empirical Findings</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_Toc27578610 \h </w:instrText>
            </w:r>
            <w:r w:rsidR="00AE4BF6" w:rsidRPr="002E5DDC">
              <w:rPr>
                <w:noProof/>
                <w:webHidden/>
              </w:rPr>
            </w:r>
            <w:r w:rsidR="00AE4BF6" w:rsidRPr="002E5DDC">
              <w:rPr>
                <w:noProof/>
                <w:webHidden/>
              </w:rPr>
              <w:fldChar w:fldCharType="separate"/>
            </w:r>
            <w:r w:rsidR="006B166C">
              <w:rPr>
                <w:noProof/>
                <w:webHidden/>
              </w:rPr>
              <w:t>30</w:t>
            </w:r>
            <w:r w:rsidR="00AE4BF6" w:rsidRPr="002E5DDC">
              <w:rPr>
                <w:noProof/>
                <w:webHidden/>
              </w:rPr>
              <w:fldChar w:fldCharType="end"/>
            </w:r>
          </w:hyperlink>
        </w:p>
        <w:p w14:paraId="7EB19AE2" w14:textId="48ABFF9A" w:rsidR="00AE4BF6" w:rsidRPr="002E5DDC" w:rsidRDefault="00102DDD">
          <w:pPr>
            <w:pStyle w:val="TOC3"/>
            <w:tabs>
              <w:tab w:val="right" w:leader="dot" w:pos="8487"/>
            </w:tabs>
            <w:rPr>
              <w:rFonts w:eastAsiaTheme="minorEastAsia" w:cstheme="minorBidi"/>
              <w:smallCaps w:val="0"/>
              <w:noProof/>
              <w:sz w:val="24"/>
              <w:szCs w:val="24"/>
            </w:rPr>
          </w:pPr>
          <w:hyperlink w:anchor="_Toc27578611" w:history="1">
            <w:r w:rsidR="00AE4BF6" w:rsidRPr="002E5DDC">
              <w:rPr>
                <w:rStyle w:val="Hyperlink"/>
                <w:rFonts w:ascii="Arial" w:hAnsi="Arial" w:cs="Arial"/>
                <w:b/>
                <w:noProof/>
                <w:u w:val="none"/>
              </w:rPr>
              <w:t>4.2.1 Reliability Test</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_Toc27578611 \h </w:instrText>
            </w:r>
            <w:r w:rsidR="00AE4BF6" w:rsidRPr="002E5DDC">
              <w:rPr>
                <w:noProof/>
                <w:webHidden/>
              </w:rPr>
            </w:r>
            <w:r w:rsidR="00AE4BF6" w:rsidRPr="002E5DDC">
              <w:rPr>
                <w:noProof/>
                <w:webHidden/>
              </w:rPr>
              <w:fldChar w:fldCharType="separate"/>
            </w:r>
            <w:r w:rsidR="006B166C">
              <w:rPr>
                <w:noProof/>
                <w:webHidden/>
              </w:rPr>
              <w:t>33</w:t>
            </w:r>
            <w:r w:rsidR="00AE4BF6" w:rsidRPr="002E5DDC">
              <w:rPr>
                <w:noProof/>
                <w:webHidden/>
              </w:rPr>
              <w:fldChar w:fldCharType="end"/>
            </w:r>
          </w:hyperlink>
        </w:p>
        <w:p w14:paraId="7E8FDE76" w14:textId="0691F940" w:rsidR="00AE4BF6" w:rsidRPr="002E5DDC" w:rsidRDefault="00102DDD">
          <w:pPr>
            <w:pStyle w:val="TOC3"/>
            <w:tabs>
              <w:tab w:val="right" w:leader="dot" w:pos="8487"/>
            </w:tabs>
            <w:rPr>
              <w:rFonts w:eastAsiaTheme="minorEastAsia" w:cstheme="minorBidi"/>
              <w:smallCaps w:val="0"/>
              <w:noProof/>
              <w:sz w:val="24"/>
              <w:szCs w:val="24"/>
            </w:rPr>
          </w:pPr>
          <w:hyperlink w:anchor="_Toc27578612" w:history="1">
            <w:r w:rsidR="00AE4BF6" w:rsidRPr="002E5DDC">
              <w:rPr>
                <w:rStyle w:val="Hyperlink"/>
                <w:rFonts w:ascii="Arial" w:hAnsi="Arial" w:cs="Arial"/>
                <w:b/>
                <w:noProof/>
                <w:u w:val="none"/>
              </w:rPr>
              <w:t>4.2.2 Descriptive Statistics</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_Toc27578612 \h </w:instrText>
            </w:r>
            <w:r w:rsidR="00AE4BF6" w:rsidRPr="002E5DDC">
              <w:rPr>
                <w:noProof/>
                <w:webHidden/>
              </w:rPr>
            </w:r>
            <w:r w:rsidR="00AE4BF6" w:rsidRPr="002E5DDC">
              <w:rPr>
                <w:noProof/>
                <w:webHidden/>
              </w:rPr>
              <w:fldChar w:fldCharType="separate"/>
            </w:r>
            <w:r w:rsidR="006B166C">
              <w:rPr>
                <w:noProof/>
                <w:webHidden/>
              </w:rPr>
              <w:t>33</w:t>
            </w:r>
            <w:r w:rsidR="00AE4BF6" w:rsidRPr="002E5DDC">
              <w:rPr>
                <w:noProof/>
                <w:webHidden/>
              </w:rPr>
              <w:fldChar w:fldCharType="end"/>
            </w:r>
          </w:hyperlink>
        </w:p>
        <w:p w14:paraId="70565990" w14:textId="3D8B7A97" w:rsidR="00AE4BF6" w:rsidRPr="002E5DDC" w:rsidRDefault="00102DDD">
          <w:pPr>
            <w:pStyle w:val="TOC3"/>
            <w:tabs>
              <w:tab w:val="right" w:leader="dot" w:pos="8487"/>
            </w:tabs>
            <w:rPr>
              <w:rFonts w:eastAsiaTheme="minorEastAsia" w:cstheme="minorBidi"/>
              <w:smallCaps w:val="0"/>
              <w:noProof/>
              <w:sz w:val="24"/>
              <w:szCs w:val="24"/>
            </w:rPr>
          </w:pPr>
          <w:hyperlink w:anchor="_Toc27578613" w:history="1">
            <w:r w:rsidR="00AE4BF6" w:rsidRPr="002E5DDC">
              <w:rPr>
                <w:rStyle w:val="Hyperlink"/>
                <w:rFonts w:ascii="Arial" w:hAnsi="Arial" w:cs="Arial"/>
                <w:b/>
                <w:noProof/>
                <w:u w:val="none"/>
              </w:rPr>
              <w:t xml:space="preserve">4.2.2 </w:t>
            </w:r>
            <w:r w:rsidR="00AE4BF6" w:rsidRPr="002E5DDC">
              <w:rPr>
                <w:rStyle w:val="Hyperlink"/>
                <w:rFonts w:ascii="Arial" w:hAnsi="Arial" w:cs="Arial"/>
                <w:b/>
                <w:bCs/>
                <w:iCs/>
                <w:noProof/>
                <w:u w:val="none"/>
              </w:rPr>
              <w:t>Correlation Analysis</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_Toc27578613 \h </w:instrText>
            </w:r>
            <w:r w:rsidR="00AE4BF6" w:rsidRPr="002E5DDC">
              <w:rPr>
                <w:noProof/>
                <w:webHidden/>
              </w:rPr>
            </w:r>
            <w:r w:rsidR="00AE4BF6" w:rsidRPr="002E5DDC">
              <w:rPr>
                <w:noProof/>
                <w:webHidden/>
              </w:rPr>
              <w:fldChar w:fldCharType="separate"/>
            </w:r>
            <w:r w:rsidR="006B166C">
              <w:rPr>
                <w:noProof/>
                <w:webHidden/>
              </w:rPr>
              <w:t>35</w:t>
            </w:r>
            <w:r w:rsidR="00AE4BF6" w:rsidRPr="002E5DDC">
              <w:rPr>
                <w:noProof/>
                <w:webHidden/>
              </w:rPr>
              <w:fldChar w:fldCharType="end"/>
            </w:r>
          </w:hyperlink>
        </w:p>
        <w:p w14:paraId="3BB6DD87" w14:textId="5CABB0EB" w:rsidR="00AE4BF6" w:rsidRPr="002E5DDC" w:rsidRDefault="00102DDD">
          <w:pPr>
            <w:pStyle w:val="TOC3"/>
            <w:tabs>
              <w:tab w:val="right" w:leader="dot" w:pos="8487"/>
            </w:tabs>
            <w:rPr>
              <w:rFonts w:eastAsiaTheme="minorEastAsia" w:cstheme="minorBidi"/>
              <w:smallCaps w:val="0"/>
              <w:noProof/>
              <w:sz w:val="24"/>
              <w:szCs w:val="24"/>
            </w:rPr>
          </w:pPr>
          <w:hyperlink w:anchor="_Toc27578614" w:history="1">
            <w:r w:rsidR="00AE4BF6" w:rsidRPr="002E5DDC">
              <w:rPr>
                <w:rStyle w:val="Hyperlink"/>
                <w:rFonts w:ascii="Arial" w:hAnsi="Arial" w:cs="Arial"/>
                <w:b/>
                <w:noProof/>
                <w:u w:val="none"/>
              </w:rPr>
              <w:t>4.2.2 Regression Analysis</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_Toc27578614 \h </w:instrText>
            </w:r>
            <w:r w:rsidR="00AE4BF6" w:rsidRPr="002E5DDC">
              <w:rPr>
                <w:noProof/>
                <w:webHidden/>
              </w:rPr>
            </w:r>
            <w:r w:rsidR="00AE4BF6" w:rsidRPr="002E5DDC">
              <w:rPr>
                <w:noProof/>
                <w:webHidden/>
              </w:rPr>
              <w:fldChar w:fldCharType="separate"/>
            </w:r>
            <w:r w:rsidR="006B166C">
              <w:rPr>
                <w:noProof/>
                <w:webHidden/>
              </w:rPr>
              <w:t>37</w:t>
            </w:r>
            <w:r w:rsidR="00AE4BF6" w:rsidRPr="002E5DDC">
              <w:rPr>
                <w:noProof/>
                <w:webHidden/>
              </w:rPr>
              <w:fldChar w:fldCharType="end"/>
            </w:r>
          </w:hyperlink>
        </w:p>
        <w:p w14:paraId="715D5364" w14:textId="2AC084A4" w:rsidR="00AE4BF6" w:rsidRPr="002E5DDC" w:rsidRDefault="00102DDD">
          <w:pPr>
            <w:pStyle w:val="TOC1"/>
            <w:tabs>
              <w:tab w:val="right" w:leader="dot" w:pos="8487"/>
            </w:tabs>
            <w:rPr>
              <w:rFonts w:eastAsiaTheme="minorEastAsia" w:cstheme="minorBidi"/>
              <w:b w:val="0"/>
              <w:bCs w:val="0"/>
              <w:caps w:val="0"/>
              <w:noProof/>
              <w:sz w:val="24"/>
              <w:szCs w:val="24"/>
              <w:u w:val="none"/>
            </w:rPr>
          </w:pPr>
          <w:hyperlink w:anchor="_Toc27578615" w:history="1">
            <w:r w:rsidR="00AE4BF6" w:rsidRPr="002E5DDC">
              <w:rPr>
                <w:rStyle w:val="Hyperlink"/>
                <w:rFonts w:ascii="Arial" w:hAnsi="Arial" w:cs="Arial"/>
                <w:noProof/>
                <w:u w:val="none"/>
              </w:rPr>
              <w:t>Chapter 5 Conclusions and Recommendations</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_Toc27578615 \h </w:instrText>
            </w:r>
            <w:r w:rsidR="00AE4BF6" w:rsidRPr="002E5DDC">
              <w:rPr>
                <w:noProof/>
                <w:webHidden/>
                <w:u w:val="none"/>
              </w:rPr>
            </w:r>
            <w:r w:rsidR="00AE4BF6" w:rsidRPr="002E5DDC">
              <w:rPr>
                <w:noProof/>
                <w:webHidden/>
                <w:u w:val="none"/>
              </w:rPr>
              <w:fldChar w:fldCharType="separate"/>
            </w:r>
            <w:r w:rsidR="006B166C">
              <w:rPr>
                <w:noProof/>
                <w:webHidden/>
                <w:u w:val="none"/>
              </w:rPr>
              <w:t>40</w:t>
            </w:r>
            <w:r w:rsidR="00AE4BF6" w:rsidRPr="002E5DDC">
              <w:rPr>
                <w:noProof/>
                <w:webHidden/>
                <w:u w:val="none"/>
              </w:rPr>
              <w:fldChar w:fldCharType="end"/>
            </w:r>
          </w:hyperlink>
        </w:p>
        <w:p w14:paraId="24550AE2" w14:textId="2B171B9F" w:rsidR="00AE4BF6" w:rsidRPr="002E5DDC" w:rsidRDefault="00102DDD">
          <w:pPr>
            <w:pStyle w:val="TOC2"/>
            <w:rPr>
              <w:rFonts w:eastAsiaTheme="minorEastAsia" w:cstheme="minorBidi"/>
              <w:b w:val="0"/>
              <w:bCs w:val="0"/>
              <w:smallCaps w:val="0"/>
              <w:noProof/>
              <w:sz w:val="24"/>
              <w:szCs w:val="24"/>
            </w:rPr>
          </w:pPr>
          <w:hyperlink w:anchor="_Toc27578616" w:history="1">
            <w:r w:rsidR="00AE4BF6" w:rsidRPr="002E5DDC">
              <w:rPr>
                <w:rStyle w:val="Hyperlink"/>
                <w:rFonts w:ascii="Arial" w:hAnsi="Arial" w:cs="Arial"/>
                <w:noProof/>
                <w:u w:val="none"/>
              </w:rPr>
              <w:t>5.1 Introduction</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_Toc27578616 \h </w:instrText>
            </w:r>
            <w:r w:rsidR="00AE4BF6" w:rsidRPr="002E5DDC">
              <w:rPr>
                <w:noProof/>
                <w:webHidden/>
              </w:rPr>
            </w:r>
            <w:r w:rsidR="00AE4BF6" w:rsidRPr="002E5DDC">
              <w:rPr>
                <w:noProof/>
                <w:webHidden/>
              </w:rPr>
              <w:fldChar w:fldCharType="separate"/>
            </w:r>
            <w:r w:rsidR="006B166C">
              <w:rPr>
                <w:noProof/>
                <w:webHidden/>
              </w:rPr>
              <w:t>40</w:t>
            </w:r>
            <w:r w:rsidR="00AE4BF6" w:rsidRPr="002E5DDC">
              <w:rPr>
                <w:noProof/>
                <w:webHidden/>
              </w:rPr>
              <w:fldChar w:fldCharType="end"/>
            </w:r>
          </w:hyperlink>
        </w:p>
        <w:p w14:paraId="6D8F34C6" w14:textId="77CA7479" w:rsidR="00AE4BF6" w:rsidRPr="002E5DDC" w:rsidRDefault="00102DDD">
          <w:pPr>
            <w:pStyle w:val="TOC2"/>
            <w:rPr>
              <w:rFonts w:eastAsiaTheme="minorEastAsia" w:cstheme="minorBidi"/>
              <w:b w:val="0"/>
              <w:bCs w:val="0"/>
              <w:smallCaps w:val="0"/>
              <w:noProof/>
              <w:sz w:val="24"/>
              <w:szCs w:val="24"/>
            </w:rPr>
          </w:pPr>
          <w:hyperlink w:anchor="_Toc27578617" w:history="1">
            <w:r w:rsidR="00AE4BF6" w:rsidRPr="002E5DDC">
              <w:rPr>
                <w:rStyle w:val="Hyperlink"/>
                <w:rFonts w:ascii="Arial" w:hAnsi="Arial" w:cs="Arial"/>
                <w:noProof/>
                <w:u w:val="none"/>
              </w:rPr>
              <w:t>5.2 Observation of this Research</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_Toc27578617 \h </w:instrText>
            </w:r>
            <w:r w:rsidR="00AE4BF6" w:rsidRPr="002E5DDC">
              <w:rPr>
                <w:noProof/>
                <w:webHidden/>
              </w:rPr>
            </w:r>
            <w:r w:rsidR="00AE4BF6" w:rsidRPr="002E5DDC">
              <w:rPr>
                <w:noProof/>
                <w:webHidden/>
              </w:rPr>
              <w:fldChar w:fldCharType="separate"/>
            </w:r>
            <w:r w:rsidR="006B166C">
              <w:rPr>
                <w:noProof/>
                <w:webHidden/>
              </w:rPr>
              <w:t>40</w:t>
            </w:r>
            <w:r w:rsidR="00AE4BF6" w:rsidRPr="002E5DDC">
              <w:rPr>
                <w:noProof/>
                <w:webHidden/>
              </w:rPr>
              <w:fldChar w:fldCharType="end"/>
            </w:r>
          </w:hyperlink>
        </w:p>
        <w:p w14:paraId="29E8845F" w14:textId="22A9822E" w:rsidR="00AE4BF6" w:rsidRPr="002E5DDC" w:rsidRDefault="00102DDD">
          <w:pPr>
            <w:pStyle w:val="TOC2"/>
            <w:rPr>
              <w:rFonts w:eastAsiaTheme="minorEastAsia" w:cstheme="minorBidi"/>
              <w:b w:val="0"/>
              <w:bCs w:val="0"/>
              <w:smallCaps w:val="0"/>
              <w:noProof/>
              <w:sz w:val="24"/>
              <w:szCs w:val="24"/>
            </w:rPr>
          </w:pPr>
          <w:hyperlink w:anchor="_Toc27578618" w:history="1">
            <w:r w:rsidR="00AE4BF6" w:rsidRPr="002E5DDC">
              <w:rPr>
                <w:rStyle w:val="Hyperlink"/>
                <w:rFonts w:ascii="Arial" w:hAnsi="Arial" w:cs="Arial"/>
                <w:noProof/>
                <w:u w:val="none"/>
              </w:rPr>
              <w:t>5.3 Recommendation</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_Toc27578618 \h </w:instrText>
            </w:r>
            <w:r w:rsidR="00AE4BF6" w:rsidRPr="002E5DDC">
              <w:rPr>
                <w:noProof/>
                <w:webHidden/>
              </w:rPr>
            </w:r>
            <w:r w:rsidR="00AE4BF6" w:rsidRPr="002E5DDC">
              <w:rPr>
                <w:noProof/>
                <w:webHidden/>
              </w:rPr>
              <w:fldChar w:fldCharType="separate"/>
            </w:r>
            <w:r w:rsidR="006B166C">
              <w:rPr>
                <w:noProof/>
                <w:webHidden/>
              </w:rPr>
              <w:t>41</w:t>
            </w:r>
            <w:r w:rsidR="00AE4BF6" w:rsidRPr="002E5DDC">
              <w:rPr>
                <w:noProof/>
                <w:webHidden/>
              </w:rPr>
              <w:fldChar w:fldCharType="end"/>
            </w:r>
          </w:hyperlink>
        </w:p>
        <w:p w14:paraId="582AEE7A" w14:textId="12EA22CA" w:rsidR="00AE4BF6" w:rsidRPr="002E5DDC" w:rsidRDefault="00102DDD">
          <w:pPr>
            <w:pStyle w:val="TOC2"/>
            <w:rPr>
              <w:rFonts w:eastAsiaTheme="minorEastAsia" w:cstheme="minorBidi"/>
              <w:b w:val="0"/>
              <w:bCs w:val="0"/>
              <w:smallCaps w:val="0"/>
              <w:noProof/>
              <w:sz w:val="24"/>
              <w:szCs w:val="24"/>
            </w:rPr>
          </w:pPr>
          <w:hyperlink w:anchor="_Toc27578619" w:history="1">
            <w:r w:rsidR="00AE4BF6" w:rsidRPr="002E5DDC">
              <w:rPr>
                <w:rStyle w:val="Hyperlink"/>
                <w:rFonts w:ascii="Arial" w:hAnsi="Arial" w:cs="Arial"/>
                <w:noProof/>
                <w:u w:val="none"/>
              </w:rPr>
              <w:t>5.4 Limitation of this Research</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_Toc27578619 \h </w:instrText>
            </w:r>
            <w:r w:rsidR="00AE4BF6" w:rsidRPr="002E5DDC">
              <w:rPr>
                <w:noProof/>
                <w:webHidden/>
              </w:rPr>
            </w:r>
            <w:r w:rsidR="00AE4BF6" w:rsidRPr="002E5DDC">
              <w:rPr>
                <w:noProof/>
                <w:webHidden/>
              </w:rPr>
              <w:fldChar w:fldCharType="separate"/>
            </w:r>
            <w:r w:rsidR="006B166C">
              <w:rPr>
                <w:noProof/>
                <w:webHidden/>
              </w:rPr>
              <w:t>42</w:t>
            </w:r>
            <w:r w:rsidR="00AE4BF6" w:rsidRPr="002E5DDC">
              <w:rPr>
                <w:noProof/>
                <w:webHidden/>
              </w:rPr>
              <w:fldChar w:fldCharType="end"/>
            </w:r>
          </w:hyperlink>
        </w:p>
        <w:p w14:paraId="020BA07B" w14:textId="3B65B9A7" w:rsidR="00AE4BF6" w:rsidRPr="002E5DDC" w:rsidRDefault="00102DDD">
          <w:pPr>
            <w:pStyle w:val="TOC3"/>
            <w:tabs>
              <w:tab w:val="right" w:leader="dot" w:pos="8487"/>
            </w:tabs>
            <w:rPr>
              <w:rFonts w:eastAsiaTheme="minorEastAsia" w:cstheme="minorBidi"/>
              <w:smallCaps w:val="0"/>
              <w:noProof/>
              <w:sz w:val="24"/>
              <w:szCs w:val="24"/>
            </w:rPr>
          </w:pPr>
          <w:hyperlink w:anchor="_Toc27578620" w:history="1">
            <w:r w:rsidR="00AE4BF6" w:rsidRPr="002E5DDC">
              <w:rPr>
                <w:rStyle w:val="Hyperlink"/>
                <w:rFonts w:ascii="Arial" w:hAnsi="Arial" w:cs="Arial"/>
                <w:b/>
                <w:noProof/>
                <w:u w:val="none"/>
              </w:rPr>
              <w:t>5.4.1 Lack of Prior Research Studies on the Topic</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_Toc27578620 \h </w:instrText>
            </w:r>
            <w:r w:rsidR="00AE4BF6" w:rsidRPr="002E5DDC">
              <w:rPr>
                <w:noProof/>
                <w:webHidden/>
              </w:rPr>
            </w:r>
            <w:r w:rsidR="00AE4BF6" w:rsidRPr="002E5DDC">
              <w:rPr>
                <w:noProof/>
                <w:webHidden/>
              </w:rPr>
              <w:fldChar w:fldCharType="separate"/>
            </w:r>
            <w:r w:rsidR="006B166C">
              <w:rPr>
                <w:noProof/>
                <w:webHidden/>
              </w:rPr>
              <w:t>42</w:t>
            </w:r>
            <w:r w:rsidR="00AE4BF6" w:rsidRPr="002E5DDC">
              <w:rPr>
                <w:noProof/>
                <w:webHidden/>
              </w:rPr>
              <w:fldChar w:fldCharType="end"/>
            </w:r>
          </w:hyperlink>
        </w:p>
        <w:p w14:paraId="13184037" w14:textId="5C238F23" w:rsidR="00AE4BF6" w:rsidRPr="002E5DDC" w:rsidRDefault="00102DDD">
          <w:pPr>
            <w:pStyle w:val="TOC3"/>
            <w:tabs>
              <w:tab w:val="right" w:leader="dot" w:pos="8487"/>
            </w:tabs>
            <w:rPr>
              <w:rFonts w:eastAsiaTheme="minorEastAsia" w:cstheme="minorBidi"/>
              <w:smallCaps w:val="0"/>
              <w:noProof/>
              <w:sz w:val="24"/>
              <w:szCs w:val="24"/>
            </w:rPr>
          </w:pPr>
          <w:hyperlink w:anchor="_Toc27578621" w:history="1">
            <w:r w:rsidR="00AE4BF6" w:rsidRPr="002E5DDC">
              <w:rPr>
                <w:rStyle w:val="Hyperlink"/>
                <w:rFonts w:ascii="Arial" w:hAnsi="Arial" w:cs="Arial"/>
                <w:b/>
                <w:noProof/>
                <w:u w:val="none"/>
              </w:rPr>
              <w:t>5.4.2 Sample Size</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_Toc27578621 \h </w:instrText>
            </w:r>
            <w:r w:rsidR="00AE4BF6" w:rsidRPr="002E5DDC">
              <w:rPr>
                <w:noProof/>
                <w:webHidden/>
              </w:rPr>
            </w:r>
            <w:r w:rsidR="00AE4BF6" w:rsidRPr="002E5DDC">
              <w:rPr>
                <w:noProof/>
                <w:webHidden/>
              </w:rPr>
              <w:fldChar w:fldCharType="separate"/>
            </w:r>
            <w:r w:rsidR="006B166C">
              <w:rPr>
                <w:noProof/>
                <w:webHidden/>
              </w:rPr>
              <w:t>42</w:t>
            </w:r>
            <w:r w:rsidR="00AE4BF6" w:rsidRPr="002E5DDC">
              <w:rPr>
                <w:noProof/>
                <w:webHidden/>
              </w:rPr>
              <w:fldChar w:fldCharType="end"/>
            </w:r>
          </w:hyperlink>
        </w:p>
        <w:p w14:paraId="246433EF" w14:textId="1F9C4A44" w:rsidR="00AE4BF6" w:rsidRPr="002E5DDC" w:rsidRDefault="00102DDD">
          <w:pPr>
            <w:pStyle w:val="TOC3"/>
            <w:tabs>
              <w:tab w:val="right" w:leader="dot" w:pos="8487"/>
            </w:tabs>
            <w:rPr>
              <w:rFonts w:eastAsiaTheme="minorEastAsia" w:cstheme="minorBidi"/>
              <w:smallCaps w:val="0"/>
              <w:noProof/>
              <w:sz w:val="24"/>
              <w:szCs w:val="24"/>
            </w:rPr>
          </w:pPr>
          <w:hyperlink w:anchor="_Toc27578622" w:history="1">
            <w:r w:rsidR="00AE4BF6" w:rsidRPr="002E5DDC">
              <w:rPr>
                <w:rStyle w:val="Hyperlink"/>
                <w:rFonts w:ascii="Arial" w:hAnsi="Arial" w:cs="Arial"/>
                <w:b/>
                <w:noProof/>
                <w:u w:val="none"/>
              </w:rPr>
              <w:t xml:space="preserve">5.4.3 </w:t>
            </w:r>
            <w:r w:rsidR="00AE4BF6" w:rsidRPr="002E5DDC">
              <w:rPr>
                <w:rStyle w:val="Hyperlink"/>
                <w:rFonts w:ascii="Arial" w:hAnsi="Arial" w:cs="Arial"/>
                <w:b/>
                <w:noProof/>
                <w:u w:val="none"/>
                <w:lang w:val="en-US"/>
              </w:rPr>
              <w:t>D</w:t>
            </w:r>
            <w:r w:rsidR="00AE4BF6" w:rsidRPr="002E5DDC">
              <w:rPr>
                <w:rStyle w:val="Hyperlink"/>
                <w:rFonts w:ascii="Arial" w:hAnsi="Arial" w:cs="Arial"/>
                <w:b/>
                <w:noProof/>
                <w:u w:val="none"/>
              </w:rPr>
              <w:t>at</w:t>
            </w:r>
            <w:r w:rsidR="00AE4BF6" w:rsidRPr="002E5DDC">
              <w:rPr>
                <w:rStyle w:val="Hyperlink"/>
                <w:rFonts w:ascii="Arial" w:hAnsi="Arial" w:cs="Arial"/>
                <w:b/>
                <w:noProof/>
                <w:u w:val="none"/>
                <w:lang w:val="en-US"/>
              </w:rPr>
              <w:t>a</w:t>
            </w:r>
            <w:r w:rsidR="00AE4BF6" w:rsidRPr="002E5DDC">
              <w:rPr>
                <w:rStyle w:val="Hyperlink"/>
                <w:rFonts w:ascii="Arial" w:hAnsi="Arial" w:cs="Arial"/>
                <w:b/>
                <w:noProof/>
                <w:u w:val="none"/>
              </w:rPr>
              <w:t xml:space="preserve"> Collection</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_Toc27578622 \h </w:instrText>
            </w:r>
            <w:r w:rsidR="00AE4BF6" w:rsidRPr="002E5DDC">
              <w:rPr>
                <w:noProof/>
                <w:webHidden/>
              </w:rPr>
            </w:r>
            <w:r w:rsidR="00AE4BF6" w:rsidRPr="002E5DDC">
              <w:rPr>
                <w:noProof/>
                <w:webHidden/>
              </w:rPr>
              <w:fldChar w:fldCharType="separate"/>
            </w:r>
            <w:r w:rsidR="006B166C">
              <w:rPr>
                <w:noProof/>
                <w:webHidden/>
              </w:rPr>
              <w:t>43</w:t>
            </w:r>
            <w:r w:rsidR="00AE4BF6" w:rsidRPr="002E5DDC">
              <w:rPr>
                <w:noProof/>
                <w:webHidden/>
              </w:rPr>
              <w:fldChar w:fldCharType="end"/>
            </w:r>
          </w:hyperlink>
        </w:p>
        <w:p w14:paraId="332919E9" w14:textId="15F73431" w:rsidR="00AE4BF6" w:rsidRPr="002E5DDC" w:rsidRDefault="00102DDD">
          <w:pPr>
            <w:pStyle w:val="TOC2"/>
            <w:rPr>
              <w:rFonts w:eastAsiaTheme="minorEastAsia" w:cstheme="minorBidi"/>
              <w:b w:val="0"/>
              <w:bCs w:val="0"/>
              <w:smallCaps w:val="0"/>
              <w:noProof/>
              <w:sz w:val="24"/>
              <w:szCs w:val="24"/>
            </w:rPr>
          </w:pPr>
          <w:hyperlink w:anchor="_Toc27578623" w:history="1">
            <w:r w:rsidR="00AE4BF6" w:rsidRPr="002E5DDC">
              <w:rPr>
                <w:rStyle w:val="Hyperlink"/>
                <w:rFonts w:ascii="Arial" w:hAnsi="Arial" w:cs="Arial"/>
                <w:noProof/>
                <w:u w:val="none"/>
              </w:rPr>
              <w:t>5.5 Recommendation for Future Research</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_Toc27578623 \h </w:instrText>
            </w:r>
            <w:r w:rsidR="00AE4BF6" w:rsidRPr="002E5DDC">
              <w:rPr>
                <w:noProof/>
                <w:webHidden/>
              </w:rPr>
            </w:r>
            <w:r w:rsidR="00AE4BF6" w:rsidRPr="002E5DDC">
              <w:rPr>
                <w:noProof/>
                <w:webHidden/>
              </w:rPr>
              <w:fldChar w:fldCharType="separate"/>
            </w:r>
            <w:r w:rsidR="006B166C">
              <w:rPr>
                <w:noProof/>
                <w:webHidden/>
              </w:rPr>
              <w:t>43</w:t>
            </w:r>
            <w:r w:rsidR="00AE4BF6" w:rsidRPr="002E5DDC">
              <w:rPr>
                <w:noProof/>
                <w:webHidden/>
              </w:rPr>
              <w:fldChar w:fldCharType="end"/>
            </w:r>
          </w:hyperlink>
        </w:p>
        <w:p w14:paraId="4AD3E16D" w14:textId="629C9D85" w:rsidR="00AE4BF6" w:rsidRPr="002E5DDC" w:rsidRDefault="00102DDD">
          <w:pPr>
            <w:pStyle w:val="TOC2"/>
            <w:rPr>
              <w:rFonts w:eastAsiaTheme="minorEastAsia" w:cstheme="minorBidi"/>
              <w:b w:val="0"/>
              <w:bCs w:val="0"/>
              <w:smallCaps w:val="0"/>
              <w:noProof/>
              <w:sz w:val="24"/>
              <w:szCs w:val="24"/>
            </w:rPr>
          </w:pPr>
          <w:hyperlink w:anchor="_Toc27578624" w:history="1">
            <w:r w:rsidR="00AE4BF6" w:rsidRPr="002E5DDC">
              <w:rPr>
                <w:rStyle w:val="Hyperlink"/>
                <w:rFonts w:ascii="Arial" w:hAnsi="Arial" w:cs="Arial"/>
                <w:noProof/>
                <w:u w:val="none"/>
              </w:rPr>
              <w:t>5.6 Personal Reflections</w:t>
            </w:r>
            <w:r w:rsidR="00AE4BF6" w:rsidRPr="002E5DDC">
              <w:rPr>
                <w:noProof/>
                <w:webHidden/>
              </w:rPr>
              <w:tab/>
            </w:r>
            <w:r w:rsidR="00AE4BF6" w:rsidRPr="002E5DDC">
              <w:rPr>
                <w:noProof/>
                <w:webHidden/>
              </w:rPr>
              <w:fldChar w:fldCharType="begin"/>
            </w:r>
            <w:r w:rsidR="00AE4BF6" w:rsidRPr="002E5DDC">
              <w:rPr>
                <w:noProof/>
                <w:webHidden/>
              </w:rPr>
              <w:instrText xml:space="preserve"> PAGEREF _Toc27578624 \h </w:instrText>
            </w:r>
            <w:r w:rsidR="00AE4BF6" w:rsidRPr="002E5DDC">
              <w:rPr>
                <w:noProof/>
                <w:webHidden/>
              </w:rPr>
            </w:r>
            <w:r w:rsidR="00AE4BF6" w:rsidRPr="002E5DDC">
              <w:rPr>
                <w:noProof/>
                <w:webHidden/>
              </w:rPr>
              <w:fldChar w:fldCharType="separate"/>
            </w:r>
            <w:r w:rsidR="006B166C">
              <w:rPr>
                <w:noProof/>
                <w:webHidden/>
              </w:rPr>
              <w:t>43</w:t>
            </w:r>
            <w:r w:rsidR="00AE4BF6" w:rsidRPr="002E5DDC">
              <w:rPr>
                <w:noProof/>
                <w:webHidden/>
              </w:rPr>
              <w:fldChar w:fldCharType="end"/>
            </w:r>
          </w:hyperlink>
        </w:p>
        <w:p w14:paraId="3D7BEE03" w14:textId="009F567D" w:rsidR="00AE4BF6" w:rsidRPr="002E5DDC" w:rsidRDefault="00102DDD">
          <w:pPr>
            <w:pStyle w:val="TOC1"/>
            <w:tabs>
              <w:tab w:val="right" w:leader="dot" w:pos="8487"/>
            </w:tabs>
            <w:rPr>
              <w:rFonts w:eastAsiaTheme="minorEastAsia" w:cstheme="minorBidi"/>
              <w:b w:val="0"/>
              <w:bCs w:val="0"/>
              <w:caps w:val="0"/>
              <w:noProof/>
              <w:sz w:val="24"/>
              <w:szCs w:val="24"/>
              <w:u w:val="none"/>
            </w:rPr>
          </w:pPr>
          <w:hyperlink w:anchor="_Toc27578625" w:history="1">
            <w:r w:rsidR="00AE4BF6" w:rsidRPr="002E5DDC">
              <w:rPr>
                <w:rStyle w:val="Hyperlink"/>
                <w:rFonts w:ascii="Times New Roman" w:hAnsi="Times New Roman"/>
                <w:noProof/>
                <w:u w:val="none"/>
              </w:rPr>
              <w:t>Reference</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_Toc27578625 \h </w:instrText>
            </w:r>
            <w:r w:rsidR="00AE4BF6" w:rsidRPr="002E5DDC">
              <w:rPr>
                <w:noProof/>
                <w:webHidden/>
                <w:u w:val="none"/>
              </w:rPr>
            </w:r>
            <w:r w:rsidR="00AE4BF6" w:rsidRPr="002E5DDC">
              <w:rPr>
                <w:noProof/>
                <w:webHidden/>
                <w:u w:val="none"/>
              </w:rPr>
              <w:fldChar w:fldCharType="separate"/>
            </w:r>
            <w:r w:rsidR="006B166C">
              <w:rPr>
                <w:noProof/>
                <w:webHidden/>
                <w:u w:val="none"/>
              </w:rPr>
              <w:t>45</w:t>
            </w:r>
            <w:r w:rsidR="00AE4BF6" w:rsidRPr="002E5DDC">
              <w:rPr>
                <w:noProof/>
                <w:webHidden/>
                <w:u w:val="none"/>
              </w:rPr>
              <w:fldChar w:fldCharType="end"/>
            </w:r>
          </w:hyperlink>
        </w:p>
        <w:p w14:paraId="5666B3A4" w14:textId="3DB5DE9B" w:rsidR="00AE4BF6" w:rsidRPr="002E5DDC" w:rsidRDefault="00102DDD">
          <w:pPr>
            <w:pStyle w:val="TOC1"/>
            <w:tabs>
              <w:tab w:val="right" w:leader="dot" w:pos="8487"/>
            </w:tabs>
            <w:rPr>
              <w:rFonts w:eastAsiaTheme="minorEastAsia" w:cstheme="minorBidi"/>
              <w:b w:val="0"/>
              <w:bCs w:val="0"/>
              <w:caps w:val="0"/>
              <w:noProof/>
              <w:sz w:val="24"/>
              <w:szCs w:val="24"/>
              <w:u w:val="none"/>
            </w:rPr>
          </w:pPr>
          <w:hyperlink w:anchor="_Toc27578626" w:history="1">
            <w:r w:rsidR="00AE4BF6" w:rsidRPr="002E5DDC">
              <w:rPr>
                <w:rStyle w:val="Hyperlink"/>
                <w:rFonts w:ascii="Arial" w:hAnsi="Arial" w:cs="Arial"/>
                <w:noProof/>
                <w:u w:val="none"/>
              </w:rPr>
              <w:t>Appendixes</w:t>
            </w:r>
            <w:r w:rsidR="00AE4BF6" w:rsidRPr="002E5DDC">
              <w:rPr>
                <w:noProof/>
                <w:webHidden/>
                <w:u w:val="none"/>
              </w:rPr>
              <w:tab/>
            </w:r>
            <w:r w:rsidR="00AE4BF6" w:rsidRPr="002E5DDC">
              <w:rPr>
                <w:noProof/>
                <w:webHidden/>
                <w:u w:val="none"/>
              </w:rPr>
              <w:fldChar w:fldCharType="begin"/>
            </w:r>
            <w:r w:rsidR="00AE4BF6" w:rsidRPr="002E5DDC">
              <w:rPr>
                <w:noProof/>
                <w:webHidden/>
                <w:u w:val="none"/>
              </w:rPr>
              <w:instrText xml:space="preserve"> PAGEREF _Toc27578626 \h </w:instrText>
            </w:r>
            <w:r w:rsidR="00AE4BF6" w:rsidRPr="002E5DDC">
              <w:rPr>
                <w:noProof/>
                <w:webHidden/>
                <w:u w:val="none"/>
              </w:rPr>
            </w:r>
            <w:r w:rsidR="00AE4BF6" w:rsidRPr="002E5DDC">
              <w:rPr>
                <w:noProof/>
                <w:webHidden/>
                <w:u w:val="none"/>
              </w:rPr>
              <w:fldChar w:fldCharType="separate"/>
            </w:r>
            <w:r w:rsidR="006B166C">
              <w:rPr>
                <w:noProof/>
                <w:webHidden/>
                <w:u w:val="none"/>
              </w:rPr>
              <w:t>53</w:t>
            </w:r>
            <w:r w:rsidR="00AE4BF6" w:rsidRPr="002E5DDC">
              <w:rPr>
                <w:noProof/>
                <w:webHidden/>
                <w:u w:val="none"/>
              </w:rPr>
              <w:fldChar w:fldCharType="end"/>
            </w:r>
          </w:hyperlink>
        </w:p>
        <w:p w14:paraId="67AB5E01" w14:textId="48E88A8C" w:rsidR="008C00D5" w:rsidRPr="00AE4BF6" w:rsidRDefault="009C2656" w:rsidP="00AE4BF6">
          <w:pPr>
            <w:pStyle w:val="TOC2"/>
            <w:rPr>
              <w:rFonts w:ascii="Times New Roman" w:eastAsiaTheme="minorEastAsia" w:hAnsi="Times New Roman"/>
              <w:noProof/>
              <w:sz w:val="24"/>
              <w:szCs w:val="24"/>
            </w:rPr>
          </w:pPr>
          <w:r w:rsidRPr="006912B2">
            <w:rPr>
              <w:rFonts w:ascii="Times New Roman" w:hAnsi="Times New Roman"/>
              <w:noProof/>
            </w:rPr>
            <w:fldChar w:fldCharType="end"/>
          </w:r>
        </w:p>
      </w:sdtContent>
    </w:sdt>
    <w:p w14:paraId="6B108FEB" w14:textId="67A4B134" w:rsidR="008C00D5" w:rsidRDefault="008C00D5" w:rsidP="00495D62">
      <w:pPr>
        <w:spacing w:line="360" w:lineRule="auto"/>
        <w:jc w:val="center"/>
        <w:rPr>
          <w:b/>
          <w:sz w:val="28"/>
          <w:szCs w:val="28"/>
          <w:u w:val="single"/>
        </w:rPr>
      </w:pPr>
    </w:p>
    <w:p w14:paraId="342EFD0B" w14:textId="09AE7115" w:rsidR="008D0B71" w:rsidRDefault="008D0B71" w:rsidP="00495D62">
      <w:pPr>
        <w:spacing w:line="360" w:lineRule="auto"/>
        <w:jc w:val="center"/>
        <w:rPr>
          <w:b/>
          <w:sz w:val="28"/>
          <w:szCs w:val="28"/>
          <w:u w:val="single"/>
        </w:rPr>
      </w:pPr>
    </w:p>
    <w:p w14:paraId="0434DD31" w14:textId="7B165ADE" w:rsidR="008D0B71" w:rsidRDefault="008D0B71" w:rsidP="00495D62">
      <w:pPr>
        <w:spacing w:line="360" w:lineRule="auto"/>
        <w:jc w:val="center"/>
        <w:rPr>
          <w:b/>
          <w:sz w:val="28"/>
          <w:szCs w:val="28"/>
          <w:u w:val="single"/>
        </w:rPr>
      </w:pPr>
    </w:p>
    <w:p w14:paraId="23A8EE16" w14:textId="77777777" w:rsidR="008D0B71" w:rsidRDefault="008D0B71" w:rsidP="00495D62">
      <w:pPr>
        <w:spacing w:line="360" w:lineRule="auto"/>
        <w:jc w:val="center"/>
        <w:rPr>
          <w:b/>
          <w:sz w:val="28"/>
          <w:szCs w:val="28"/>
          <w:u w:val="single"/>
        </w:rPr>
      </w:pPr>
    </w:p>
    <w:p w14:paraId="29BFCAA0" w14:textId="77777777" w:rsidR="008C00D5" w:rsidRDefault="008C00D5" w:rsidP="00AE4BF6">
      <w:pPr>
        <w:spacing w:line="360" w:lineRule="auto"/>
        <w:rPr>
          <w:b/>
          <w:sz w:val="28"/>
          <w:szCs w:val="28"/>
          <w:u w:val="single"/>
        </w:rPr>
      </w:pPr>
    </w:p>
    <w:p w14:paraId="284E17D7" w14:textId="479A3C3B" w:rsidR="00495D62" w:rsidRPr="00771ED7" w:rsidRDefault="00495D62" w:rsidP="00771ED7">
      <w:pPr>
        <w:pStyle w:val="Heading1"/>
        <w:spacing w:after="480"/>
        <w:ind w:left="142"/>
        <w:jc w:val="center"/>
        <w:rPr>
          <w:rFonts w:ascii="Arial" w:hAnsi="Arial" w:cs="Arial"/>
          <w:b/>
          <w:sz w:val="28"/>
          <w:szCs w:val="28"/>
        </w:rPr>
      </w:pPr>
      <w:bookmarkStart w:id="8" w:name="_Toc27578579"/>
      <w:r w:rsidRPr="00771ED7">
        <w:rPr>
          <w:rFonts w:ascii="Arial" w:hAnsi="Arial" w:cs="Arial"/>
          <w:b/>
          <w:sz w:val="28"/>
          <w:szCs w:val="28"/>
        </w:rPr>
        <w:lastRenderedPageBreak/>
        <w:t>ABBREVIATION</w:t>
      </w:r>
      <w:bookmarkEnd w:id="8"/>
    </w:p>
    <w:p w14:paraId="56F56959" w14:textId="33F119DD" w:rsidR="00495D62" w:rsidRPr="000D4E7A" w:rsidRDefault="00CA7237" w:rsidP="00495D62">
      <w:pPr>
        <w:spacing w:line="360" w:lineRule="auto"/>
        <w:jc w:val="both"/>
      </w:pPr>
      <w:r>
        <w:t>LR</w:t>
      </w:r>
      <w:r w:rsidR="004D40AC">
        <w:t>M</w:t>
      </w:r>
      <w:r w:rsidR="00495D62" w:rsidRPr="000D4E7A">
        <w:t xml:space="preserve">       </w:t>
      </w:r>
      <w:r>
        <w:t xml:space="preserve"> </w:t>
      </w:r>
      <w:r w:rsidR="00495D62">
        <w:t xml:space="preserve">    </w:t>
      </w:r>
      <w:r w:rsidR="00495D62" w:rsidRPr="000D4E7A">
        <w:sym w:font="Symbol" w:char="F03A"/>
      </w:r>
      <w:r w:rsidR="00495D62" w:rsidRPr="000D4E7A">
        <w:t xml:space="preserve"> </w:t>
      </w:r>
      <w:r>
        <w:t>Liquidity Risk</w:t>
      </w:r>
      <w:r w:rsidR="004D40AC">
        <w:t xml:space="preserve"> Management</w:t>
      </w:r>
      <w:r w:rsidR="00670B7E" w:rsidRPr="00670B7E">
        <w:t xml:space="preserve"> </w:t>
      </w:r>
    </w:p>
    <w:p w14:paraId="5B84C9EA" w14:textId="417F4CEA" w:rsidR="00FC5D66" w:rsidRDefault="00670B7E" w:rsidP="00670B7E">
      <w:pPr>
        <w:spacing w:line="360" w:lineRule="auto"/>
      </w:pPr>
      <w:r w:rsidRPr="00670B7E">
        <w:t>RO</w:t>
      </w:r>
      <w:r w:rsidR="006726FD">
        <w:t>A</w:t>
      </w:r>
      <w:r>
        <w:t xml:space="preserve">             : </w:t>
      </w:r>
      <w:r w:rsidRPr="00670B7E">
        <w:t xml:space="preserve">Return on </w:t>
      </w:r>
      <w:r w:rsidR="006726FD">
        <w:t>Assets</w:t>
      </w:r>
    </w:p>
    <w:p w14:paraId="58859898" w14:textId="6AA16A4D" w:rsidR="00FC5D66" w:rsidRDefault="00FC5D66" w:rsidP="00670B7E">
      <w:pPr>
        <w:spacing w:line="360" w:lineRule="auto"/>
      </w:pPr>
      <w:r w:rsidRPr="00FC5D66">
        <w:t>BNM</w:t>
      </w:r>
      <w:r>
        <w:t xml:space="preserve">            :</w:t>
      </w:r>
      <w:r w:rsidRPr="00FC5D66">
        <w:t xml:space="preserve"> Bank Negara Malaysia</w:t>
      </w:r>
    </w:p>
    <w:p w14:paraId="4D77F6BF" w14:textId="3A898BC3" w:rsidR="001E69BC" w:rsidRPr="001E69BC" w:rsidRDefault="001E69BC" w:rsidP="00670B7E">
      <w:pPr>
        <w:spacing w:line="360" w:lineRule="auto"/>
        <w:rPr>
          <w:lang w:val="en-US"/>
        </w:rPr>
      </w:pPr>
      <w:r w:rsidRPr="001E69BC">
        <w:t xml:space="preserve">GFC </w:t>
      </w:r>
      <w:r>
        <w:t xml:space="preserve">            :</w:t>
      </w:r>
      <w:r w:rsidRPr="001E69BC">
        <w:t xml:space="preserve">Global Financial Crisis </w:t>
      </w:r>
    </w:p>
    <w:p w14:paraId="4B3C6298" w14:textId="77777777" w:rsidR="00495D62" w:rsidRDefault="00495D62" w:rsidP="00495D62">
      <w:pPr>
        <w:spacing w:line="480" w:lineRule="auto"/>
        <w:jc w:val="both"/>
        <w:rPr>
          <w:lang w:val="en-US"/>
        </w:rPr>
      </w:pPr>
    </w:p>
    <w:p w14:paraId="669F3C8E" w14:textId="77777777" w:rsidR="00495D62" w:rsidRDefault="00495D62" w:rsidP="00495D62">
      <w:pPr>
        <w:spacing w:line="480" w:lineRule="auto"/>
        <w:jc w:val="both"/>
        <w:rPr>
          <w:lang w:val="en-US"/>
        </w:rPr>
      </w:pPr>
    </w:p>
    <w:p w14:paraId="05E2FD8A" w14:textId="77777777" w:rsidR="00495D62" w:rsidRDefault="00495D62" w:rsidP="00495D62">
      <w:pPr>
        <w:spacing w:line="480" w:lineRule="auto"/>
        <w:jc w:val="both"/>
        <w:rPr>
          <w:lang w:val="en-US"/>
        </w:rPr>
      </w:pPr>
    </w:p>
    <w:p w14:paraId="70254476" w14:textId="77777777" w:rsidR="00495D62" w:rsidRDefault="00495D62" w:rsidP="00495D62">
      <w:pPr>
        <w:spacing w:line="480" w:lineRule="auto"/>
        <w:jc w:val="both"/>
        <w:rPr>
          <w:lang w:val="en-US"/>
        </w:rPr>
      </w:pPr>
    </w:p>
    <w:p w14:paraId="60C05EF2" w14:textId="77777777" w:rsidR="00495D62" w:rsidRDefault="00495D62" w:rsidP="00495D62">
      <w:pPr>
        <w:spacing w:line="480" w:lineRule="auto"/>
        <w:jc w:val="both"/>
        <w:rPr>
          <w:lang w:val="en-US"/>
        </w:rPr>
      </w:pPr>
    </w:p>
    <w:p w14:paraId="4F076253" w14:textId="77777777" w:rsidR="00495D62" w:rsidRDefault="00495D62" w:rsidP="00495D62">
      <w:pPr>
        <w:spacing w:line="480" w:lineRule="auto"/>
        <w:jc w:val="both"/>
        <w:rPr>
          <w:lang w:val="en-US"/>
        </w:rPr>
      </w:pPr>
    </w:p>
    <w:p w14:paraId="6953E005" w14:textId="77777777" w:rsidR="00495D62" w:rsidRDefault="00495D62" w:rsidP="00495D62">
      <w:pPr>
        <w:spacing w:line="480" w:lineRule="auto"/>
        <w:jc w:val="both"/>
        <w:rPr>
          <w:lang w:val="en-US"/>
        </w:rPr>
      </w:pPr>
    </w:p>
    <w:p w14:paraId="51C5FFCC" w14:textId="77777777" w:rsidR="00495D62" w:rsidRDefault="00495D62" w:rsidP="00495D62">
      <w:pPr>
        <w:spacing w:line="480" w:lineRule="auto"/>
        <w:jc w:val="both"/>
        <w:rPr>
          <w:lang w:val="en-US"/>
        </w:rPr>
      </w:pPr>
    </w:p>
    <w:p w14:paraId="33F32919" w14:textId="77777777" w:rsidR="00495D62" w:rsidRDefault="00495D62" w:rsidP="00495D62">
      <w:pPr>
        <w:spacing w:line="480" w:lineRule="auto"/>
        <w:jc w:val="both"/>
        <w:rPr>
          <w:lang w:val="en-US"/>
        </w:rPr>
      </w:pPr>
    </w:p>
    <w:p w14:paraId="127C84D1" w14:textId="77777777" w:rsidR="00495D62" w:rsidRDefault="00495D62" w:rsidP="00495D62">
      <w:pPr>
        <w:spacing w:line="480" w:lineRule="auto"/>
        <w:jc w:val="both"/>
        <w:rPr>
          <w:lang w:val="en-US"/>
        </w:rPr>
      </w:pPr>
    </w:p>
    <w:p w14:paraId="4E000C82" w14:textId="77777777" w:rsidR="00495D62" w:rsidRDefault="00495D62" w:rsidP="00495D62">
      <w:pPr>
        <w:spacing w:line="480" w:lineRule="auto"/>
        <w:jc w:val="both"/>
        <w:rPr>
          <w:lang w:val="en-US"/>
        </w:rPr>
      </w:pPr>
    </w:p>
    <w:p w14:paraId="72ECB51C" w14:textId="77777777" w:rsidR="00495D62" w:rsidRDefault="00495D62" w:rsidP="00495D62">
      <w:pPr>
        <w:spacing w:line="480" w:lineRule="auto"/>
        <w:jc w:val="both"/>
        <w:rPr>
          <w:lang w:val="en-US"/>
        </w:rPr>
      </w:pPr>
    </w:p>
    <w:p w14:paraId="7DECE3DC" w14:textId="77777777" w:rsidR="00495D62" w:rsidRDefault="00495D62" w:rsidP="00495D62">
      <w:pPr>
        <w:spacing w:line="480" w:lineRule="auto"/>
        <w:jc w:val="both"/>
        <w:rPr>
          <w:lang w:val="en-US"/>
        </w:rPr>
      </w:pPr>
    </w:p>
    <w:p w14:paraId="03EE7652" w14:textId="77777777" w:rsidR="00495D62" w:rsidRDefault="00495D62" w:rsidP="00495D62">
      <w:pPr>
        <w:spacing w:line="480" w:lineRule="auto"/>
        <w:jc w:val="both"/>
        <w:rPr>
          <w:lang w:val="en-US"/>
        </w:rPr>
      </w:pPr>
    </w:p>
    <w:p w14:paraId="6E3DE3F4" w14:textId="77777777" w:rsidR="00495D62" w:rsidRDefault="00495D62" w:rsidP="00495D62">
      <w:pPr>
        <w:spacing w:line="480" w:lineRule="auto"/>
        <w:jc w:val="both"/>
        <w:rPr>
          <w:lang w:val="en-US"/>
        </w:rPr>
      </w:pPr>
    </w:p>
    <w:p w14:paraId="575F025F" w14:textId="77777777" w:rsidR="00495D62" w:rsidRDefault="00495D62" w:rsidP="00495D62">
      <w:pPr>
        <w:spacing w:line="480" w:lineRule="auto"/>
        <w:jc w:val="both"/>
        <w:rPr>
          <w:lang w:val="en-US"/>
        </w:rPr>
      </w:pPr>
    </w:p>
    <w:p w14:paraId="7A975215" w14:textId="345C832B" w:rsidR="00495D62" w:rsidRDefault="00495D62" w:rsidP="00335E20">
      <w:pPr>
        <w:rPr>
          <w:lang w:val="en-US"/>
        </w:rPr>
      </w:pPr>
    </w:p>
    <w:p w14:paraId="26EFAA5F" w14:textId="77777777" w:rsidR="006B6052" w:rsidRDefault="006B6052" w:rsidP="00335E20"/>
    <w:p w14:paraId="7915D066" w14:textId="54E8DD14" w:rsidR="00495D62" w:rsidRDefault="00495D62" w:rsidP="00335E20"/>
    <w:p w14:paraId="04762435" w14:textId="4357B3DC" w:rsidR="00495D62" w:rsidRDefault="00495D62" w:rsidP="00335E20"/>
    <w:p w14:paraId="6D552F06" w14:textId="77777777" w:rsidR="000D4E7A" w:rsidRDefault="000D4E7A" w:rsidP="00335E20"/>
    <w:p w14:paraId="563AF69C" w14:textId="366DCC7C" w:rsidR="006B6052" w:rsidRPr="00771ED7" w:rsidRDefault="000D4E7A" w:rsidP="00771ED7">
      <w:pPr>
        <w:pStyle w:val="Heading1"/>
        <w:spacing w:after="480"/>
        <w:ind w:left="142"/>
        <w:jc w:val="center"/>
        <w:rPr>
          <w:rFonts w:ascii="Arial" w:hAnsi="Arial" w:cs="Arial"/>
          <w:b/>
          <w:sz w:val="28"/>
          <w:szCs w:val="28"/>
        </w:rPr>
      </w:pPr>
      <w:bookmarkStart w:id="9" w:name="_Toc27578580"/>
      <w:r w:rsidRPr="00771ED7">
        <w:rPr>
          <w:rFonts w:ascii="Arial" w:hAnsi="Arial" w:cs="Arial"/>
          <w:b/>
          <w:sz w:val="28"/>
          <w:szCs w:val="28"/>
        </w:rPr>
        <w:lastRenderedPageBreak/>
        <w:t>LIST OF TABLES</w:t>
      </w:r>
      <w:r w:rsidR="006B6052" w:rsidRPr="00771ED7">
        <w:rPr>
          <w:rFonts w:ascii="Arial" w:hAnsi="Arial" w:cs="Arial"/>
          <w:b/>
          <w:sz w:val="28"/>
          <w:szCs w:val="28"/>
        </w:rPr>
        <w:t xml:space="preserve"> &amp;</w:t>
      </w:r>
      <w:r w:rsidRPr="00771ED7">
        <w:rPr>
          <w:rFonts w:ascii="Arial" w:hAnsi="Arial" w:cs="Arial"/>
          <w:b/>
          <w:sz w:val="28"/>
          <w:szCs w:val="28"/>
        </w:rPr>
        <w:t xml:space="preserve"> FIGURES</w:t>
      </w:r>
      <w:bookmarkEnd w:id="9"/>
    </w:p>
    <w:p w14:paraId="4B7C5ACD" w14:textId="1E163D50" w:rsidR="000D4E7A" w:rsidRPr="002C515E" w:rsidRDefault="000D4E7A" w:rsidP="002C515E">
      <w:pPr>
        <w:spacing w:line="360" w:lineRule="auto"/>
        <w:rPr>
          <w:b/>
          <w:sz w:val="28"/>
          <w:szCs w:val="28"/>
          <w:u w:val="single"/>
        </w:rPr>
      </w:pPr>
      <w:r w:rsidRPr="002C515E">
        <w:rPr>
          <w:b/>
          <w:sz w:val="28"/>
          <w:szCs w:val="28"/>
          <w:u w:val="single"/>
        </w:rPr>
        <w:t>List of Table</w:t>
      </w:r>
    </w:p>
    <w:tbl>
      <w:tblPr>
        <w:tblStyle w:val="TableGrid"/>
        <w:tblW w:w="0" w:type="auto"/>
        <w:tblLook w:val="04A0" w:firstRow="1" w:lastRow="0" w:firstColumn="1" w:lastColumn="0" w:noHBand="0" w:noVBand="1"/>
      </w:tblPr>
      <w:tblGrid>
        <w:gridCol w:w="6911"/>
        <w:gridCol w:w="1576"/>
      </w:tblGrid>
      <w:tr w:rsidR="000D4E7A" w14:paraId="3A484DD5" w14:textId="77777777" w:rsidTr="00F00F0F">
        <w:tc>
          <w:tcPr>
            <w:tcW w:w="6911" w:type="dxa"/>
          </w:tcPr>
          <w:p w14:paraId="7CB43AB8" w14:textId="77777777" w:rsidR="000D4E7A" w:rsidRPr="002C515E" w:rsidRDefault="000D4E7A" w:rsidP="009C2656">
            <w:pPr>
              <w:spacing w:line="360" w:lineRule="auto"/>
              <w:jc w:val="center"/>
              <w:rPr>
                <w:b/>
                <w:sz w:val="24"/>
                <w:szCs w:val="24"/>
              </w:rPr>
            </w:pPr>
            <w:bookmarkStart w:id="10" w:name="_Hlk510085818"/>
            <w:r w:rsidRPr="002C515E">
              <w:rPr>
                <w:b/>
                <w:sz w:val="24"/>
                <w:szCs w:val="24"/>
              </w:rPr>
              <w:t>Table</w:t>
            </w:r>
          </w:p>
        </w:tc>
        <w:tc>
          <w:tcPr>
            <w:tcW w:w="1576" w:type="dxa"/>
          </w:tcPr>
          <w:p w14:paraId="293D934A" w14:textId="77777777" w:rsidR="000D4E7A" w:rsidRPr="002C515E" w:rsidRDefault="000D4E7A" w:rsidP="009C2656">
            <w:pPr>
              <w:spacing w:line="360" w:lineRule="auto"/>
              <w:jc w:val="center"/>
              <w:rPr>
                <w:b/>
                <w:sz w:val="24"/>
                <w:szCs w:val="24"/>
              </w:rPr>
            </w:pPr>
            <w:r w:rsidRPr="002C515E">
              <w:rPr>
                <w:b/>
                <w:sz w:val="24"/>
                <w:szCs w:val="24"/>
              </w:rPr>
              <w:t>Pages</w:t>
            </w:r>
          </w:p>
        </w:tc>
      </w:tr>
      <w:tr w:rsidR="00F64791" w14:paraId="44411F73" w14:textId="77777777" w:rsidTr="00F00F0F">
        <w:tc>
          <w:tcPr>
            <w:tcW w:w="6911" w:type="dxa"/>
          </w:tcPr>
          <w:p w14:paraId="02DEB6F4" w14:textId="1459C8D0" w:rsidR="00F64791" w:rsidRPr="00F70E5E" w:rsidRDefault="00F70E5E" w:rsidP="009C2656">
            <w:pPr>
              <w:spacing w:line="360" w:lineRule="auto"/>
              <w:rPr>
                <w:sz w:val="24"/>
                <w:szCs w:val="24"/>
              </w:rPr>
            </w:pPr>
            <w:r w:rsidRPr="00F70E5E">
              <w:rPr>
                <w:rFonts w:ascii="Arial" w:hAnsi="Arial" w:cs="Arial"/>
                <w:sz w:val="24"/>
                <w:szCs w:val="24"/>
              </w:rPr>
              <w:t>Table 2.0: Summary of variable, expected relationship with dependent variable and data source</w:t>
            </w:r>
          </w:p>
        </w:tc>
        <w:tc>
          <w:tcPr>
            <w:tcW w:w="1576" w:type="dxa"/>
          </w:tcPr>
          <w:p w14:paraId="351D6890" w14:textId="6AB3AAB6" w:rsidR="00F64791" w:rsidRPr="003E5C0F" w:rsidRDefault="00F64791" w:rsidP="009C2656">
            <w:pPr>
              <w:spacing w:line="360" w:lineRule="auto"/>
              <w:rPr>
                <w:rFonts w:ascii="Arial" w:hAnsi="Arial" w:cs="Arial"/>
                <w:sz w:val="24"/>
                <w:szCs w:val="24"/>
              </w:rPr>
            </w:pPr>
            <w:r w:rsidRPr="003E5C0F">
              <w:rPr>
                <w:rFonts w:ascii="Arial" w:hAnsi="Arial" w:cs="Arial"/>
                <w:sz w:val="24"/>
                <w:szCs w:val="24"/>
              </w:rPr>
              <w:t>24</w:t>
            </w:r>
          </w:p>
        </w:tc>
      </w:tr>
      <w:tr w:rsidR="00F64791" w14:paraId="6B04D15B" w14:textId="77777777" w:rsidTr="00F00F0F">
        <w:tc>
          <w:tcPr>
            <w:tcW w:w="6911" w:type="dxa"/>
          </w:tcPr>
          <w:p w14:paraId="11606608" w14:textId="7D6B4EE0" w:rsidR="00F64791" w:rsidRPr="003E5C0F" w:rsidRDefault="003E5C0F" w:rsidP="009C2656">
            <w:pPr>
              <w:spacing w:line="360" w:lineRule="auto"/>
              <w:rPr>
                <w:sz w:val="24"/>
                <w:szCs w:val="24"/>
                <w:u w:val="single"/>
              </w:rPr>
            </w:pPr>
            <w:r w:rsidRPr="003E5C0F">
              <w:rPr>
                <w:rFonts w:ascii="Arial" w:hAnsi="Arial" w:cs="Arial"/>
                <w:sz w:val="24"/>
                <w:szCs w:val="24"/>
              </w:rPr>
              <w:t>Table 3.0: Selected Banks</w:t>
            </w:r>
          </w:p>
        </w:tc>
        <w:tc>
          <w:tcPr>
            <w:tcW w:w="1576" w:type="dxa"/>
          </w:tcPr>
          <w:p w14:paraId="3A36FFEC" w14:textId="4A723307" w:rsidR="00F64791" w:rsidRPr="002C515E" w:rsidRDefault="003E5C0F" w:rsidP="009C2656">
            <w:pPr>
              <w:spacing w:line="360" w:lineRule="auto"/>
              <w:rPr>
                <w:sz w:val="24"/>
                <w:szCs w:val="24"/>
              </w:rPr>
            </w:pPr>
            <w:r w:rsidRPr="003E5C0F">
              <w:rPr>
                <w:rFonts w:ascii="Arial" w:hAnsi="Arial" w:cs="Arial"/>
                <w:sz w:val="24"/>
                <w:szCs w:val="24"/>
              </w:rPr>
              <w:t>26</w:t>
            </w:r>
          </w:p>
        </w:tc>
      </w:tr>
      <w:tr w:rsidR="00F64791" w:rsidRPr="00F00F0F" w14:paraId="11FB58EC" w14:textId="77777777" w:rsidTr="00F00F0F">
        <w:tc>
          <w:tcPr>
            <w:tcW w:w="6911" w:type="dxa"/>
          </w:tcPr>
          <w:p w14:paraId="050043FB" w14:textId="4708FBF7" w:rsidR="003E5C0F" w:rsidRPr="003E5C0F" w:rsidRDefault="003E5C0F" w:rsidP="003E5C0F">
            <w:pPr>
              <w:spacing w:line="360" w:lineRule="auto"/>
              <w:rPr>
                <w:rFonts w:ascii="Arial" w:hAnsi="Arial" w:cs="Arial"/>
                <w:sz w:val="24"/>
                <w:szCs w:val="24"/>
              </w:rPr>
            </w:pPr>
            <w:r w:rsidRPr="003E5C0F">
              <w:rPr>
                <w:rFonts w:ascii="Arial" w:hAnsi="Arial" w:cs="Arial"/>
                <w:sz w:val="24"/>
                <w:szCs w:val="24"/>
              </w:rPr>
              <w:t>Table 4.0: Summary of  the Ratios of Conventional Banks</w:t>
            </w:r>
          </w:p>
        </w:tc>
        <w:tc>
          <w:tcPr>
            <w:tcW w:w="1576" w:type="dxa"/>
          </w:tcPr>
          <w:p w14:paraId="763CB512" w14:textId="4886B0A7" w:rsidR="00F64791" w:rsidRPr="00F00F0F" w:rsidRDefault="003E5C0F" w:rsidP="009C2656">
            <w:pPr>
              <w:spacing w:line="360" w:lineRule="auto"/>
              <w:rPr>
                <w:rFonts w:ascii="Arial" w:hAnsi="Arial" w:cs="Arial"/>
                <w:sz w:val="24"/>
                <w:szCs w:val="24"/>
              </w:rPr>
            </w:pPr>
            <w:r w:rsidRPr="003E5C0F">
              <w:rPr>
                <w:rFonts w:ascii="Arial" w:hAnsi="Arial" w:cs="Arial"/>
                <w:sz w:val="24"/>
                <w:szCs w:val="24"/>
              </w:rPr>
              <w:t>31</w:t>
            </w:r>
          </w:p>
        </w:tc>
      </w:tr>
      <w:tr w:rsidR="003E5C0F" w:rsidRPr="00F00F0F" w14:paraId="75EF8E4F" w14:textId="77777777" w:rsidTr="00F00F0F">
        <w:tc>
          <w:tcPr>
            <w:tcW w:w="6911" w:type="dxa"/>
          </w:tcPr>
          <w:p w14:paraId="79010E6A" w14:textId="1512921F" w:rsidR="003E5C0F" w:rsidRPr="003E5C0F" w:rsidRDefault="003E5C0F" w:rsidP="003E5C0F">
            <w:pPr>
              <w:spacing w:line="360" w:lineRule="auto"/>
              <w:rPr>
                <w:rFonts w:ascii="Arial" w:hAnsi="Arial" w:cs="Arial"/>
                <w:sz w:val="24"/>
                <w:szCs w:val="24"/>
              </w:rPr>
            </w:pPr>
            <w:r w:rsidRPr="003E5C0F">
              <w:rPr>
                <w:rFonts w:ascii="Arial" w:hAnsi="Arial" w:cs="Arial"/>
                <w:sz w:val="24"/>
                <w:szCs w:val="24"/>
              </w:rPr>
              <w:t>Table 4.1: Summary of  the Ratios of Islamic Banks</w:t>
            </w:r>
          </w:p>
        </w:tc>
        <w:tc>
          <w:tcPr>
            <w:tcW w:w="1576" w:type="dxa"/>
          </w:tcPr>
          <w:p w14:paraId="3892E1DC" w14:textId="41B692D8" w:rsidR="003E5C0F" w:rsidRPr="00F00F0F" w:rsidRDefault="003E5C0F" w:rsidP="009C2656">
            <w:pPr>
              <w:spacing w:line="360" w:lineRule="auto"/>
              <w:rPr>
                <w:rFonts w:ascii="Arial" w:hAnsi="Arial" w:cs="Arial"/>
                <w:sz w:val="24"/>
                <w:szCs w:val="24"/>
              </w:rPr>
            </w:pPr>
            <w:r w:rsidRPr="003E5C0F">
              <w:rPr>
                <w:rFonts w:ascii="Arial" w:hAnsi="Arial" w:cs="Arial"/>
                <w:sz w:val="24"/>
                <w:szCs w:val="24"/>
              </w:rPr>
              <w:t>32</w:t>
            </w:r>
          </w:p>
        </w:tc>
      </w:tr>
      <w:tr w:rsidR="003E5C0F" w:rsidRPr="00F00F0F" w14:paraId="5590DE68" w14:textId="77777777" w:rsidTr="00F00F0F">
        <w:tc>
          <w:tcPr>
            <w:tcW w:w="6911" w:type="dxa"/>
          </w:tcPr>
          <w:p w14:paraId="06527C33" w14:textId="7980ECDC" w:rsidR="003E5C0F" w:rsidRPr="00F00F0F" w:rsidRDefault="00F00F0F" w:rsidP="003E5C0F">
            <w:pPr>
              <w:spacing w:line="360" w:lineRule="auto"/>
              <w:rPr>
                <w:rFonts w:ascii="Arial" w:hAnsi="Arial" w:cs="Arial"/>
                <w:sz w:val="24"/>
                <w:szCs w:val="24"/>
              </w:rPr>
            </w:pPr>
            <w:r w:rsidRPr="00F00F0F">
              <w:rPr>
                <w:rFonts w:ascii="Arial" w:hAnsi="Arial" w:cs="Arial"/>
                <w:sz w:val="24"/>
                <w:szCs w:val="24"/>
              </w:rPr>
              <w:t xml:space="preserve">Table 4.2: Reliability Test of Conventional and </w:t>
            </w:r>
            <w:r w:rsidRPr="00F00F0F">
              <w:rPr>
                <w:rFonts w:ascii="Arial" w:hAnsi="Arial" w:cs="Arial" w:hint="eastAsia"/>
                <w:sz w:val="24"/>
                <w:szCs w:val="24"/>
              </w:rPr>
              <w:t>I</w:t>
            </w:r>
            <w:r w:rsidRPr="00F00F0F">
              <w:rPr>
                <w:rFonts w:ascii="Arial" w:hAnsi="Arial" w:cs="Arial"/>
                <w:sz w:val="24"/>
                <w:szCs w:val="24"/>
              </w:rPr>
              <w:t>slamic Banks</w:t>
            </w:r>
          </w:p>
        </w:tc>
        <w:tc>
          <w:tcPr>
            <w:tcW w:w="1576" w:type="dxa"/>
          </w:tcPr>
          <w:p w14:paraId="25735BAE" w14:textId="19A90113" w:rsidR="003E5C0F" w:rsidRPr="00F00F0F" w:rsidRDefault="00F00F0F" w:rsidP="009C2656">
            <w:pPr>
              <w:spacing w:line="360" w:lineRule="auto"/>
              <w:rPr>
                <w:rFonts w:ascii="Arial" w:hAnsi="Arial" w:cs="Arial"/>
                <w:sz w:val="24"/>
                <w:szCs w:val="24"/>
              </w:rPr>
            </w:pPr>
            <w:r w:rsidRPr="00F00F0F">
              <w:rPr>
                <w:rFonts w:ascii="Arial" w:hAnsi="Arial" w:cs="Arial"/>
                <w:sz w:val="24"/>
                <w:szCs w:val="24"/>
              </w:rPr>
              <w:t>33</w:t>
            </w:r>
          </w:p>
        </w:tc>
      </w:tr>
      <w:tr w:rsidR="003E5C0F" w:rsidRPr="00F00F0F" w14:paraId="41E8CFFA" w14:textId="77777777" w:rsidTr="00F00F0F">
        <w:tc>
          <w:tcPr>
            <w:tcW w:w="6911" w:type="dxa"/>
          </w:tcPr>
          <w:p w14:paraId="7FDB6BD1" w14:textId="4EB7F935" w:rsidR="003E5C0F" w:rsidRPr="00F00F0F" w:rsidRDefault="00F00F0F" w:rsidP="003E5C0F">
            <w:pPr>
              <w:spacing w:line="360" w:lineRule="auto"/>
              <w:rPr>
                <w:rFonts w:ascii="Arial" w:hAnsi="Arial" w:cs="Arial"/>
                <w:sz w:val="24"/>
                <w:szCs w:val="24"/>
              </w:rPr>
            </w:pPr>
            <w:r w:rsidRPr="00F00F0F">
              <w:rPr>
                <w:rFonts w:ascii="Arial" w:hAnsi="Arial" w:cs="Arial"/>
                <w:sz w:val="24"/>
                <w:szCs w:val="24"/>
              </w:rPr>
              <w:t>Table 4.3: Descriptive Statistics (Sample 2014–2018)</w:t>
            </w:r>
          </w:p>
        </w:tc>
        <w:tc>
          <w:tcPr>
            <w:tcW w:w="1576" w:type="dxa"/>
          </w:tcPr>
          <w:p w14:paraId="1FC41F13" w14:textId="7327E910" w:rsidR="003E5C0F" w:rsidRPr="00F00F0F" w:rsidRDefault="00F00F0F" w:rsidP="009C2656">
            <w:pPr>
              <w:spacing w:line="360" w:lineRule="auto"/>
              <w:rPr>
                <w:rFonts w:ascii="Arial" w:hAnsi="Arial" w:cs="Arial"/>
                <w:sz w:val="24"/>
                <w:szCs w:val="24"/>
              </w:rPr>
            </w:pPr>
            <w:r w:rsidRPr="00F00F0F">
              <w:rPr>
                <w:rFonts w:ascii="Arial" w:hAnsi="Arial" w:cs="Arial"/>
                <w:sz w:val="24"/>
                <w:szCs w:val="24"/>
              </w:rPr>
              <w:t>34</w:t>
            </w:r>
          </w:p>
        </w:tc>
      </w:tr>
      <w:tr w:rsidR="003E5C0F" w:rsidRPr="00F00F0F" w14:paraId="0952ADFA" w14:textId="77777777" w:rsidTr="00F00F0F">
        <w:tc>
          <w:tcPr>
            <w:tcW w:w="6911" w:type="dxa"/>
          </w:tcPr>
          <w:p w14:paraId="069CAAE0" w14:textId="592BD05A" w:rsidR="003E5C0F" w:rsidRPr="00F00F0F" w:rsidRDefault="00F00F0F" w:rsidP="003E5C0F">
            <w:pPr>
              <w:spacing w:line="360" w:lineRule="auto"/>
              <w:rPr>
                <w:rFonts w:ascii="Arial" w:hAnsi="Arial" w:cs="Arial"/>
                <w:sz w:val="24"/>
                <w:szCs w:val="24"/>
              </w:rPr>
            </w:pPr>
            <w:r w:rsidRPr="00F00F0F">
              <w:rPr>
                <w:rFonts w:ascii="Arial" w:hAnsi="Arial" w:cs="Arial"/>
                <w:sz w:val="24"/>
                <w:szCs w:val="24"/>
              </w:rPr>
              <w:t>Table 4.4: Correlation matrix of the Variables Between Conventional and Islamic Banks</w:t>
            </w:r>
          </w:p>
        </w:tc>
        <w:tc>
          <w:tcPr>
            <w:tcW w:w="1576" w:type="dxa"/>
          </w:tcPr>
          <w:p w14:paraId="4354050D" w14:textId="6DC610FF" w:rsidR="003E5C0F" w:rsidRPr="00F00F0F" w:rsidRDefault="00F00F0F" w:rsidP="009C2656">
            <w:pPr>
              <w:spacing w:line="360" w:lineRule="auto"/>
              <w:rPr>
                <w:rFonts w:ascii="Arial" w:hAnsi="Arial" w:cs="Arial"/>
                <w:sz w:val="24"/>
                <w:szCs w:val="24"/>
              </w:rPr>
            </w:pPr>
            <w:r w:rsidRPr="00F00F0F">
              <w:rPr>
                <w:rFonts w:ascii="Arial" w:hAnsi="Arial" w:cs="Arial"/>
                <w:sz w:val="24"/>
                <w:szCs w:val="24"/>
              </w:rPr>
              <w:t>36</w:t>
            </w:r>
          </w:p>
        </w:tc>
      </w:tr>
      <w:tr w:rsidR="00F00F0F" w:rsidRPr="00F00F0F" w14:paraId="6D51ED41" w14:textId="77777777" w:rsidTr="00F00F0F">
        <w:tc>
          <w:tcPr>
            <w:tcW w:w="6911" w:type="dxa"/>
          </w:tcPr>
          <w:p w14:paraId="521EF9F3" w14:textId="21E69CE0" w:rsidR="00F00F0F" w:rsidRPr="00F00F0F" w:rsidRDefault="00F00F0F" w:rsidP="00F00F0F">
            <w:pPr>
              <w:spacing w:line="360" w:lineRule="auto"/>
              <w:rPr>
                <w:rFonts w:ascii="Arial" w:hAnsi="Arial" w:cs="Arial"/>
                <w:sz w:val="24"/>
                <w:szCs w:val="24"/>
              </w:rPr>
            </w:pPr>
            <w:r w:rsidRPr="00F00F0F">
              <w:rPr>
                <w:rFonts w:ascii="Arial" w:hAnsi="Arial" w:cs="Arial"/>
                <w:sz w:val="24"/>
                <w:szCs w:val="24"/>
              </w:rPr>
              <w:t xml:space="preserve">Table 4.5: The Guide for Correlation </w:t>
            </w:r>
          </w:p>
        </w:tc>
        <w:tc>
          <w:tcPr>
            <w:tcW w:w="1576" w:type="dxa"/>
          </w:tcPr>
          <w:p w14:paraId="0967C735" w14:textId="6DA5FFE3" w:rsidR="00F00F0F" w:rsidRPr="00F00F0F" w:rsidRDefault="00F00F0F" w:rsidP="009C2656">
            <w:pPr>
              <w:spacing w:line="360" w:lineRule="auto"/>
              <w:rPr>
                <w:rFonts w:ascii="Arial" w:hAnsi="Arial" w:cs="Arial"/>
                <w:sz w:val="24"/>
                <w:szCs w:val="24"/>
              </w:rPr>
            </w:pPr>
            <w:r w:rsidRPr="00F00F0F">
              <w:rPr>
                <w:rFonts w:ascii="Arial" w:hAnsi="Arial" w:cs="Arial"/>
                <w:sz w:val="24"/>
                <w:szCs w:val="24"/>
              </w:rPr>
              <w:t>36</w:t>
            </w:r>
          </w:p>
        </w:tc>
      </w:tr>
      <w:tr w:rsidR="00F00F0F" w:rsidRPr="00F00F0F" w14:paraId="6A5E8B81" w14:textId="77777777" w:rsidTr="00F00F0F">
        <w:tc>
          <w:tcPr>
            <w:tcW w:w="6911" w:type="dxa"/>
          </w:tcPr>
          <w:p w14:paraId="7B07CEDF" w14:textId="5699E554" w:rsidR="00F00F0F" w:rsidRPr="00F00F0F" w:rsidRDefault="00F00F0F" w:rsidP="003E5C0F">
            <w:pPr>
              <w:spacing w:line="360" w:lineRule="auto"/>
              <w:rPr>
                <w:rFonts w:ascii="Arial" w:hAnsi="Arial" w:cs="Arial"/>
                <w:sz w:val="24"/>
                <w:szCs w:val="24"/>
              </w:rPr>
            </w:pPr>
            <w:r w:rsidRPr="00F00F0F">
              <w:rPr>
                <w:rFonts w:ascii="Arial" w:hAnsi="Arial" w:cs="Arial"/>
                <w:sz w:val="24"/>
                <w:szCs w:val="24"/>
              </w:rPr>
              <w:t>Table 4.6: The Coefficient of Determination(</w:t>
            </w:r>
            <m:oMath>
              <m:sSup>
                <m:sSupPr>
                  <m:ctrlPr>
                    <w:rPr>
                      <w:rFonts w:ascii="Cambria Math" w:hAnsi="Cambria Math" w:cs="Arial"/>
                      <w:sz w:val="24"/>
                      <w:szCs w:val="24"/>
                    </w:rPr>
                  </m:ctrlPr>
                </m:sSupPr>
                <m:e>
                  <m:r>
                    <m:rPr>
                      <m:sty m:val="bi"/>
                    </m:rPr>
                    <w:rPr>
                      <w:rFonts w:ascii="Cambria Math" w:hAnsi="Cambria Math" w:cs="Arial"/>
                      <w:sz w:val="24"/>
                      <w:szCs w:val="24"/>
                    </w:rPr>
                    <m:t>R</m:t>
                  </m:r>
                </m:e>
                <m:sup>
                  <m:r>
                    <m:rPr>
                      <m:sty m:val="b"/>
                    </m:rPr>
                    <w:rPr>
                      <w:rFonts w:ascii="Cambria Math" w:hAnsi="Cambria Math" w:cs="Arial"/>
                      <w:sz w:val="24"/>
                      <w:szCs w:val="24"/>
                    </w:rPr>
                    <m:t>2</m:t>
                  </m:r>
                </m:sup>
              </m:sSup>
            </m:oMath>
            <w:r w:rsidRPr="00F00F0F">
              <w:rPr>
                <w:rFonts w:ascii="Arial" w:hAnsi="Arial" w:cs="Arial"/>
                <w:sz w:val="24"/>
                <w:szCs w:val="24"/>
              </w:rPr>
              <w:t>)</w:t>
            </w:r>
          </w:p>
        </w:tc>
        <w:tc>
          <w:tcPr>
            <w:tcW w:w="1576" w:type="dxa"/>
          </w:tcPr>
          <w:p w14:paraId="75982F61" w14:textId="564B7C7F" w:rsidR="00F00F0F" w:rsidRPr="00F00F0F" w:rsidRDefault="00F00F0F" w:rsidP="009C2656">
            <w:pPr>
              <w:spacing w:line="360" w:lineRule="auto"/>
              <w:rPr>
                <w:rFonts w:ascii="Arial" w:hAnsi="Arial" w:cs="Arial"/>
                <w:sz w:val="24"/>
                <w:szCs w:val="24"/>
              </w:rPr>
            </w:pPr>
            <w:r w:rsidRPr="00F00F0F">
              <w:rPr>
                <w:rFonts w:ascii="Arial" w:hAnsi="Arial" w:cs="Arial"/>
                <w:sz w:val="24"/>
                <w:szCs w:val="24"/>
              </w:rPr>
              <w:t>37</w:t>
            </w:r>
          </w:p>
        </w:tc>
      </w:tr>
      <w:tr w:rsidR="00F00F0F" w:rsidRPr="00F00F0F" w14:paraId="07999B93" w14:textId="77777777" w:rsidTr="00F00F0F">
        <w:tc>
          <w:tcPr>
            <w:tcW w:w="6911" w:type="dxa"/>
          </w:tcPr>
          <w:p w14:paraId="6135C699" w14:textId="50EE47DF" w:rsidR="00F00F0F" w:rsidRPr="00F00F0F" w:rsidRDefault="00F00F0F" w:rsidP="003E5C0F">
            <w:pPr>
              <w:spacing w:line="360" w:lineRule="auto"/>
              <w:rPr>
                <w:rFonts w:ascii="Arial" w:hAnsi="Arial" w:cs="Arial"/>
                <w:sz w:val="24"/>
                <w:szCs w:val="24"/>
              </w:rPr>
            </w:pPr>
            <w:r w:rsidRPr="00F00F0F">
              <w:rPr>
                <w:rFonts w:ascii="Arial" w:hAnsi="Arial" w:cs="Arial"/>
                <w:sz w:val="24"/>
                <w:szCs w:val="24"/>
              </w:rPr>
              <w:t>Table 4.7: The Regression Coefficients</w:t>
            </w:r>
          </w:p>
        </w:tc>
        <w:tc>
          <w:tcPr>
            <w:tcW w:w="1576" w:type="dxa"/>
          </w:tcPr>
          <w:p w14:paraId="6710B917" w14:textId="53F9358E" w:rsidR="00F00F0F" w:rsidRPr="00F00F0F" w:rsidRDefault="00F00F0F" w:rsidP="009C2656">
            <w:pPr>
              <w:spacing w:line="360" w:lineRule="auto"/>
              <w:rPr>
                <w:rFonts w:ascii="Arial" w:hAnsi="Arial" w:cs="Arial"/>
                <w:sz w:val="24"/>
                <w:szCs w:val="24"/>
              </w:rPr>
            </w:pPr>
            <w:r w:rsidRPr="00F00F0F">
              <w:rPr>
                <w:rFonts w:ascii="Arial" w:hAnsi="Arial" w:cs="Arial"/>
                <w:sz w:val="24"/>
                <w:szCs w:val="24"/>
              </w:rPr>
              <w:t>39</w:t>
            </w:r>
          </w:p>
        </w:tc>
      </w:tr>
      <w:bookmarkEnd w:id="10"/>
    </w:tbl>
    <w:p w14:paraId="789598DD" w14:textId="77777777" w:rsidR="006B6052" w:rsidRPr="00F00F0F" w:rsidRDefault="006B6052" w:rsidP="000D4E7A">
      <w:pPr>
        <w:spacing w:line="360" w:lineRule="auto"/>
        <w:rPr>
          <w:rFonts w:ascii="Arial" w:hAnsi="Arial" w:cs="Arial"/>
        </w:rPr>
      </w:pPr>
    </w:p>
    <w:p w14:paraId="11B7FDF7" w14:textId="0CBE38CC" w:rsidR="000D4E7A" w:rsidRPr="002C515E" w:rsidRDefault="000D4E7A" w:rsidP="000D4E7A">
      <w:pPr>
        <w:spacing w:line="360" w:lineRule="auto"/>
        <w:rPr>
          <w:b/>
          <w:sz w:val="28"/>
          <w:u w:val="single"/>
        </w:rPr>
      </w:pPr>
      <w:r w:rsidRPr="002C515E">
        <w:rPr>
          <w:b/>
          <w:sz w:val="28"/>
          <w:u w:val="single"/>
        </w:rPr>
        <w:t>List of Figures</w:t>
      </w:r>
    </w:p>
    <w:tbl>
      <w:tblPr>
        <w:tblStyle w:val="TableGrid"/>
        <w:tblW w:w="0" w:type="auto"/>
        <w:tblLook w:val="04A0" w:firstRow="1" w:lastRow="0" w:firstColumn="1" w:lastColumn="0" w:noHBand="0" w:noVBand="1"/>
      </w:tblPr>
      <w:tblGrid>
        <w:gridCol w:w="6901"/>
        <w:gridCol w:w="1586"/>
      </w:tblGrid>
      <w:tr w:rsidR="000D4E7A" w:rsidRPr="006E0B36" w14:paraId="270BC31A" w14:textId="77777777" w:rsidTr="006B6052">
        <w:tc>
          <w:tcPr>
            <w:tcW w:w="7361" w:type="dxa"/>
          </w:tcPr>
          <w:p w14:paraId="5A96A753" w14:textId="77777777" w:rsidR="000D4E7A" w:rsidRPr="002C515E" w:rsidRDefault="000D4E7A" w:rsidP="009C2656">
            <w:pPr>
              <w:spacing w:line="360" w:lineRule="auto"/>
              <w:jc w:val="center"/>
              <w:rPr>
                <w:b/>
                <w:sz w:val="28"/>
                <w:szCs w:val="28"/>
              </w:rPr>
            </w:pPr>
            <w:r w:rsidRPr="002C515E">
              <w:rPr>
                <w:b/>
                <w:sz w:val="28"/>
                <w:szCs w:val="28"/>
              </w:rPr>
              <w:t>Figures</w:t>
            </w:r>
          </w:p>
        </w:tc>
        <w:tc>
          <w:tcPr>
            <w:tcW w:w="1649" w:type="dxa"/>
          </w:tcPr>
          <w:p w14:paraId="609DF6A3" w14:textId="77777777" w:rsidR="000D4E7A" w:rsidRPr="002C515E" w:rsidRDefault="000D4E7A" w:rsidP="009C2656">
            <w:pPr>
              <w:spacing w:line="360" w:lineRule="auto"/>
              <w:jc w:val="center"/>
              <w:rPr>
                <w:b/>
                <w:sz w:val="28"/>
                <w:szCs w:val="28"/>
              </w:rPr>
            </w:pPr>
            <w:r w:rsidRPr="002C515E">
              <w:rPr>
                <w:b/>
                <w:sz w:val="28"/>
                <w:szCs w:val="28"/>
              </w:rPr>
              <w:t>Pages</w:t>
            </w:r>
          </w:p>
        </w:tc>
      </w:tr>
      <w:tr w:rsidR="000D4E7A" w:rsidRPr="006E0B36" w14:paraId="0F6E0630" w14:textId="77777777" w:rsidTr="006B6052">
        <w:tc>
          <w:tcPr>
            <w:tcW w:w="7361" w:type="dxa"/>
          </w:tcPr>
          <w:p w14:paraId="094887E7" w14:textId="220F7F98" w:rsidR="000D4E7A" w:rsidRPr="00741A67" w:rsidRDefault="008D79A2" w:rsidP="009C2656">
            <w:pPr>
              <w:spacing w:line="360" w:lineRule="auto"/>
              <w:rPr>
                <w:rFonts w:ascii="Arial" w:hAnsi="Arial" w:cs="Arial"/>
                <w:sz w:val="24"/>
                <w:szCs w:val="24"/>
              </w:rPr>
            </w:pPr>
            <w:r w:rsidRPr="00741A67">
              <w:rPr>
                <w:rFonts w:ascii="Arial" w:hAnsi="Arial" w:cs="Arial"/>
                <w:sz w:val="24"/>
                <w:szCs w:val="24"/>
              </w:rPr>
              <w:t xml:space="preserve">Figure 1.0: Bank Negara Malaysia (BNM) Stress Testing Approach </w:t>
            </w:r>
          </w:p>
        </w:tc>
        <w:tc>
          <w:tcPr>
            <w:tcW w:w="1649" w:type="dxa"/>
          </w:tcPr>
          <w:p w14:paraId="3E925906" w14:textId="3EFB7E6D" w:rsidR="000D4E7A" w:rsidRPr="00741A67" w:rsidRDefault="007D770C" w:rsidP="009C2656">
            <w:pPr>
              <w:spacing w:line="360" w:lineRule="auto"/>
              <w:rPr>
                <w:rFonts w:ascii="Arial" w:hAnsi="Arial" w:cs="Arial"/>
                <w:sz w:val="24"/>
                <w:szCs w:val="24"/>
              </w:rPr>
            </w:pPr>
            <w:r>
              <w:rPr>
                <w:rFonts w:ascii="Arial" w:hAnsi="Arial" w:cs="Arial"/>
                <w:sz w:val="24"/>
                <w:szCs w:val="24"/>
              </w:rPr>
              <w:t>10</w:t>
            </w:r>
          </w:p>
        </w:tc>
      </w:tr>
      <w:tr w:rsidR="000D4E7A" w:rsidRPr="006E0B36" w14:paraId="25D8848D" w14:textId="77777777" w:rsidTr="006B6052">
        <w:tc>
          <w:tcPr>
            <w:tcW w:w="7361" w:type="dxa"/>
          </w:tcPr>
          <w:p w14:paraId="0AF00C19" w14:textId="712B1730" w:rsidR="000D4E7A" w:rsidRPr="007D770C" w:rsidRDefault="008D79A2" w:rsidP="009C2656">
            <w:pPr>
              <w:spacing w:line="360" w:lineRule="auto"/>
              <w:rPr>
                <w:rFonts w:ascii="Arial" w:hAnsi="Arial" w:cs="Arial"/>
                <w:sz w:val="24"/>
                <w:szCs w:val="24"/>
              </w:rPr>
            </w:pPr>
            <w:r w:rsidRPr="008D79A2">
              <w:rPr>
                <w:rFonts w:ascii="Arial" w:hAnsi="Arial" w:cs="Arial"/>
                <w:sz w:val="24"/>
                <w:szCs w:val="24"/>
              </w:rPr>
              <w:t>Figure 1.2:</w:t>
            </w:r>
            <w:r w:rsidRPr="007D770C">
              <w:rPr>
                <w:rFonts w:ascii="Arial" w:hAnsi="Arial" w:cs="Arial"/>
                <w:sz w:val="24"/>
                <w:szCs w:val="24"/>
              </w:rPr>
              <w:t xml:space="preserve"> </w:t>
            </w:r>
            <w:r w:rsidRPr="008D79A2">
              <w:rPr>
                <w:rFonts w:ascii="Arial" w:hAnsi="Arial" w:cs="Arial"/>
                <w:sz w:val="24"/>
                <w:szCs w:val="24"/>
              </w:rPr>
              <w:t>Bank Specifics and Macroeconomic factors</w:t>
            </w:r>
          </w:p>
        </w:tc>
        <w:tc>
          <w:tcPr>
            <w:tcW w:w="1649" w:type="dxa"/>
          </w:tcPr>
          <w:p w14:paraId="360CD873" w14:textId="7959CFD1" w:rsidR="000D4E7A" w:rsidRPr="007D770C" w:rsidRDefault="007D770C" w:rsidP="009C2656">
            <w:pPr>
              <w:spacing w:line="360" w:lineRule="auto"/>
              <w:rPr>
                <w:rFonts w:ascii="Arial" w:hAnsi="Arial" w:cs="Arial"/>
                <w:sz w:val="24"/>
                <w:szCs w:val="24"/>
              </w:rPr>
            </w:pPr>
            <w:r w:rsidRPr="007D770C">
              <w:rPr>
                <w:rFonts w:ascii="Arial" w:hAnsi="Arial" w:cs="Arial"/>
                <w:sz w:val="24"/>
                <w:szCs w:val="24"/>
              </w:rPr>
              <w:t>12</w:t>
            </w:r>
          </w:p>
        </w:tc>
      </w:tr>
      <w:tr w:rsidR="000D4E7A" w:rsidRPr="006E0B36" w14:paraId="54338727" w14:textId="77777777" w:rsidTr="006B6052">
        <w:tc>
          <w:tcPr>
            <w:tcW w:w="7361" w:type="dxa"/>
          </w:tcPr>
          <w:p w14:paraId="7E61E7B7" w14:textId="556A5A62" w:rsidR="000D4E7A" w:rsidRPr="007D770C" w:rsidRDefault="007D770C" w:rsidP="009C2656">
            <w:pPr>
              <w:spacing w:line="360" w:lineRule="auto"/>
              <w:rPr>
                <w:rFonts w:ascii="Arial" w:hAnsi="Arial" w:cs="Arial"/>
                <w:sz w:val="24"/>
                <w:szCs w:val="24"/>
              </w:rPr>
            </w:pPr>
            <w:r w:rsidRPr="007D770C">
              <w:rPr>
                <w:rFonts w:ascii="Arial" w:hAnsi="Arial" w:cs="Arial"/>
                <w:sz w:val="24"/>
                <w:szCs w:val="24"/>
              </w:rPr>
              <w:t xml:space="preserve">Figure 2.0:Factors that Affect Banks’ Liquidity from  Bank Specifics </w:t>
            </w:r>
          </w:p>
        </w:tc>
        <w:tc>
          <w:tcPr>
            <w:tcW w:w="1649" w:type="dxa"/>
          </w:tcPr>
          <w:p w14:paraId="0D035729" w14:textId="23FCA0EE" w:rsidR="000D4E7A" w:rsidRPr="007D770C" w:rsidRDefault="007D770C" w:rsidP="009C2656">
            <w:pPr>
              <w:spacing w:line="360" w:lineRule="auto"/>
              <w:rPr>
                <w:rFonts w:ascii="Arial" w:hAnsi="Arial" w:cs="Arial"/>
                <w:sz w:val="24"/>
                <w:szCs w:val="24"/>
              </w:rPr>
            </w:pPr>
            <w:r w:rsidRPr="007D770C">
              <w:rPr>
                <w:rFonts w:ascii="Arial" w:hAnsi="Arial" w:cs="Arial"/>
                <w:sz w:val="24"/>
                <w:szCs w:val="24"/>
              </w:rPr>
              <w:t>21</w:t>
            </w:r>
          </w:p>
        </w:tc>
      </w:tr>
      <w:tr w:rsidR="000D4E7A" w:rsidRPr="006E0B36" w14:paraId="1F5069FD" w14:textId="77777777" w:rsidTr="006B6052">
        <w:tc>
          <w:tcPr>
            <w:tcW w:w="7361" w:type="dxa"/>
          </w:tcPr>
          <w:p w14:paraId="57D4B30A" w14:textId="2440A452" w:rsidR="000D4E7A" w:rsidRPr="007D770C" w:rsidRDefault="007D770C" w:rsidP="009C2656">
            <w:pPr>
              <w:spacing w:line="360" w:lineRule="auto"/>
              <w:rPr>
                <w:rFonts w:ascii="Arial" w:hAnsi="Arial" w:cs="Arial"/>
                <w:sz w:val="24"/>
                <w:szCs w:val="24"/>
              </w:rPr>
            </w:pPr>
            <w:r w:rsidRPr="007D770C">
              <w:rPr>
                <w:rFonts w:ascii="Arial" w:hAnsi="Arial" w:cs="Arial"/>
                <w:sz w:val="24"/>
                <w:szCs w:val="24"/>
              </w:rPr>
              <w:t>Figure 2.1: Research Framework</w:t>
            </w:r>
          </w:p>
        </w:tc>
        <w:tc>
          <w:tcPr>
            <w:tcW w:w="1649" w:type="dxa"/>
          </w:tcPr>
          <w:p w14:paraId="15E5789A" w14:textId="36091E4E" w:rsidR="000D4E7A" w:rsidRPr="007D770C" w:rsidRDefault="006B6052" w:rsidP="009C2656">
            <w:pPr>
              <w:spacing w:line="360" w:lineRule="auto"/>
              <w:rPr>
                <w:rFonts w:ascii="Arial" w:hAnsi="Arial" w:cs="Arial"/>
                <w:sz w:val="24"/>
                <w:szCs w:val="24"/>
              </w:rPr>
            </w:pPr>
            <w:r w:rsidRPr="007D770C">
              <w:rPr>
                <w:rFonts w:ascii="Arial" w:hAnsi="Arial" w:cs="Arial"/>
                <w:sz w:val="24"/>
                <w:szCs w:val="24"/>
              </w:rPr>
              <w:t>2</w:t>
            </w:r>
            <w:r w:rsidR="007D770C" w:rsidRPr="007D770C">
              <w:rPr>
                <w:rFonts w:ascii="Arial" w:hAnsi="Arial" w:cs="Arial"/>
                <w:sz w:val="24"/>
                <w:szCs w:val="24"/>
              </w:rPr>
              <w:t>4</w:t>
            </w:r>
          </w:p>
        </w:tc>
      </w:tr>
      <w:tr w:rsidR="007D770C" w:rsidRPr="006E0B36" w14:paraId="3A93D7B6" w14:textId="77777777" w:rsidTr="006B6052">
        <w:tc>
          <w:tcPr>
            <w:tcW w:w="7361" w:type="dxa"/>
          </w:tcPr>
          <w:p w14:paraId="08409BB6" w14:textId="7EE7F8CC" w:rsidR="007D770C" w:rsidRPr="007D770C" w:rsidRDefault="007D770C" w:rsidP="009C2656">
            <w:pPr>
              <w:spacing w:line="360" w:lineRule="auto"/>
              <w:rPr>
                <w:rFonts w:ascii="Arial" w:hAnsi="Arial" w:cs="Arial"/>
                <w:sz w:val="24"/>
                <w:szCs w:val="24"/>
              </w:rPr>
            </w:pPr>
            <w:r w:rsidRPr="007D770C">
              <w:rPr>
                <w:rFonts w:ascii="Arial" w:hAnsi="Arial" w:cs="Arial"/>
                <w:sz w:val="24"/>
                <w:szCs w:val="24"/>
              </w:rPr>
              <w:t>Figure 3.0: Sources of Data</w:t>
            </w:r>
          </w:p>
        </w:tc>
        <w:tc>
          <w:tcPr>
            <w:tcW w:w="1649" w:type="dxa"/>
          </w:tcPr>
          <w:p w14:paraId="31A24DEA" w14:textId="20AE8CB2" w:rsidR="007D770C" w:rsidRPr="007D770C" w:rsidRDefault="007D770C" w:rsidP="009C2656">
            <w:pPr>
              <w:spacing w:line="360" w:lineRule="auto"/>
              <w:rPr>
                <w:rFonts w:ascii="Arial" w:hAnsi="Arial" w:cs="Arial"/>
                <w:sz w:val="24"/>
                <w:szCs w:val="24"/>
              </w:rPr>
            </w:pPr>
            <w:r w:rsidRPr="007D770C">
              <w:rPr>
                <w:rFonts w:ascii="Arial" w:hAnsi="Arial" w:cs="Arial"/>
                <w:sz w:val="24"/>
                <w:szCs w:val="24"/>
              </w:rPr>
              <w:t>28</w:t>
            </w:r>
          </w:p>
        </w:tc>
      </w:tr>
      <w:tr w:rsidR="007D770C" w:rsidRPr="006E0B36" w14:paraId="5966A9CC" w14:textId="77777777" w:rsidTr="007D770C">
        <w:trPr>
          <w:trHeight w:val="99"/>
        </w:trPr>
        <w:tc>
          <w:tcPr>
            <w:tcW w:w="7361" w:type="dxa"/>
          </w:tcPr>
          <w:p w14:paraId="66A275FD" w14:textId="502311A2" w:rsidR="007D770C" w:rsidRPr="007D770C" w:rsidRDefault="007D770C" w:rsidP="009C2656">
            <w:pPr>
              <w:spacing w:line="360" w:lineRule="auto"/>
              <w:rPr>
                <w:rFonts w:ascii="Arial" w:hAnsi="Arial" w:cs="Arial"/>
                <w:sz w:val="24"/>
                <w:szCs w:val="24"/>
              </w:rPr>
            </w:pPr>
            <w:r w:rsidRPr="007D770C">
              <w:rPr>
                <w:rFonts w:ascii="Arial" w:hAnsi="Arial" w:cs="Arial"/>
                <w:sz w:val="24"/>
                <w:szCs w:val="24"/>
              </w:rPr>
              <w:t xml:space="preserve">Figure 3.1: Steps of Data Analysis  </w:t>
            </w:r>
          </w:p>
        </w:tc>
        <w:tc>
          <w:tcPr>
            <w:tcW w:w="1649" w:type="dxa"/>
          </w:tcPr>
          <w:p w14:paraId="0195583C" w14:textId="78E68C0E" w:rsidR="007D770C" w:rsidRPr="007D770C" w:rsidRDefault="007D770C" w:rsidP="009C2656">
            <w:pPr>
              <w:spacing w:line="360" w:lineRule="auto"/>
              <w:rPr>
                <w:rFonts w:ascii="Arial" w:hAnsi="Arial" w:cs="Arial"/>
                <w:sz w:val="24"/>
                <w:szCs w:val="24"/>
              </w:rPr>
            </w:pPr>
            <w:r w:rsidRPr="007D770C">
              <w:rPr>
                <w:rFonts w:ascii="Arial" w:hAnsi="Arial" w:cs="Arial"/>
                <w:sz w:val="24"/>
                <w:szCs w:val="24"/>
              </w:rPr>
              <w:t>29</w:t>
            </w:r>
          </w:p>
        </w:tc>
      </w:tr>
    </w:tbl>
    <w:p w14:paraId="5B2865E5" w14:textId="77777777" w:rsidR="000D4E7A" w:rsidRPr="00336D8A" w:rsidRDefault="000D4E7A" w:rsidP="000D4E7A">
      <w:pPr>
        <w:spacing w:line="360" w:lineRule="auto"/>
        <w:rPr>
          <w:rFonts w:ascii="Arial" w:hAnsi="Arial" w:cs="Arial"/>
          <w:b/>
          <w:sz w:val="10"/>
          <w:u w:val="single"/>
        </w:rPr>
      </w:pPr>
    </w:p>
    <w:p w14:paraId="28003760" w14:textId="15A9B36E" w:rsidR="00335E20" w:rsidRDefault="00335E20" w:rsidP="00335E20"/>
    <w:p w14:paraId="2A553311" w14:textId="77777777" w:rsidR="00DE6782" w:rsidRDefault="00DE6782" w:rsidP="00335E20"/>
    <w:p w14:paraId="138830C3" w14:textId="1E70F287" w:rsidR="00780042" w:rsidRDefault="00780042" w:rsidP="00140F7F">
      <w:pPr>
        <w:spacing w:line="480" w:lineRule="auto"/>
        <w:jc w:val="both"/>
        <w:rPr>
          <w:lang w:val="en-US"/>
        </w:rPr>
      </w:pPr>
    </w:p>
    <w:p w14:paraId="5B93F3D6" w14:textId="74EEDDB2" w:rsidR="00780042" w:rsidRDefault="00432226" w:rsidP="00780042">
      <w:pPr>
        <w:pStyle w:val="Heading1"/>
        <w:spacing w:after="480"/>
        <w:ind w:left="142"/>
        <w:jc w:val="center"/>
        <w:rPr>
          <w:rFonts w:ascii="Arial" w:hAnsi="Arial" w:cs="Arial"/>
          <w:b/>
          <w:sz w:val="24"/>
          <w:szCs w:val="24"/>
        </w:rPr>
      </w:pPr>
      <w:bookmarkStart w:id="11" w:name="_Toc23723799"/>
      <w:bookmarkStart w:id="12" w:name="_Toc27578581"/>
      <w:r>
        <w:rPr>
          <w:rFonts w:ascii="Arial" w:hAnsi="Arial" w:cs="Arial"/>
          <w:b/>
          <w:sz w:val="24"/>
          <w:szCs w:val="24"/>
        </w:rPr>
        <w:lastRenderedPageBreak/>
        <w:t xml:space="preserve">Chapter 1 </w:t>
      </w:r>
      <w:bookmarkEnd w:id="11"/>
      <w:r>
        <w:rPr>
          <w:rFonts w:ascii="Arial" w:hAnsi="Arial" w:cs="Arial"/>
          <w:b/>
          <w:sz w:val="24"/>
          <w:szCs w:val="24"/>
        </w:rPr>
        <w:t>Introduction</w:t>
      </w:r>
      <w:bookmarkEnd w:id="12"/>
    </w:p>
    <w:p w14:paraId="542BA2CF" w14:textId="0ABBE144" w:rsidR="00780042" w:rsidRDefault="00780042" w:rsidP="00780042">
      <w:pPr>
        <w:pStyle w:val="Heading2"/>
        <w:numPr>
          <w:ilvl w:val="1"/>
          <w:numId w:val="7"/>
        </w:numPr>
        <w:spacing w:before="0" w:after="480"/>
        <w:ind w:left="714" w:hanging="357"/>
        <w:rPr>
          <w:rFonts w:ascii="Arial" w:hAnsi="Arial" w:cs="Arial"/>
          <w:b/>
          <w:sz w:val="24"/>
          <w:szCs w:val="24"/>
        </w:rPr>
      </w:pPr>
      <w:bookmarkStart w:id="13" w:name="_Toc23329231"/>
      <w:bookmarkStart w:id="14" w:name="_Toc23723801"/>
      <w:bookmarkStart w:id="15" w:name="_Toc27578582"/>
      <w:r w:rsidRPr="00DD016F">
        <w:rPr>
          <w:rFonts w:ascii="Arial" w:hAnsi="Arial" w:cs="Arial"/>
          <w:b/>
          <w:sz w:val="24"/>
          <w:szCs w:val="24"/>
        </w:rPr>
        <w:t>Background</w:t>
      </w:r>
      <w:bookmarkEnd w:id="13"/>
      <w:bookmarkEnd w:id="14"/>
      <w:bookmarkEnd w:id="15"/>
    </w:p>
    <w:p w14:paraId="46101A45" w14:textId="1011E58C" w:rsidR="008A6115" w:rsidRDefault="008A6115" w:rsidP="00CF276A">
      <w:pPr>
        <w:spacing w:after="480" w:line="360" w:lineRule="auto"/>
        <w:ind w:firstLine="720"/>
        <w:jc w:val="both"/>
        <w:rPr>
          <w:rFonts w:ascii="Arial" w:hAnsi="Arial" w:cs="Arial"/>
        </w:rPr>
      </w:pPr>
      <w:r w:rsidRPr="008A6115">
        <w:rPr>
          <w:rFonts w:ascii="Arial" w:hAnsi="Arial" w:cs="Arial"/>
        </w:rPr>
        <w:t>In today's business environment, both conventional and Islamic banks assist in business transactions carried out by an economic agent and support the economy by providing finance(</w:t>
      </w:r>
      <w:proofErr w:type="spellStart"/>
      <w:r w:rsidRPr="008A6115">
        <w:rPr>
          <w:rFonts w:ascii="Arial" w:hAnsi="Arial" w:cs="Arial"/>
        </w:rPr>
        <w:t>Horváth</w:t>
      </w:r>
      <w:proofErr w:type="spellEnd"/>
      <w:r w:rsidRPr="008A6115">
        <w:rPr>
          <w:rFonts w:ascii="Arial" w:hAnsi="Arial" w:cs="Arial"/>
        </w:rPr>
        <w:t xml:space="preserve">, Seidler, &amp; Weill, 2014). They play very important roles in support the development in economic.  However, there are many risks that the banking industry needs to face. In 2008, the Global Financial Crisis (GFC) happened. According to </w:t>
      </w:r>
      <w:proofErr w:type="spellStart"/>
      <w:r w:rsidRPr="008A6115">
        <w:rPr>
          <w:rFonts w:ascii="Arial" w:hAnsi="Arial" w:cs="Arial"/>
        </w:rPr>
        <w:t>Nier</w:t>
      </w:r>
      <w:proofErr w:type="spellEnd"/>
      <w:r w:rsidRPr="008A6115">
        <w:rPr>
          <w:rFonts w:ascii="Arial" w:hAnsi="Arial" w:cs="Arial"/>
        </w:rPr>
        <w:t xml:space="preserve"> and </w:t>
      </w:r>
      <w:proofErr w:type="spellStart"/>
      <w:r w:rsidRPr="008A6115">
        <w:rPr>
          <w:rFonts w:ascii="Arial" w:hAnsi="Arial" w:cs="Arial"/>
        </w:rPr>
        <w:t>Merrouche</w:t>
      </w:r>
      <w:proofErr w:type="spellEnd"/>
      <w:r w:rsidRPr="008A6115">
        <w:rPr>
          <w:rFonts w:ascii="Arial" w:hAnsi="Arial" w:cs="Arial"/>
        </w:rPr>
        <w:t xml:space="preserve"> (2010) stated one of the mean factors that caused GFC is rising global imbalances (Capital Flows), this GFC has made most countries' banking industry realize the importance of liquidity risk management (Mohamed, 2014). Thus, liquidity risk as one of the main risk which banks need to take. When banks unable to face the requirement of their liabilities and liabilities which is a lack of liquidity (İncekara and Çetinkaya, 2019).  These requirements include meeting the demands of banks' clients for funds and banks are able to sustain all its expenditures. For both conventional and Islamic, reducing the liquidity problem is one of the ways to help banks to be stable (</w:t>
      </w:r>
      <w:proofErr w:type="spellStart"/>
      <w:r w:rsidRPr="008A6115">
        <w:rPr>
          <w:rFonts w:ascii="Arial" w:hAnsi="Arial" w:cs="Arial"/>
        </w:rPr>
        <w:t>Ismal</w:t>
      </w:r>
      <w:proofErr w:type="spellEnd"/>
      <w:r w:rsidRPr="008A6115">
        <w:rPr>
          <w:rFonts w:ascii="Arial" w:hAnsi="Arial" w:cs="Arial"/>
        </w:rPr>
        <w:t xml:space="preserve">, 2010). </w:t>
      </w:r>
      <w:r>
        <w:rPr>
          <w:rFonts w:ascii="Arial" w:hAnsi="Arial" w:cs="Arial"/>
        </w:rPr>
        <w:t xml:space="preserve">Figure 1.0 shows the </w:t>
      </w:r>
      <w:r w:rsidRPr="008A6115">
        <w:rPr>
          <w:rFonts w:ascii="Arial" w:hAnsi="Arial" w:cs="Arial"/>
        </w:rPr>
        <w:t>what are the risks considered as adverse scenarios in the Malaysia banking industry. as we can see liquidity crunches as one of the risks that Malaysia banks need to face.</w:t>
      </w:r>
    </w:p>
    <w:p w14:paraId="542A0CF8" w14:textId="056E1E37" w:rsidR="008A6115" w:rsidRDefault="008A6115" w:rsidP="008A6115">
      <w:pPr>
        <w:spacing w:after="480" w:line="360" w:lineRule="auto"/>
        <w:jc w:val="both"/>
        <w:rPr>
          <w:rFonts w:ascii="Arial" w:hAnsi="Arial" w:cs="Arial"/>
          <w:b/>
          <w:bCs/>
        </w:rPr>
      </w:pPr>
      <w:r>
        <w:rPr>
          <w:rFonts w:ascii="Arial" w:hAnsi="Arial" w:cs="Arial"/>
          <w:b/>
          <w:bCs/>
          <w:noProof/>
        </w:rPr>
        <w:lastRenderedPageBreak/>
        <w:drawing>
          <wp:anchor distT="0" distB="0" distL="114300" distR="114300" simplePos="0" relativeHeight="251672576" behindDoc="0" locked="0" layoutInCell="1" allowOverlap="1" wp14:anchorId="29799DE5" wp14:editId="14F6BBB2">
            <wp:simplePos x="0" y="0"/>
            <wp:positionH relativeFrom="column">
              <wp:posOffset>-117475</wp:posOffset>
            </wp:positionH>
            <wp:positionV relativeFrom="paragraph">
              <wp:posOffset>589915</wp:posOffset>
            </wp:positionV>
            <wp:extent cx="5778500" cy="2714625"/>
            <wp:effectExtent l="0" t="0" r="0" b="3175"/>
            <wp:wrapSquare wrapText="bothSides"/>
            <wp:docPr id="13" name="Picture 1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2-17 at 8.23.58 AM.png"/>
                    <pic:cNvPicPr/>
                  </pic:nvPicPr>
                  <pic:blipFill>
                    <a:blip r:embed="rId8">
                      <a:extLst>
                        <a:ext uri="{28A0092B-C50C-407E-A947-70E740481C1C}">
                          <a14:useLocalDpi xmlns:a14="http://schemas.microsoft.com/office/drawing/2010/main" val="0"/>
                        </a:ext>
                      </a:extLst>
                    </a:blip>
                    <a:stretch>
                      <a:fillRect/>
                    </a:stretch>
                  </pic:blipFill>
                  <pic:spPr>
                    <a:xfrm>
                      <a:off x="0" y="0"/>
                      <a:ext cx="5778500" cy="2714625"/>
                    </a:xfrm>
                    <a:prstGeom prst="rect">
                      <a:avLst/>
                    </a:prstGeom>
                  </pic:spPr>
                </pic:pic>
              </a:graphicData>
            </a:graphic>
            <wp14:sizeRelH relativeFrom="page">
              <wp14:pctWidth>0</wp14:pctWidth>
            </wp14:sizeRelH>
            <wp14:sizeRelV relativeFrom="page">
              <wp14:pctHeight>0</wp14:pctHeight>
            </wp14:sizeRelV>
          </wp:anchor>
        </w:drawing>
      </w:r>
      <w:r w:rsidRPr="008A6115">
        <w:rPr>
          <w:rFonts w:ascii="Arial" w:hAnsi="Arial" w:cs="Arial"/>
          <w:b/>
          <w:bCs/>
        </w:rPr>
        <w:t xml:space="preserve">Figure </w:t>
      </w:r>
      <w:r>
        <w:rPr>
          <w:rFonts w:ascii="Arial" w:hAnsi="Arial" w:cs="Arial"/>
          <w:b/>
          <w:bCs/>
        </w:rPr>
        <w:t>1</w:t>
      </w:r>
      <w:r w:rsidRPr="008A6115">
        <w:rPr>
          <w:rFonts w:ascii="Arial" w:hAnsi="Arial" w:cs="Arial"/>
          <w:b/>
          <w:bCs/>
        </w:rPr>
        <w:t>.0:</w:t>
      </w:r>
      <w:r w:rsidRPr="008A6115">
        <w:rPr>
          <w:b/>
          <w:bCs/>
        </w:rPr>
        <w:t xml:space="preserve"> </w:t>
      </w:r>
      <w:r w:rsidRPr="008A6115">
        <w:rPr>
          <w:rFonts w:ascii="Arial" w:hAnsi="Arial" w:cs="Arial"/>
          <w:b/>
          <w:bCs/>
        </w:rPr>
        <w:t>Bank Negara Malaysia</w:t>
      </w:r>
      <w:r>
        <w:rPr>
          <w:rFonts w:ascii="Arial" w:hAnsi="Arial" w:cs="Arial"/>
          <w:b/>
          <w:bCs/>
        </w:rPr>
        <w:t>(</w:t>
      </w:r>
      <w:r w:rsidRPr="008A6115">
        <w:rPr>
          <w:rFonts w:ascii="Arial" w:hAnsi="Arial" w:cs="Arial"/>
          <w:b/>
          <w:bCs/>
        </w:rPr>
        <w:t>BNM</w:t>
      </w:r>
      <w:r>
        <w:rPr>
          <w:rFonts w:ascii="Arial" w:hAnsi="Arial" w:cs="Arial"/>
          <w:b/>
          <w:bCs/>
        </w:rPr>
        <w:t>)</w:t>
      </w:r>
      <w:r w:rsidRPr="008A6115">
        <w:rPr>
          <w:rFonts w:ascii="Arial" w:hAnsi="Arial" w:cs="Arial"/>
          <w:b/>
          <w:bCs/>
        </w:rPr>
        <w:t xml:space="preserve"> Stress Testing Approach</w:t>
      </w:r>
      <w:r>
        <w:rPr>
          <w:rFonts w:ascii="Arial" w:hAnsi="Arial" w:cs="Arial"/>
          <w:b/>
          <w:bCs/>
        </w:rPr>
        <w:t xml:space="preserve"> (</w:t>
      </w:r>
      <w:r w:rsidRPr="008A6115">
        <w:rPr>
          <w:rFonts w:ascii="Arial" w:hAnsi="Arial" w:cs="Arial"/>
          <w:b/>
          <w:bCs/>
        </w:rPr>
        <w:t>BNM</w:t>
      </w:r>
      <w:r>
        <w:rPr>
          <w:rFonts w:ascii="Arial" w:hAnsi="Arial" w:cs="Arial"/>
          <w:b/>
          <w:bCs/>
        </w:rPr>
        <w:t>,2014)</w:t>
      </w:r>
    </w:p>
    <w:p w14:paraId="5F2ACD28" w14:textId="3564E162" w:rsidR="008A6115" w:rsidRDefault="00785B74" w:rsidP="008A6115">
      <w:pPr>
        <w:spacing w:after="480" w:line="360" w:lineRule="auto"/>
        <w:jc w:val="both"/>
        <w:rPr>
          <w:rFonts w:ascii="Arial" w:hAnsi="Arial" w:cs="Arial"/>
        </w:rPr>
      </w:pPr>
      <w:r>
        <w:rPr>
          <w:rFonts w:ascii="Arial" w:hAnsi="Arial" w:cs="Arial"/>
        </w:rPr>
        <w:t xml:space="preserve">      </w:t>
      </w:r>
      <w:r w:rsidRPr="00785B74">
        <w:rPr>
          <w:rFonts w:ascii="Arial" w:hAnsi="Arial" w:cs="Arial"/>
        </w:rPr>
        <w:t>Liquidity risk is known as one of the most important reasons for failure in the banking industry since this type of risk critical to meeting funding needs and determining adequate liquidity for liabilities(İncekara and Çetinkaya, 2019). Thus, the aim of this study is going to compare the liquidity risk management (LRM) process between conventional and Islamic banking in Malaysia.  In Malaysia, there are approximately 27 conventional banks and 16 Islamic banks registered (Bank Negara Malaysia, 2019).  This study will adopt  15 conventional banks and 15 Islamic banks to conduct this research.  As we know that conventional banks and Islamic banks have different regulations. For instance, due to the prohibition of interest-based borrowing in Islamic banking that has limited Islamic banks' ability to managing their liquidity positions as compared to conventional banks(Singh and Sharma, 2016). In fact, a balance sheet can provide important information regarding a bank's financial position (Singh and Sharma, 2016).  Diamond and Rajan (1999) stated that the asset side includes loans forwarded to borrowers and the liabilities side shows deposits made by consumers in the balance sheet. Thus, this study will get data from the banks' balance sheet to measure.</w:t>
      </w:r>
    </w:p>
    <w:p w14:paraId="63458D56" w14:textId="1D259316" w:rsidR="008A6115" w:rsidRDefault="00785B74" w:rsidP="00785B74">
      <w:pPr>
        <w:spacing w:after="480" w:line="360" w:lineRule="auto"/>
        <w:jc w:val="both"/>
        <w:rPr>
          <w:rFonts w:ascii="Arial" w:hAnsi="Arial" w:cs="Arial"/>
        </w:rPr>
      </w:pPr>
      <w:r>
        <w:rPr>
          <w:rFonts w:ascii="Arial" w:hAnsi="Arial" w:cs="Arial"/>
        </w:rPr>
        <w:lastRenderedPageBreak/>
        <w:t xml:space="preserve">      </w:t>
      </w:r>
      <w:r w:rsidRPr="00785B74">
        <w:rPr>
          <w:rFonts w:ascii="Arial" w:hAnsi="Arial" w:cs="Arial"/>
        </w:rPr>
        <w:t>For this purpose, the researcher identified bank-specific factors that affect LRM between conventional and Islamic banks. According to the previous research papers. These factors include Bank Size, Profitability, and Deposits. The rest of this study is structured as follows: Chapter 2 is a literature review on determinants of LRM and factors. Chapter 3 is a methodology that will describe research design, data collection, and research methodology. Chapter 4 is the finding and discussion. Chapter 5 is the conclusion of this study.</w:t>
      </w:r>
    </w:p>
    <w:p w14:paraId="05F09217" w14:textId="32561042" w:rsidR="00780042" w:rsidRPr="00B96645" w:rsidRDefault="00780042" w:rsidP="00780042">
      <w:pPr>
        <w:pStyle w:val="Heading2"/>
        <w:numPr>
          <w:ilvl w:val="1"/>
          <w:numId w:val="7"/>
        </w:numPr>
        <w:spacing w:after="480"/>
        <w:ind w:left="714" w:hanging="357"/>
        <w:rPr>
          <w:rFonts w:ascii="Arial" w:hAnsi="Arial" w:cs="Arial"/>
          <w:b/>
          <w:sz w:val="24"/>
          <w:szCs w:val="24"/>
        </w:rPr>
      </w:pPr>
      <w:bookmarkStart w:id="16" w:name="_Toc23329232"/>
      <w:bookmarkStart w:id="17" w:name="_Toc23723802"/>
      <w:bookmarkStart w:id="18" w:name="_Toc27578583"/>
      <w:r>
        <w:rPr>
          <w:rFonts w:ascii="Arial" w:hAnsi="Arial" w:cs="Arial"/>
          <w:b/>
          <w:sz w:val="24"/>
          <w:szCs w:val="24"/>
        </w:rPr>
        <w:t>Problem Statement</w:t>
      </w:r>
      <w:bookmarkEnd w:id="16"/>
      <w:bookmarkEnd w:id="17"/>
      <w:bookmarkEnd w:id="18"/>
    </w:p>
    <w:p w14:paraId="4851BD54" w14:textId="6EDE5471" w:rsidR="004D40AC" w:rsidRDefault="00780042" w:rsidP="004D40AC">
      <w:pPr>
        <w:spacing w:after="480" w:line="360" w:lineRule="auto"/>
        <w:ind w:firstLine="720"/>
        <w:jc w:val="both"/>
        <w:rPr>
          <w:rFonts w:ascii="Arial" w:hAnsi="Arial" w:cs="Arial"/>
        </w:rPr>
      </w:pPr>
      <w:r>
        <w:rPr>
          <w:rFonts w:ascii="Arial" w:hAnsi="Arial" w:cs="Arial"/>
        </w:rPr>
        <w:t xml:space="preserve"> </w:t>
      </w:r>
      <w:r w:rsidR="009B2E94" w:rsidRPr="009B2E94">
        <w:rPr>
          <w:rFonts w:ascii="Arial" w:hAnsi="Arial" w:cs="Arial"/>
        </w:rPr>
        <w:t xml:space="preserve">According to Hafiz, Sadaf and M (2013) investigated </w:t>
      </w:r>
      <w:r w:rsidR="004D40AC">
        <w:rPr>
          <w:rFonts w:ascii="Arial" w:hAnsi="Arial" w:cs="Arial"/>
        </w:rPr>
        <w:t>LRM</w:t>
      </w:r>
      <w:r w:rsidR="009B2E94" w:rsidRPr="009B2E94">
        <w:rPr>
          <w:rFonts w:ascii="Arial" w:hAnsi="Arial" w:cs="Arial"/>
        </w:rPr>
        <w:t xml:space="preserve"> is a critical but complex issue in the conventional and Islamic banks. While there are many studies of </w:t>
      </w:r>
      <w:r w:rsidR="004D40AC">
        <w:rPr>
          <w:rFonts w:ascii="Arial" w:hAnsi="Arial" w:cs="Arial"/>
        </w:rPr>
        <w:t>LRM</w:t>
      </w:r>
      <w:r w:rsidR="009B2E94" w:rsidRPr="009B2E94">
        <w:rPr>
          <w:rFonts w:ascii="Arial" w:hAnsi="Arial" w:cs="Arial"/>
        </w:rPr>
        <w:t xml:space="preserve"> have been conducted in the banking industry. However, there are no studies comparing </w:t>
      </w:r>
      <w:r w:rsidR="004D40AC">
        <w:rPr>
          <w:rFonts w:ascii="Arial" w:hAnsi="Arial" w:cs="Arial"/>
        </w:rPr>
        <w:t xml:space="preserve">LRM </w:t>
      </w:r>
      <w:r w:rsidR="009B2E94" w:rsidRPr="009B2E94">
        <w:rPr>
          <w:rFonts w:ascii="Arial" w:hAnsi="Arial" w:cs="Arial"/>
        </w:rPr>
        <w:t xml:space="preserve"> between conventional and Islamic banks in Malaysia. This is a research gap that brings me to decide to conduct this research.</w:t>
      </w:r>
      <w:r w:rsidR="0096431E">
        <w:rPr>
          <w:rFonts w:ascii="Arial" w:hAnsi="Arial" w:cs="Arial"/>
        </w:rPr>
        <w:t xml:space="preserve"> </w:t>
      </w:r>
      <w:r w:rsidR="0096431E" w:rsidRPr="0096431E">
        <w:rPr>
          <w:rFonts w:ascii="Arial" w:hAnsi="Arial" w:cs="Arial"/>
        </w:rPr>
        <w:t>In the literature review, the researcher will be given some of the studies below in chronological order.</w:t>
      </w:r>
    </w:p>
    <w:p w14:paraId="625A64F1" w14:textId="1C96C7B5" w:rsidR="00670B7E" w:rsidRDefault="00670B7E" w:rsidP="004D40AC">
      <w:pPr>
        <w:spacing w:after="480" w:line="360" w:lineRule="auto"/>
        <w:ind w:firstLine="720"/>
        <w:jc w:val="both"/>
        <w:rPr>
          <w:rFonts w:ascii="Arial" w:hAnsi="Arial" w:cs="Arial"/>
        </w:rPr>
      </w:pPr>
      <w:r w:rsidRPr="00670B7E">
        <w:rPr>
          <w:rFonts w:ascii="Arial" w:hAnsi="Arial" w:cs="Arial"/>
        </w:rPr>
        <w:t>Many research showed that LRM plays a very important role in the banking industry. From 2008 to 2009, due to the impact of the global financial crisis let many financial institutions found that managing liquidity risk is very important and more challenging for company development (Siddiqi, 2008). Actually, when banks unable to meet the obligations of the depositors or unable to increase funds for an asset when it expires without the risk of unacceptable costs or losses consider as the need to face liquidity risk. However, liquidity risk also will arise due to the time depositors’ decisions to withdraw their deposits and banks have not enough cash in and (Iqbal, 2012). So, banks need to identify the imbalances in the asset and liability and have to manage the liquidity risk accurately in order to overcome this risk. Otherwise, the banks may need to face insolvency risks (</w:t>
      </w:r>
      <w:proofErr w:type="spellStart"/>
      <w:r w:rsidRPr="00670B7E">
        <w:rPr>
          <w:rFonts w:ascii="Arial" w:hAnsi="Arial" w:cs="Arial"/>
        </w:rPr>
        <w:t>Ummi</w:t>
      </w:r>
      <w:proofErr w:type="spellEnd"/>
      <w:r w:rsidRPr="00670B7E">
        <w:rPr>
          <w:rFonts w:ascii="Arial" w:hAnsi="Arial" w:cs="Arial"/>
        </w:rPr>
        <w:t xml:space="preserve">, Aisyah, and </w:t>
      </w:r>
      <w:proofErr w:type="spellStart"/>
      <w:r w:rsidRPr="00670B7E">
        <w:rPr>
          <w:rFonts w:ascii="Arial" w:hAnsi="Arial" w:cs="Arial"/>
        </w:rPr>
        <w:t>Ruzian</w:t>
      </w:r>
      <w:proofErr w:type="spellEnd"/>
      <w:r w:rsidRPr="00670B7E">
        <w:rPr>
          <w:rFonts w:ascii="Arial" w:hAnsi="Arial" w:cs="Arial"/>
        </w:rPr>
        <w:t>, 2018).</w:t>
      </w:r>
    </w:p>
    <w:p w14:paraId="10E38698" w14:textId="53C5AC3A" w:rsidR="00E36F1A" w:rsidRDefault="00670B7E" w:rsidP="008E1D95">
      <w:pPr>
        <w:spacing w:after="480" w:line="360" w:lineRule="auto"/>
        <w:ind w:firstLine="720"/>
        <w:jc w:val="both"/>
        <w:rPr>
          <w:rFonts w:ascii="Arial" w:hAnsi="Arial" w:cs="Arial"/>
        </w:rPr>
      </w:pPr>
      <w:r w:rsidRPr="00670B7E">
        <w:rPr>
          <w:rFonts w:ascii="Arial" w:hAnsi="Arial" w:cs="Arial"/>
        </w:rPr>
        <w:lastRenderedPageBreak/>
        <w:t xml:space="preserve">In fact, </w:t>
      </w:r>
      <w:r w:rsidR="00E36F1A">
        <w:rPr>
          <w:rFonts w:ascii="Arial" w:hAnsi="Arial" w:cs="Arial"/>
        </w:rPr>
        <w:t xml:space="preserve">according to </w:t>
      </w:r>
      <w:r w:rsidR="00E36F1A" w:rsidRPr="00E36F1A">
        <w:rPr>
          <w:rFonts w:ascii="Arial" w:hAnsi="Arial" w:cs="Arial"/>
        </w:rPr>
        <w:t>Singh and Sharma</w:t>
      </w:r>
      <w:r w:rsidR="00E36F1A">
        <w:rPr>
          <w:rFonts w:ascii="Arial" w:hAnsi="Arial" w:cs="Arial"/>
        </w:rPr>
        <w:t xml:space="preserve"> (</w:t>
      </w:r>
      <w:r w:rsidR="00E36F1A" w:rsidRPr="00E36F1A">
        <w:rPr>
          <w:rFonts w:ascii="Arial" w:hAnsi="Arial" w:cs="Arial"/>
        </w:rPr>
        <w:t>2016)</w:t>
      </w:r>
      <w:r w:rsidR="00E36F1A">
        <w:rPr>
          <w:rFonts w:ascii="Arial" w:hAnsi="Arial" w:cs="Arial"/>
        </w:rPr>
        <w:t xml:space="preserve"> stated </w:t>
      </w:r>
      <w:r w:rsidR="00E36F1A" w:rsidRPr="00E36F1A">
        <w:rPr>
          <w:rFonts w:ascii="Arial" w:hAnsi="Arial" w:cs="Arial"/>
        </w:rPr>
        <w:t xml:space="preserve"> </w:t>
      </w:r>
      <w:r w:rsidRPr="00E36F1A">
        <w:rPr>
          <w:rFonts w:ascii="Arial" w:hAnsi="Arial" w:cs="Arial"/>
        </w:rPr>
        <w:t>there</w:t>
      </w:r>
      <w:r w:rsidRPr="00670B7E">
        <w:rPr>
          <w:rFonts w:ascii="Arial" w:hAnsi="Arial" w:cs="Arial"/>
        </w:rPr>
        <w:t xml:space="preserve"> many factors that will affect liquidity risk</w:t>
      </w:r>
      <w:r w:rsidR="008E1D95">
        <w:rPr>
          <w:rFonts w:ascii="Arial" w:hAnsi="Arial" w:cs="Arial"/>
        </w:rPr>
        <w:t xml:space="preserve"> i</w:t>
      </w:r>
      <w:r w:rsidR="008E1D95" w:rsidRPr="008E1D95">
        <w:rPr>
          <w:rFonts w:ascii="Arial" w:hAnsi="Arial" w:cs="Arial"/>
        </w:rPr>
        <w:t>n today's business environment</w:t>
      </w:r>
      <w:r w:rsidRPr="00670B7E">
        <w:rPr>
          <w:rFonts w:ascii="Arial" w:hAnsi="Arial" w:cs="Arial"/>
        </w:rPr>
        <w:t xml:space="preserve">. </w:t>
      </w:r>
      <w:r w:rsidR="008E1D95" w:rsidRPr="008E1D95">
        <w:rPr>
          <w:rFonts w:ascii="Arial" w:hAnsi="Arial" w:cs="Arial"/>
        </w:rPr>
        <w:t>For instance,  microeconomic factors, the complexities in liquidity management strategy due to the digital payment systems, new payment rails and so on.</w:t>
      </w:r>
      <w:r w:rsidR="008E1D95">
        <w:rPr>
          <w:rFonts w:ascii="Arial" w:hAnsi="Arial" w:cs="Arial"/>
        </w:rPr>
        <w:t xml:space="preserve"> </w:t>
      </w:r>
      <w:r w:rsidR="00E36F1A">
        <w:rPr>
          <w:rFonts w:ascii="Arial" w:hAnsi="Arial" w:cs="Arial"/>
        </w:rPr>
        <w:t>As figure1.2 shows there are two types factors will affect liquidity risk which are macroeconomic factors and bank</w:t>
      </w:r>
      <w:r w:rsidR="007B3B3F">
        <w:rPr>
          <w:rFonts w:ascii="Arial" w:hAnsi="Arial" w:cs="Arial"/>
        </w:rPr>
        <w:t>-</w:t>
      </w:r>
      <w:r w:rsidR="00E36F1A">
        <w:rPr>
          <w:rFonts w:ascii="Arial" w:hAnsi="Arial" w:cs="Arial"/>
        </w:rPr>
        <w:t>specific factors. In macroeconomic factors include the GDP, Inflation Rate, Unemployment Rate,  Monetary Policy, and Crisis.</w:t>
      </w:r>
      <w:r w:rsidR="007B3B3F">
        <w:rPr>
          <w:rFonts w:ascii="Arial" w:hAnsi="Arial" w:cs="Arial"/>
        </w:rPr>
        <w:t xml:space="preserve"> From the bank-specific factors that includes Deposits, Cost of Funding, Profitability, Ownership, Capital, and Bank Size. </w:t>
      </w:r>
      <w:r w:rsidR="00D4332F">
        <w:rPr>
          <w:rFonts w:ascii="Arial" w:hAnsi="Arial" w:cs="Arial"/>
        </w:rPr>
        <w:t xml:space="preserve">However, this study will only select the bank-specific factors to measure the bank liquidity in both conventional and Islamic banks.  Thus, the liquidity is the dependent variable for this study and this study will select the profitability, deposits, and bank size to measure the </w:t>
      </w:r>
    </w:p>
    <w:p w14:paraId="742BAA24" w14:textId="24BAC96C" w:rsidR="00E36F1A" w:rsidRPr="007B3B3F" w:rsidRDefault="00E36F1A" w:rsidP="007B3B3F">
      <w:pPr>
        <w:spacing w:after="480" w:line="360" w:lineRule="auto"/>
        <w:jc w:val="both"/>
        <w:rPr>
          <w:rFonts w:ascii="Arial" w:hAnsi="Arial" w:cs="Arial"/>
          <w:b/>
          <w:bCs/>
        </w:rPr>
      </w:pPr>
      <w:r w:rsidRPr="008A6115">
        <w:rPr>
          <w:rFonts w:ascii="Arial" w:hAnsi="Arial" w:cs="Arial"/>
          <w:b/>
          <w:bCs/>
          <w:noProof/>
          <w:lang w:val="en-US"/>
        </w:rPr>
        <w:drawing>
          <wp:anchor distT="0" distB="0" distL="114300" distR="114300" simplePos="0" relativeHeight="251674624" behindDoc="0" locked="0" layoutInCell="1" allowOverlap="1" wp14:anchorId="58BEBD70" wp14:editId="2876533F">
            <wp:simplePos x="0" y="0"/>
            <wp:positionH relativeFrom="column">
              <wp:posOffset>5080</wp:posOffset>
            </wp:positionH>
            <wp:positionV relativeFrom="paragraph">
              <wp:posOffset>445516</wp:posOffset>
            </wp:positionV>
            <wp:extent cx="5727700" cy="2808605"/>
            <wp:effectExtent l="0" t="0" r="0" b="0"/>
            <wp:wrapSquare wrapText="bothSides"/>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1-29 at 1.54.38 PM.png"/>
                    <pic:cNvPicPr/>
                  </pic:nvPicPr>
                  <pic:blipFill>
                    <a:blip r:embed="rId9">
                      <a:extLst>
                        <a:ext uri="{28A0092B-C50C-407E-A947-70E740481C1C}">
                          <a14:useLocalDpi xmlns:a14="http://schemas.microsoft.com/office/drawing/2010/main" val="0"/>
                        </a:ext>
                      </a:extLst>
                    </a:blip>
                    <a:stretch>
                      <a:fillRect/>
                    </a:stretch>
                  </pic:blipFill>
                  <pic:spPr>
                    <a:xfrm>
                      <a:off x="0" y="0"/>
                      <a:ext cx="5727700" cy="2808605"/>
                    </a:xfrm>
                    <a:prstGeom prst="rect">
                      <a:avLst/>
                    </a:prstGeom>
                  </pic:spPr>
                </pic:pic>
              </a:graphicData>
            </a:graphic>
            <wp14:sizeRelH relativeFrom="page">
              <wp14:pctWidth>0</wp14:pctWidth>
            </wp14:sizeRelH>
            <wp14:sizeRelV relativeFrom="page">
              <wp14:pctHeight>0</wp14:pctHeight>
            </wp14:sizeRelV>
          </wp:anchor>
        </w:drawing>
      </w:r>
      <w:r w:rsidRPr="008A6115">
        <w:rPr>
          <w:rFonts w:ascii="Arial" w:hAnsi="Arial" w:cs="Arial"/>
          <w:b/>
          <w:bCs/>
        </w:rPr>
        <w:t xml:space="preserve">Figure </w:t>
      </w:r>
      <w:r>
        <w:rPr>
          <w:rFonts w:ascii="Arial" w:hAnsi="Arial" w:cs="Arial"/>
          <w:b/>
          <w:bCs/>
        </w:rPr>
        <w:t>1</w:t>
      </w:r>
      <w:r w:rsidRPr="008A6115">
        <w:rPr>
          <w:rFonts w:ascii="Arial" w:hAnsi="Arial" w:cs="Arial"/>
          <w:b/>
          <w:bCs/>
        </w:rPr>
        <w:t>.</w:t>
      </w:r>
      <w:r>
        <w:rPr>
          <w:rFonts w:ascii="Arial" w:hAnsi="Arial" w:cs="Arial"/>
          <w:b/>
          <w:bCs/>
        </w:rPr>
        <w:t>2</w:t>
      </w:r>
      <w:r w:rsidRPr="008A6115">
        <w:rPr>
          <w:rFonts w:ascii="Arial" w:hAnsi="Arial" w:cs="Arial"/>
          <w:b/>
          <w:bCs/>
        </w:rPr>
        <w:t>:</w:t>
      </w:r>
      <w:r w:rsidRPr="008A6115">
        <w:rPr>
          <w:b/>
          <w:bCs/>
        </w:rPr>
        <w:t xml:space="preserve"> </w:t>
      </w:r>
      <w:r w:rsidRPr="008A6115">
        <w:rPr>
          <w:rFonts w:ascii="Arial" w:hAnsi="Arial" w:cs="Arial"/>
          <w:b/>
          <w:bCs/>
        </w:rPr>
        <w:t>Bank Specifics and Macroeconomic factors (Source:</w:t>
      </w:r>
      <w:r w:rsidRPr="008A6115">
        <w:rPr>
          <w:b/>
          <w:bCs/>
        </w:rPr>
        <w:t xml:space="preserve"> </w:t>
      </w:r>
      <w:r w:rsidRPr="008A6115">
        <w:rPr>
          <w:rFonts w:ascii="Arial" w:hAnsi="Arial" w:cs="Arial"/>
          <w:b/>
          <w:bCs/>
        </w:rPr>
        <w:t>Singh and Sharma, 2016)</w:t>
      </w:r>
    </w:p>
    <w:p w14:paraId="3A918242" w14:textId="616CFE4A" w:rsidR="0096431E" w:rsidRPr="00670B7E" w:rsidRDefault="00D4332F" w:rsidP="007B3B3F">
      <w:pPr>
        <w:spacing w:after="480" w:line="360" w:lineRule="auto"/>
        <w:jc w:val="both"/>
        <w:rPr>
          <w:rFonts w:ascii="Arial" w:hAnsi="Arial" w:cs="Arial"/>
        </w:rPr>
      </w:pPr>
      <w:r>
        <w:rPr>
          <w:rFonts w:ascii="Arial" w:hAnsi="Arial" w:cs="Arial"/>
        </w:rPr>
        <w:t xml:space="preserve">liquidity risk management between the conventional and Islamic banks. </w:t>
      </w:r>
      <w:r w:rsidRPr="00670B7E">
        <w:rPr>
          <w:rFonts w:ascii="Arial" w:hAnsi="Arial" w:cs="Arial"/>
        </w:rPr>
        <w:t>According to Slam and Chowdhury (2007) research that Islamic banks have a better liquidity position compare with conventional banks by applying a regression model in Bangladesh between 2003-2006.</w:t>
      </w:r>
      <w:r w:rsidRPr="007B3B3F">
        <w:rPr>
          <w:rFonts w:ascii="Arial" w:hAnsi="Arial" w:cs="Arial"/>
        </w:rPr>
        <w:t xml:space="preserve"> </w:t>
      </w:r>
      <w:r w:rsidRPr="00670B7E">
        <w:rPr>
          <w:rFonts w:ascii="Arial" w:hAnsi="Arial" w:cs="Arial"/>
        </w:rPr>
        <w:t xml:space="preserve">This study adopted many different factors to measure liquidity </w:t>
      </w:r>
      <w:r w:rsidR="008E1D95" w:rsidRPr="00670B7E">
        <w:rPr>
          <w:rFonts w:ascii="Arial" w:hAnsi="Arial" w:cs="Arial"/>
        </w:rPr>
        <w:t xml:space="preserve">risk. Such as bank size, debt to equity ratio, Return on </w:t>
      </w:r>
      <w:r w:rsidR="008E1D95">
        <w:rPr>
          <w:rFonts w:ascii="Arial" w:hAnsi="Arial" w:cs="Arial"/>
        </w:rPr>
        <w:t>Assets</w:t>
      </w:r>
      <w:r w:rsidR="008E1D95" w:rsidRPr="00670B7E">
        <w:rPr>
          <w:rFonts w:ascii="Arial" w:hAnsi="Arial" w:cs="Arial"/>
        </w:rPr>
        <w:t xml:space="preserve"> (RO</w:t>
      </w:r>
      <w:r w:rsidR="008E1D95">
        <w:rPr>
          <w:rFonts w:ascii="Arial" w:hAnsi="Arial" w:cs="Arial"/>
        </w:rPr>
        <w:t>A</w:t>
      </w:r>
      <w:r w:rsidR="008E1D95" w:rsidRPr="00670B7E">
        <w:rPr>
          <w:rFonts w:ascii="Arial" w:hAnsi="Arial" w:cs="Arial"/>
        </w:rPr>
        <w:t xml:space="preserve">), and so on. In addition, </w:t>
      </w:r>
      <w:proofErr w:type="spellStart"/>
      <w:r w:rsidR="008E1D95" w:rsidRPr="00670B7E">
        <w:rPr>
          <w:rFonts w:ascii="Arial" w:hAnsi="Arial" w:cs="Arial"/>
        </w:rPr>
        <w:t>Asim</w:t>
      </w:r>
      <w:proofErr w:type="spellEnd"/>
      <w:r w:rsidR="008E1D95" w:rsidRPr="00670B7E">
        <w:rPr>
          <w:rFonts w:ascii="Arial" w:hAnsi="Arial" w:cs="Arial"/>
        </w:rPr>
        <w:t xml:space="preserve"> and Abdul Qayyum (2012) also </w:t>
      </w:r>
      <w:r w:rsidR="008E1D95" w:rsidRPr="00670B7E">
        <w:rPr>
          <w:rFonts w:ascii="Arial" w:hAnsi="Arial" w:cs="Arial"/>
        </w:rPr>
        <w:lastRenderedPageBreak/>
        <w:t>conducted a study on liquidity risk</w:t>
      </w:r>
      <w:r w:rsidR="008E1D95">
        <w:rPr>
          <w:rFonts w:ascii="Arial" w:hAnsi="Arial" w:cs="Arial"/>
        </w:rPr>
        <w:t xml:space="preserve">. </w:t>
      </w:r>
      <w:r w:rsidR="007B3B3F" w:rsidRPr="00670B7E">
        <w:rPr>
          <w:rFonts w:ascii="Arial" w:hAnsi="Arial" w:cs="Arial"/>
        </w:rPr>
        <w:t>management among foreign and domestic banks in Pakistan and also adapted similar factors as Slam and Chowdhury (2007).</w:t>
      </w:r>
      <w:r w:rsidR="00670B7E" w:rsidRPr="00670B7E">
        <w:rPr>
          <w:rFonts w:ascii="Arial" w:hAnsi="Arial" w:cs="Arial"/>
        </w:rPr>
        <w:t>However, all the results showed all the factors will affect the banks' liquidity risk and bank performance, but the different factors will have different influences between the different banks. For instance, the bank size and debt to equity ratio have a positive relationship with foreign banks and have a negative relationship with domestic banks in Pakistan (</w:t>
      </w:r>
      <w:proofErr w:type="spellStart"/>
      <w:r w:rsidR="00670B7E" w:rsidRPr="00670B7E">
        <w:rPr>
          <w:rFonts w:ascii="Arial" w:hAnsi="Arial" w:cs="Arial"/>
        </w:rPr>
        <w:t>Asim</w:t>
      </w:r>
      <w:proofErr w:type="spellEnd"/>
      <w:r w:rsidR="00670B7E" w:rsidRPr="00670B7E">
        <w:rPr>
          <w:rFonts w:ascii="Arial" w:hAnsi="Arial" w:cs="Arial"/>
        </w:rPr>
        <w:t xml:space="preserve"> and Abdul Qayyum, 2012).</w:t>
      </w:r>
      <w:r w:rsidR="007B3B3F">
        <w:rPr>
          <w:rFonts w:ascii="Arial" w:hAnsi="Arial" w:cs="Arial"/>
        </w:rPr>
        <w:t xml:space="preserve"> </w:t>
      </w:r>
      <w:r w:rsidR="007B3B3F" w:rsidRPr="007B3B3F">
        <w:rPr>
          <w:rFonts w:ascii="Arial" w:hAnsi="Arial" w:cs="Arial"/>
        </w:rPr>
        <w:t>In addition, Siti Fatimah, Y., Aisyah, A. and Zulkefly, A. (2016) conducted business research of Islamic Banks in Malaysia. They selected the return on asset, bank size, return on equity, GDP and so on as independent variables to measure what are the factors can affect liquidity risk in Islamic banking.</w:t>
      </w:r>
    </w:p>
    <w:p w14:paraId="22B8CEB2" w14:textId="036CDB02" w:rsidR="008A4D19" w:rsidRPr="008A4D19" w:rsidRDefault="00FA680E" w:rsidP="008A4D19">
      <w:pPr>
        <w:spacing w:after="480" w:line="360" w:lineRule="auto"/>
        <w:ind w:firstLine="720"/>
        <w:jc w:val="both"/>
        <w:rPr>
          <w:rFonts w:ascii="Arial" w:hAnsi="Arial" w:cs="Arial"/>
        </w:rPr>
      </w:pPr>
      <w:r w:rsidRPr="00FA680E">
        <w:rPr>
          <w:rFonts w:ascii="Arial" w:hAnsi="Arial" w:cs="Arial"/>
          <w:lang w:val="en-US"/>
        </w:rPr>
        <w:t xml:space="preserve">Moreover, according to </w:t>
      </w:r>
      <w:proofErr w:type="spellStart"/>
      <w:r w:rsidRPr="00FA680E">
        <w:rPr>
          <w:rFonts w:ascii="Arial" w:hAnsi="Arial" w:cs="Arial"/>
          <w:lang w:val="en-US"/>
        </w:rPr>
        <w:t>Ummi</w:t>
      </w:r>
      <w:proofErr w:type="spellEnd"/>
      <w:r w:rsidRPr="00FA680E">
        <w:rPr>
          <w:rFonts w:ascii="Arial" w:hAnsi="Arial" w:cs="Arial"/>
          <w:lang w:val="en-US"/>
        </w:rPr>
        <w:t xml:space="preserve">, Aisyah, and </w:t>
      </w:r>
      <w:proofErr w:type="spellStart"/>
      <w:r w:rsidRPr="00FA680E">
        <w:rPr>
          <w:rFonts w:ascii="Arial" w:hAnsi="Arial" w:cs="Arial"/>
          <w:lang w:val="en-US"/>
        </w:rPr>
        <w:t>Ruzian</w:t>
      </w:r>
      <w:proofErr w:type="spellEnd"/>
      <w:r w:rsidRPr="00FA680E">
        <w:rPr>
          <w:rFonts w:ascii="Arial" w:hAnsi="Arial" w:cs="Arial"/>
          <w:lang w:val="en-US"/>
        </w:rPr>
        <w:t xml:space="preserve"> (2018) stated that due to the global financial crisis, LRM has placed as an important regulatory agenda in Malaysia. Bank Negara Malaysia and Islamic Financial Services Board issued miscellaneous guidelines for the Islamic financial industry. The guidelines include Fundamentals of liquidity risk management, supervisory process, liquidity risk control and so on.</w:t>
      </w:r>
      <w:bookmarkStart w:id="19" w:name="_Toc23329233"/>
      <w:bookmarkStart w:id="20" w:name="_Toc23723803"/>
      <w:r w:rsidR="007B3B3F">
        <w:rPr>
          <w:rFonts w:ascii="Arial" w:hAnsi="Arial" w:cs="Arial"/>
          <w:lang w:val="en-US"/>
        </w:rPr>
        <w:t xml:space="preserve"> </w:t>
      </w:r>
      <w:r w:rsidR="007B3B3F" w:rsidRPr="007B3B3F">
        <w:rPr>
          <w:rFonts w:ascii="Arial" w:hAnsi="Arial" w:cs="Arial"/>
          <w:lang w:val="en-US"/>
        </w:rPr>
        <w:t>All these indicated LRM has become more and more important in the Malaysia banking industry.</w:t>
      </w:r>
      <w:r w:rsidR="007B3B3F">
        <w:rPr>
          <w:rFonts w:ascii="Arial" w:hAnsi="Arial" w:cs="Arial"/>
          <w:lang w:val="en-US"/>
        </w:rPr>
        <w:t xml:space="preserve"> Thus, this study </w:t>
      </w:r>
      <w:r w:rsidR="007B3B3F" w:rsidRPr="007B3B3F">
        <w:rPr>
          <w:rFonts w:ascii="Arial" w:hAnsi="Arial" w:cs="Arial"/>
          <w:lang w:val="en-US"/>
        </w:rPr>
        <w:t>conducted a comparison between conventional and Islamic banking in Malaysia.</w:t>
      </w:r>
    </w:p>
    <w:p w14:paraId="0D00C9CC" w14:textId="0B8A20E6" w:rsidR="00780042" w:rsidRPr="00F01D1F" w:rsidRDefault="00E35241" w:rsidP="00F01D1F">
      <w:pPr>
        <w:pStyle w:val="Heading2"/>
        <w:numPr>
          <w:ilvl w:val="1"/>
          <w:numId w:val="7"/>
        </w:numPr>
        <w:spacing w:before="0" w:after="480"/>
        <w:ind w:left="714" w:hanging="357"/>
        <w:rPr>
          <w:rFonts w:ascii="Arial" w:hAnsi="Arial" w:cs="Arial"/>
          <w:b/>
          <w:sz w:val="24"/>
          <w:szCs w:val="24"/>
        </w:rPr>
      </w:pPr>
      <w:r w:rsidRPr="00F01D1F">
        <w:rPr>
          <w:rFonts w:ascii="Arial" w:hAnsi="Arial" w:cs="Arial"/>
          <w:b/>
          <w:sz w:val="24"/>
          <w:szCs w:val="24"/>
        </w:rPr>
        <w:t xml:space="preserve"> </w:t>
      </w:r>
      <w:bookmarkStart w:id="21" w:name="_Toc27578584"/>
      <w:r w:rsidR="00780042" w:rsidRPr="00F01D1F">
        <w:rPr>
          <w:rFonts w:ascii="Arial" w:hAnsi="Arial" w:cs="Arial"/>
          <w:b/>
          <w:sz w:val="24"/>
          <w:szCs w:val="24"/>
        </w:rPr>
        <w:t xml:space="preserve">Research </w:t>
      </w:r>
      <w:r w:rsidR="008A4D19" w:rsidRPr="00F01D1F">
        <w:rPr>
          <w:rFonts w:ascii="Arial" w:hAnsi="Arial" w:cs="Arial"/>
          <w:b/>
          <w:sz w:val="24"/>
          <w:szCs w:val="24"/>
        </w:rPr>
        <w:t>Objectives</w:t>
      </w:r>
      <w:bookmarkEnd w:id="19"/>
      <w:bookmarkEnd w:id="20"/>
      <w:bookmarkEnd w:id="21"/>
      <w:r w:rsidR="00780042" w:rsidRPr="00F01D1F">
        <w:rPr>
          <w:rFonts w:ascii="Arial" w:hAnsi="Arial" w:cs="Arial"/>
          <w:b/>
          <w:sz w:val="24"/>
          <w:szCs w:val="24"/>
        </w:rPr>
        <w:t xml:space="preserve"> </w:t>
      </w:r>
    </w:p>
    <w:p w14:paraId="2021893D" w14:textId="344A5ABC" w:rsidR="000908B8" w:rsidRPr="000908B8" w:rsidRDefault="000F0FDA" w:rsidP="000908B8">
      <w:pPr>
        <w:spacing w:after="480" w:line="360" w:lineRule="auto"/>
        <w:ind w:firstLine="720"/>
        <w:jc w:val="both"/>
        <w:rPr>
          <w:rFonts w:ascii="Arial" w:hAnsi="Arial" w:cs="Arial"/>
        </w:rPr>
      </w:pPr>
      <w:r w:rsidRPr="000F0FDA">
        <w:rPr>
          <w:rFonts w:ascii="Arial" w:hAnsi="Arial" w:cs="Arial"/>
        </w:rPr>
        <w:t xml:space="preserve">In the 21st century, the banking industry should pay attention to liquidity risk management since it can help banks improve control over cash forecasting,  able to pay its debts without suffering catastrophic losses, unlock trapped cash and many more. Thus, to conduct a study on liquidity risk management for banks is very important. However, there are many studies have been conducted that liquidity risk management in conventional banks and Islamic banks is different. And also have research been conducted on liquidity risk management in Islamic banks or overall banks in Malaysia, but there are no studies to compare liquidity risk management in conventional banks and Islamic banks in Malaysia. Thus, the </w:t>
      </w:r>
      <w:r w:rsidRPr="000F0FDA">
        <w:rPr>
          <w:rFonts w:ascii="Arial" w:hAnsi="Arial" w:cs="Arial"/>
        </w:rPr>
        <w:lastRenderedPageBreak/>
        <w:t xml:space="preserve">researcher analysed liquidity risk management between conventional and Islamic banking in the Malaysian context in this study. Based on the discussion above, there are several objectives underlying in this research. The board research question of this research is  “How does the liquidity risk management between conventional and Islamic banking?” </w:t>
      </w:r>
      <w:r w:rsidR="000908B8" w:rsidRPr="000908B8">
        <w:rPr>
          <w:rFonts w:ascii="Arial" w:hAnsi="Arial" w:cs="Arial"/>
        </w:rPr>
        <w:t xml:space="preserve">The sub-objectives of this research are </w:t>
      </w:r>
    </w:p>
    <w:p w14:paraId="6512F864" w14:textId="10C58188" w:rsidR="000908B8" w:rsidRPr="000908B8" w:rsidRDefault="000908B8" w:rsidP="00E36F1A">
      <w:pPr>
        <w:spacing w:after="480" w:line="360" w:lineRule="auto"/>
        <w:ind w:firstLine="720"/>
        <w:jc w:val="both"/>
        <w:rPr>
          <w:rFonts w:ascii="Arial" w:hAnsi="Arial" w:cs="Arial"/>
        </w:rPr>
      </w:pPr>
      <w:r w:rsidRPr="000908B8">
        <w:rPr>
          <w:rFonts w:ascii="Arial" w:hAnsi="Arial" w:cs="Arial"/>
        </w:rPr>
        <w:t>RQ1: How does profitability affect the liquidity in both conventional and Islamic banks in Malaysia? (Singh, A., Sharma, A. 2016)</w:t>
      </w:r>
    </w:p>
    <w:p w14:paraId="7E8B6FC7" w14:textId="50F4240F" w:rsidR="000908B8" w:rsidRPr="000908B8" w:rsidRDefault="000908B8" w:rsidP="000908B8">
      <w:pPr>
        <w:spacing w:after="480" w:line="360" w:lineRule="auto"/>
        <w:ind w:firstLine="720"/>
        <w:jc w:val="both"/>
        <w:rPr>
          <w:rFonts w:ascii="Arial" w:hAnsi="Arial" w:cs="Arial"/>
        </w:rPr>
      </w:pPr>
      <w:r w:rsidRPr="000908B8">
        <w:rPr>
          <w:rFonts w:ascii="Arial" w:hAnsi="Arial" w:cs="Arial"/>
        </w:rPr>
        <w:t>RQ2: How does bank size affect the liquidity in both conventional and Islamic banks in Malaysia? (</w:t>
      </w:r>
      <w:proofErr w:type="spellStart"/>
      <w:r w:rsidRPr="000908B8">
        <w:rPr>
          <w:rFonts w:ascii="Arial" w:hAnsi="Arial" w:cs="Arial"/>
        </w:rPr>
        <w:t>Ummi</w:t>
      </w:r>
      <w:proofErr w:type="spellEnd"/>
      <w:r w:rsidRPr="000908B8">
        <w:rPr>
          <w:rFonts w:ascii="Arial" w:hAnsi="Arial" w:cs="Arial"/>
        </w:rPr>
        <w:t xml:space="preserve">, R., Aisyah, R. and </w:t>
      </w:r>
      <w:proofErr w:type="spellStart"/>
      <w:r w:rsidRPr="000908B8">
        <w:rPr>
          <w:rFonts w:ascii="Arial" w:hAnsi="Arial" w:cs="Arial"/>
        </w:rPr>
        <w:t>Ruzian</w:t>
      </w:r>
      <w:proofErr w:type="spellEnd"/>
      <w:r w:rsidRPr="000908B8">
        <w:rPr>
          <w:rFonts w:ascii="Arial" w:hAnsi="Arial" w:cs="Arial"/>
        </w:rPr>
        <w:t xml:space="preserve">, M., 2018). </w:t>
      </w:r>
    </w:p>
    <w:p w14:paraId="2111B3AD" w14:textId="2F923BA9" w:rsidR="00780042" w:rsidRPr="00C03871" w:rsidRDefault="000908B8" w:rsidP="000908B8">
      <w:pPr>
        <w:spacing w:after="480" w:line="360" w:lineRule="auto"/>
        <w:ind w:firstLine="720"/>
        <w:jc w:val="both"/>
        <w:rPr>
          <w:rFonts w:ascii="Arial" w:hAnsi="Arial" w:cs="Arial"/>
        </w:rPr>
      </w:pPr>
      <w:r w:rsidRPr="000908B8">
        <w:rPr>
          <w:rFonts w:ascii="Arial" w:hAnsi="Arial" w:cs="Arial"/>
        </w:rPr>
        <w:t xml:space="preserve">RQ3: How does deposit affect the liquidity in both conventional and Islamic banks in Malaysia? (Islam, M., &amp; Chowdhury, H. A., 2007). </w:t>
      </w:r>
    </w:p>
    <w:p w14:paraId="3F26BE54" w14:textId="451AFD6B" w:rsidR="00780042" w:rsidRPr="00F01D1F" w:rsidRDefault="00780042" w:rsidP="00F01D1F">
      <w:pPr>
        <w:pStyle w:val="Heading2"/>
        <w:numPr>
          <w:ilvl w:val="1"/>
          <w:numId w:val="7"/>
        </w:numPr>
        <w:spacing w:before="0" w:after="480"/>
        <w:ind w:left="714" w:hanging="357"/>
        <w:rPr>
          <w:rFonts w:ascii="Arial" w:hAnsi="Arial" w:cs="Arial"/>
          <w:b/>
          <w:sz w:val="24"/>
          <w:szCs w:val="24"/>
        </w:rPr>
      </w:pPr>
      <w:r w:rsidRPr="00F01D1F">
        <w:rPr>
          <w:rFonts w:ascii="Arial" w:hAnsi="Arial" w:cs="Arial"/>
          <w:b/>
          <w:sz w:val="24"/>
          <w:szCs w:val="24"/>
        </w:rPr>
        <w:t xml:space="preserve">  </w:t>
      </w:r>
      <w:bookmarkStart w:id="22" w:name="_Toc23329234"/>
      <w:bookmarkStart w:id="23" w:name="_Toc23723804"/>
      <w:bookmarkStart w:id="24" w:name="_Toc27578585"/>
      <w:r w:rsidRPr="00F01D1F">
        <w:rPr>
          <w:rFonts w:ascii="Arial" w:hAnsi="Arial" w:cs="Arial"/>
          <w:b/>
          <w:sz w:val="24"/>
          <w:szCs w:val="24"/>
        </w:rPr>
        <w:t>Significance of the Study</w:t>
      </w:r>
      <w:bookmarkEnd w:id="22"/>
      <w:bookmarkEnd w:id="23"/>
      <w:bookmarkEnd w:id="24"/>
    </w:p>
    <w:p w14:paraId="4C60651F" w14:textId="77777777" w:rsidR="00780042" w:rsidRPr="000F0FDA" w:rsidRDefault="00780042" w:rsidP="00780042">
      <w:pPr>
        <w:pStyle w:val="Heading3"/>
        <w:numPr>
          <w:ilvl w:val="2"/>
          <w:numId w:val="7"/>
        </w:numPr>
        <w:spacing w:afterLines="200" w:after="480"/>
        <w:jc w:val="both"/>
        <w:rPr>
          <w:rFonts w:ascii="Arial" w:hAnsi="Arial" w:cs="Arial"/>
          <w:b/>
          <w:bCs/>
        </w:rPr>
      </w:pPr>
      <w:bookmarkStart w:id="25" w:name="_Toc23329235"/>
      <w:bookmarkStart w:id="26" w:name="_Toc23723805"/>
      <w:bookmarkStart w:id="27" w:name="_Toc27578586"/>
      <w:r w:rsidRPr="000F0FDA">
        <w:rPr>
          <w:rFonts w:ascii="Arial" w:hAnsi="Arial" w:cs="Arial"/>
          <w:b/>
          <w:bCs/>
        </w:rPr>
        <w:t xml:space="preserve">Significance to Researchers and </w:t>
      </w:r>
      <w:bookmarkEnd w:id="25"/>
      <w:r w:rsidRPr="000F0FDA">
        <w:rPr>
          <w:rFonts w:ascii="Arial" w:hAnsi="Arial" w:cs="Arial"/>
          <w:b/>
          <w:bCs/>
        </w:rPr>
        <w:t>Academicians</w:t>
      </w:r>
      <w:bookmarkEnd w:id="26"/>
      <w:bookmarkEnd w:id="27"/>
    </w:p>
    <w:p w14:paraId="2914307A" w14:textId="65BB1F30" w:rsidR="00780042" w:rsidRDefault="00CD4323" w:rsidP="00780042">
      <w:pPr>
        <w:spacing w:afterLines="200" w:after="480" w:line="360" w:lineRule="auto"/>
        <w:jc w:val="both"/>
        <w:rPr>
          <w:rFonts w:ascii="Arial" w:hAnsi="Arial" w:cs="Arial"/>
        </w:rPr>
      </w:pPr>
      <w:r>
        <w:rPr>
          <w:rFonts w:ascii="Arial" w:hAnsi="Arial" w:cs="Arial"/>
        </w:rPr>
        <w:t xml:space="preserve">          </w:t>
      </w:r>
      <w:r w:rsidRPr="001E6E50">
        <w:rPr>
          <w:rFonts w:ascii="Arial" w:hAnsi="Arial" w:cs="Arial"/>
        </w:rPr>
        <w:t>Throughout the research, the readers able to identify the difference in risk management between conventional and Islamic banking in Malaysia. For academia, this research will act as academic references to the students, lecturers, and other researchers. This is due to it is considered a brand-new topic that has not conducted in Malaysia by other researchers.</w:t>
      </w:r>
    </w:p>
    <w:p w14:paraId="06948679" w14:textId="77777777" w:rsidR="00780042" w:rsidRPr="008E1D95" w:rsidRDefault="00780042" w:rsidP="00780042">
      <w:pPr>
        <w:pStyle w:val="Heading3"/>
        <w:numPr>
          <w:ilvl w:val="2"/>
          <w:numId w:val="7"/>
        </w:numPr>
        <w:spacing w:afterLines="200" w:after="480"/>
        <w:jc w:val="both"/>
        <w:rPr>
          <w:rFonts w:ascii="Arial" w:hAnsi="Arial" w:cs="Arial"/>
          <w:b/>
          <w:bCs/>
        </w:rPr>
      </w:pPr>
      <w:bookmarkStart w:id="28" w:name="_Toc23329236"/>
      <w:bookmarkStart w:id="29" w:name="_Toc23723806"/>
      <w:bookmarkStart w:id="30" w:name="_Toc27578587"/>
      <w:r w:rsidRPr="008E1D95">
        <w:rPr>
          <w:rFonts w:ascii="Arial" w:hAnsi="Arial" w:cs="Arial"/>
          <w:b/>
          <w:bCs/>
        </w:rPr>
        <w:t xml:space="preserve">Significance to </w:t>
      </w:r>
      <w:bookmarkEnd w:id="28"/>
      <w:r w:rsidRPr="008E1D95">
        <w:rPr>
          <w:rFonts w:ascii="Arial" w:hAnsi="Arial" w:cs="Arial"/>
          <w:b/>
          <w:bCs/>
        </w:rPr>
        <w:t>Businesses and Banks</w:t>
      </w:r>
      <w:bookmarkEnd w:id="29"/>
      <w:bookmarkEnd w:id="30"/>
    </w:p>
    <w:p w14:paraId="0AF794BF" w14:textId="11AA426A" w:rsidR="00780042" w:rsidRPr="00C92897" w:rsidRDefault="00CD4323" w:rsidP="00CD4323">
      <w:pPr>
        <w:spacing w:afterLines="200" w:after="480" w:line="360" w:lineRule="auto"/>
        <w:ind w:firstLine="720"/>
        <w:jc w:val="both"/>
        <w:rPr>
          <w:rFonts w:ascii="Arial" w:hAnsi="Arial" w:cs="Arial"/>
        </w:rPr>
      </w:pPr>
      <w:r w:rsidRPr="001E6E50">
        <w:rPr>
          <w:rFonts w:ascii="Arial" w:hAnsi="Arial" w:cs="Arial"/>
        </w:rPr>
        <w:t xml:space="preserve">This research is to compare the LRM between conventional and Islamic banking in Malaysia. Moreover, this study will adopt bank size, profitability, and deposits as a variable to identify how these three factors affect liquidity risk. It helps both banking industries have better understand LRM from the bank-specific </w:t>
      </w:r>
      <w:r w:rsidRPr="001E6E50">
        <w:rPr>
          <w:rFonts w:ascii="Arial" w:hAnsi="Arial" w:cs="Arial"/>
        </w:rPr>
        <w:lastRenderedPageBreak/>
        <w:t>aspect. It can improve the bank's performance of LRM in terms of its efficiency and effectiveness.</w:t>
      </w:r>
    </w:p>
    <w:p w14:paraId="57120D1F" w14:textId="77777777" w:rsidR="00780042" w:rsidRPr="008E1D95" w:rsidRDefault="00780042" w:rsidP="00780042">
      <w:pPr>
        <w:pStyle w:val="Heading3"/>
        <w:numPr>
          <w:ilvl w:val="2"/>
          <w:numId w:val="7"/>
        </w:numPr>
        <w:spacing w:afterLines="200" w:after="480"/>
        <w:jc w:val="both"/>
        <w:rPr>
          <w:rFonts w:ascii="Arial" w:hAnsi="Arial" w:cs="Arial"/>
          <w:b/>
          <w:bCs/>
        </w:rPr>
      </w:pPr>
      <w:bookmarkStart w:id="31" w:name="_Toc23329237"/>
      <w:bookmarkStart w:id="32" w:name="_Toc23723807"/>
      <w:bookmarkStart w:id="33" w:name="_Toc27578588"/>
      <w:r w:rsidRPr="008E1D95">
        <w:rPr>
          <w:rFonts w:ascii="Arial" w:hAnsi="Arial" w:cs="Arial"/>
          <w:b/>
          <w:bCs/>
        </w:rPr>
        <w:t>Significance to Government</w:t>
      </w:r>
      <w:bookmarkEnd w:id="31"/>
      <w:bookmarkEnd w:id="32"/>
      <w:bookmarkEnd w:id="33"/>
    </w:p>
    <w:p w14:paraId="6A8E3EC4" w14:textId="1D1B7D3A" w:rsidR="00780042" w:rsidRDefault="00CD4323" w:rsidP="000F0FDA">
      <w:pPr>
        <w:spacing w:afterLines="200" w:after="480" w:line="360" w:lineRule="auto"/>
        <w:ind w:firstLine="714"/>
        <w:jc w:val="both"/>
        <w:rPr>
          <w:rFonts w:ascii="Arial" w:hAnsi="Arial" w:cs="Arial"/>
        </w:rPr>
      </w:pPr>
      <w:r w:rsidRPr="001E6E50">
        <w:rPr>
          <w:rFonts w:ascii="Arial" w:hAnsi="Arial" w:cs="Arial"/>
        </w:rPr>
        <w:t>This research would be attentive to the government, this research will give the regulators insights to encourage the players in banking industries to pay attention to liquidity risk management. However, this would benefits the Malaysia government as the banking industry is a very important player in support the country's economic development.</w:t>
      </w:r>
    </w:p>
    <w:p w14:paraId="6E0AE39B" w14:textId="7529CE51" w:rsidR="00780042" w:rsidRPr="00A538F0" w:rsidRDefault="00780042" w:rsidP="00780042">
      <w:pPr>
        <w:pStyle w:val="Heading2"/>
        <w:numPr>
          <w:ilvl w:val="1"/>
          <w:numId w:val="7"/>
        </w:numPr>
        <w:spacing w:after="480" w:line="259" w:lineRule="auto"/>
        <w:ind w:left="714" w:hanging="357"/>
        <w:rPr>
          <w:rFonts w:ascii="Arial" w:hAnsi="Arial" w:cs="Arial"/>
          <w:b/>
          <w:sz w:val="24"/>
        </w:rPr>
      </w:pPr>
      <w:r>
        <w:rPr>
          <w:rFonts w:ascii="Arial" w:hAnsi="Arial" w:cs="Arial"/>
          <w:b/>
          <w:sz w:val="24"/>
        </w:rPr>
        <w:t xml:space="preserve"> </w:t>
      </w:r>
      <w:bookmarkStart w:id="34" w:name="_Toc27578589"/>
      <w:r w:rsidR="00CD4323" w:rsidRPr="00CD4323">
        <w:rPr>
          <w:rFonts w:ascii="Arial" w:hAnsi="Arial" w:cs="Arial"/>
          <w:b/>
          <w:sz w:val="24"/>
        </w:rPr>
        <w:t>Scope of the Study</w:t>
      </w:r>
      <w:bookmarkEnd w:id="34"/>
    </w:p>
    <w:p w14:paraId="4FE02221" w14:textId="0908B03C" w:rsidR="00CD4323" w:rsidRPr="00463A93" w:rsidRDefault="000F0FDA" w:rsidP="00CD4323">
      <w:pPr>
        <w:spacing w:after="480" w:line="360" w:lineRule="auto"/>
        <w:ind w:firstLine="714"/>
        <w:jc w:val="both"/>
        <w:rPr>
          <w:rFonts w:ascii="Arial" w:hAnsi="Arial" w:cs="Arial"/>
        </w:rPr>
      </w:pPr>
      <w:r w:rsidRPr="000F0FDA">
        <w:t xml:space="preserve"> </w:t>
      </w:r>
      <w:r w:rsidRPr="000F0FDA">
        <w:rPr>
          <w:rFonts w:ascii="Arial" w:hAnsi="Arial" w:cs="Arial"/>
        </w:rPr>
        <w:t>This research aims to conventional and Islamic banking continued its activities in Malaysia, what are the bank-specific factors that affect liquidity risk management between conventional and Islamic banks.  The quantitative research will be adapted by applying the secondary data of the Malaysia banking industry's annual report for the period 2014 to 2018 to conduct this research. All the annual reports collected from Bursa Malaysia and companies' websites. There is a total of 30 analysis banks have been collected to conduct this study which includes 15 conventional banks and 15 Islamic banks. Moreover, the researcher calculated and analysed the data through Microsoft Excel and IBM SPSS software.</w:t>
      </w:r>
    </w:p>
    <w:p w14:paraId="2B388743" w14:textId="34AA9109" w:rsidR="003276FC" w:rsidRPr="003276FC" w:rsidRDefault="003276FC" w:rsidP="003276FC">
      <w:pPr>
        <w:pStyle w:val="Heading2"/>
        <w:numPr>
          <w:ilvl w:val="1"/>
          <w:numId w:val="7"/>
        </w:numPr>
        <w:spacing w:after="480" w:line="259" w:lineRule="auto"/>
        <w:ind w:left="714" w:hanging="357"/>
        <w:rPr>
          <w:rFonts w:ascii="Arial" w:hAnsi="Arial" w:cs="Arial"/>
          <w:b/>
          <w:sz w:val="24"/>
        </w:rPr>
      </w:pPr>
      <w:bookmarkStart w:id="35" w:name="_Toc27578590"/>
      <w:r w:rsidRPr="003276FC">
        <w:rPr>
          <w:rFonts w:ascii="Arial" w:hAnsi="Arial" w:cs="Arial"/>
          <w:b/>
          <w:sz w:val="24"/>
        </w:rPr>
        <w:t>Ethical Consideration</w:t>
      </w:r>
      <w:bookmarkEnd w:id="35"/>
    </w:p>
    <w:p w14:paraId="6409CD36" w14:textId="36926931" w:rsidR="003276FC" w:rsidRDefault="0099218B" w:rsidP="003276FC">
      <w:pPr>
        <w:spacing w:after="480" w:line="360" w:lineRule="auto"/>
        <w:ind w:firstLine="720"/>
        <w:jc w:val="both"/>
        <w:rPr>
          <w:rFonts w:ascii="Arial" w:hAnsi="Arial" w:cs="Arial"/>
        </w:rPr>
      </w:pPr>
      <w:r w:rsidRPr="0099218B">
        <w:rPr>
          <w:rFonts w:ascii="Arial" w:hAnsi="Arial" w:cs="Arial"/>
        </w:rPr>
        <w:t xml:space="preserve">In fact, ethical consideration is essential during conduct this research since the violation will affect this study's dishonesty and poor image towards the researcher herself and the awarding university. Thus,  any type of communication in this study must be done with transparency and honesty. As a researcher who needs to value on the plagiarism issue to the highest extent and produce works originally. In the end, this study must ensure Social Responsibility which is </w:t>
      </w:r>
      <w:r w:rsidRPr="0099218B">
        <w:rPr>
          <w:rFonts w:ascii="Arial" w:hAnsi="Arial" w:cs="Arial"/>
        </w:rPr>
        <w:lastRenderedPageBreak/>
        <w:t>respect for Intellectual Property, Non-discrimination, Confidentiality, avoid misleading information, and maintain the highest level of objectivity in analyses and discussions.</w:t>
      </w:r>
    </w:p>
    <w:p w14:paraId="3852D709" w14:textId="77777777" w:rsidR="003276FC" w:rsidRDefault="003276FC" w:rsidP="003276FC">
      <w:pPr>
        <w:rPr>
          <w:rFonts w:ascii="Arial" w:hAnsi="Arial" w:cs="Arial"/>
        </w:rPr>
      </w:pPr>
    </w:p>
    <w:p w14:paraId="550A3FEC" w14:textId="77777777" w:rsidR="003276FC" w:rsidRDefault="003276FC" w:rsidP="003276FC">
      <w:pPr>
        <w:rPr>
          <w:rFonts w:ascii="Arial" w:hAnsi="Arial" w:cs="Arial"/>
        </w:rPr>
      </w:pPr>
    </w:p>
    <w:p w14:paraId="41D9B825" w14:textId="77777777" w:rsidR="003276FC" w:rsidRPr="00780042" w:rsidRDefault="003276FC" w:rsidP="00780042">
      <w:pPr>
        <w:spacing w:after="480" w:line="360" w:lineRule="auto"/>
        <w:ind w:firstLine="720"/>
        <w:jc w:val="both"/>
        <w:rPr>
          <w:rFonts w:ascii="Arial" w:hAnsi="Arial" w:cs="Arial"/>
        </w:rPr>
      </w:pPr>
    </w:p>
    <w:p w14:paraId="3CB3CD37" w14:textId="5FDD0278" w:rsidR="008C00D5" w:rsidRDefault="008C00D5" w:rsidP="00140F7F">
      <w:pPr>
        <w:spacing w:line="480" w:lineRule="auto"/>
        <w:jc w:val="both"/>
        <w:rPr>
          <w:bCs/>
        </w:rPr>
      </w:pPr>
    </w:p>
    <w:p w14:paraId="3CB497FA" w14:textId="77371840" w:rsidR="00CD4323" w:rsidRDefault="00CD4323" w:rsidP="00140F7F">
      <w:pPr>
        <w:spacing w:line="480" w:lineRule="auto"/>
        <w:jc w:val="both"/>
        <w:rPr>
          <w:bCs/>
        </w:rPr>
      </w:pPr>
    </w:p>
    <w:p w14:paraId="17AA4591" w14:textId="77777777" w:rsidR="00CD4323" w:rsidRDefault="00CD4323" w:rsidP="00140F7F">
      <w:pPr>
        <w:spacing w:line="480" w:lineRule="auto"/>
        <w:jc w:val="both"/>
        <w:rPr>
          <w:bCs/>
        </w:rPr>
      </w:pPr>
    </w:p>
    <w:p w14:paraId="21FBE97B" w14:textId="7612307C" w:rsidR="008C00D5" w:rsidRDefault="008C00D5" w:rsidP="00140F7F">
      <w:pPr>
        <w:spacing w:line="480" w:lineRule="auto"/>
        <w:jc w:val="both"/>
        <w:rPr>
          <w:bCs/>
        </w:rPr>
      </w:pPr>
    </w:p>
    <w:p w14:paraId="32DAFECE" w14:textId="166E051F" w:rsidR="00E36F1A" w:rsidRDefault="00E36F1A" w:rsidP="00140F7F">
      <w:pPr>
        <w:spacing w:line="480" w:lineRule="auto"/>
        <w:jc w:val="both"/>
        <w:rPr>
          <w:bCs/>
        </w:rPr>
      </w:pPr>
    </w:p>
    <w:p w14:paraId="15C73966" w14:textId="45887634" w:rsidR="00E36F1A" w:rsidRDefault="00E36F1A" w:rsidP="00140F7F">
      <w:pPr>
        <w:spacing w:line="480" w:lineRule="auto"/>
        <w:jc w:val="both"/>
        <w:rPr>
          <w:bCs/>
        </w:rPr>
      </w:pPr>
    </w:p>
    <w:p w14:paraId="1F2B801C" w14:textId="62DE7621" w:rsidR="008D79A2" w:rsidRDefault="008D79A2" w:rsidP="00140F7F">
      <w:pPr>
        <w:spacing w:line="480" w:lineRule="auto"/>
        <w:jc w:val="both"/>
        <w:rPr>
          <w:bCs/>
        </w:rPr>
      </w:pPr>
    </w:p>
    <w:p w14:paraId="0B66C687" w14:textId="00DAEA29" w:rsidR="008D79A2" w:rsidRDefault="008D79A2" w:rsidP="00140F7F">
      <w:pPr>
        <w:spacing w:line="480" w:lineRule="auto"/>
        <w:jc w:val="both"/>
        <w:rPr>
          <w:bCs/>
        </w:rPr>
      </w:pPr>
    </w:p>
    <w:p w14:paraId="6955D473" w14:textId="1CC42A67" w:rsidR="008D79A2" w:rsidRDefault="008D79A2" w:rsidP="00140F7F">
      <w:pPr>
        <w:spacing w:line="480" w:lineRule="auto"/>
        <w:jc w:val="both"/>
        <w:rPr>
          <w:bCs/>
        </w:rPr>
      </w:pPr>
    </w:p>
    <w:p w14:paraId="2C9B8291" w14:textId="64ECC3A6" w:rsidR="008D79A2" w:rsidRDefault="008D79A2" w:rsidP="00140F7F">
      <w:pPr>
        <w:spacing w:line="480" w:lineRule="auto"/>
        <w:jc w:val="both"/>
        <w:rPr>
          <w:bCs/>
        </w:rPr>
      </w:pPr>
    </w:p>
    <w:p w14:paraId="6A1AA260" w14:textId="1AD42C5F" w:rsidR="008D79A2" w:rsidRDefault="008D79A2" w:rsidP="00140F7F">
      <w:pPr>
        <w:spacing w:line="480" w:lineRule="auto"/>
        <w:jc w:val="both"/>
        <w:rPr>
          <w:bCs/>
        </w:rPr>
      </w:pPr>
    </w:p>
    <w:p w14:paraId="58B6F6C7" w14:textId="77777777" w:rsidR="008D79A2" w:rsidRDefault="008D79A2" w:rsidP="00140F7F">
      <w:pPr>
        <w:spacing w:line="480" w:lineRule="auto"/>
        <w:jc w:val="both"/>
        <w:rPr>
          <w:bCs/>
        </w:rPr>
      </w:pPr>
    </w:p>
    <w:p w14:paraId="00AE77BC" w14:textId="22C28A26" w:rsidR="00E36F1A" w:rsidRDefault="00E36F1A" w:rsidP="00140F7F">
      <w:pPr>
        <w:spacing w:line="480" w:lineRule="auto"/>
        <w:jc w:val="both"/>
        <w:rPr>
          <w:bCs/>
        </w:rPr>
      </w:pPr>
    </w:p>
    <w:p w14:paraId="6FEDBEE8" w14:textId="77777777" w:rsidR="008D0B71" w:rsidRPr="000B4800" w:rsidRDefault="008D0B71" w:rsidP="00140F7F">
      <w:pPr>
        <w:spacing w:line="480" w:lineRule="auto"/>
        <w:jc w:val="both"/>
        <w:rPr>
          <w:bCs/>
        </w:rPr>
      </w:pPr>
    </w:p>
    <w:p w14:paraId="5969B689" w14:textId="1D936D81" w:rsidR="00135DA7" w:rsidRPr="00D82CE1" w:rsidRDefault="00135DA7" w:rsidP="00135DA7">
      <w:pPr>
        <w:pStyle w:val="Heading1"/>
        <w:spacing w:after="480" w:line="259" w:lineRule="auto"/>
        <w:ind w:left="142"/>
        <w:jc w:val="center"/>
        <w:rPr>
          <w:rFonts w:ascii="Arial" w:hAnsi="Arial" w:cs="Arial"/>
          <w:b/>
          <w:sz w:val="24"/>
        </w:rPr>
      </w:pPr>
      <w:bookmarkStart w:id="36" w:name="_Toc23329241"/>
      <w:bookmarkStart w:id="37" w:name="_Toc23723810"/>
      <w:bookmarkStart w:id="38" w:name="_Toc27578591"/>
      <w:r>
        <w:rPr>
          <w:rFonts w:ascii="Arial" w:hAnsi="Arial" w:cs="Arial"/>
          <w:b/>
          <w:sz w:val="24"/>
        </w:rPr>
        <w:lastRenderedPageBreak/>
        <w:t xml:space="preserve">Chapter 2 </w:t>
      </w:r>
      <w:r w:rsidRPr="00D82CE1">
        <w:rPr>
          <w:rFonts w:ascii="Arial" w:hAnsi="Arial" w:cs="Arial"/>
          <w:b/>
          <w:sz w:val="24"/>
        </w:rPr>
        <w:t>Literature Reviews</w:t>
      </w:r>
      <w:bookmarkEnd w:id="36"/>
      <w:bookmarkEnd w:id="37"/>
      <w:bookmarkEnd w:id="38"/>
    </w:p>
    <w:p w14:paraId="478C9A6F" w14:textId="77777777" w:rsidR="00135DA7" w:rsidRDefault="00135DA7" w:rsidP="00135DA7">
      <w:pPr>
        <w:pStyle w:val="Heading2"/>
        <w:numPr>
          <w:ilvl w:val="1"/>
          <w:numId w:val="8"/>
        </w:numPr>
        <w:spacing w:after="480"/>
        <w:rPr>
          <w:rFonts w:ascii="Arial" w:hAnsi="Arial" w:cs="Arial"/>
          <w:b/>
          <w:sz w:val="24"/>
          <w:szCs w:val="24"/>
        </w:rPr>
      </w:pPr>
      <w:bookmarkStart w:id="39" w:name="_Toc23723811"/>
      <w:bookmarkStart w:id="40" w:name="_Toc27578592"/>
      <w:r>
        <w:rPr>
          <w:rFonts w:ascii="Arial" w:hAnsi="Arial" w:cs="Arial"/>
          <w:b/>
          <w:sz w:val="24"/>
          <w:szCs w:val="24"/>
        </w:rPr>
        <w:t>Introduction</w:t>
      </w:r>
      <w:bookmarkEnd w:id="39"/>
      <w:bookmarkEnd w:id="40"/>
      <w:r>
        <w:rPr>
          <w:rFonts w:ascii="Arial" w:hAnsi="Arial" w:cs="Arial"/>
          <w:b/>
          <w:sz w:val="24"/>
          <w:szCs w:val="24"/>
        </w:rPr>
        <w:t xml:space="preserve"> </w:t>
      </w:r>
    </w:p>
    <w:p w14:paraId="3536FF37" w14:textId="0E952121" w:rsidR="00135DA7" w:rsidRPr="00D82CE1" w:rsidRDefault="004D014A" w:rsidP="00300636">
      <w:pPr>
        <w:spacing w:after="480" w:line="360" w:lineRule="auto"/>
        <w:jc w:val="both"/>
        <w:rPr>
          <w:rFonts w:ascii="Arial" w:hAnsi="Arial" w:cs="Arial"/>
        </w:rPr>
      </w:pPr>
      <w:r>
        <w:rPr>
          <w:rFonts w:ascii="Arial" w:hAnsi="Arial" w:cs="Arial"/>
        </w:rPr>
        <w:t xml:space="preserve">      </w:t>
      </w:r>
      <w:r w:rsidR="00723A48" w:rsidRPr="00723A48">
        <w:rPr>
          <w:rFonts w:ascii="Arial" w:hAnsi="Arial" w:cs="Arial"/>
        </w:rPr>
        <w:t>This study focused on the comparison between conventional and Islamic banking's LRM in Malaysia. In this research which shows what are the bank-specific factors that affect LRM between conventional and Islamic banks.  These bank-specific factors include bank sizes, profitability, and deposits. The relationship between those mentioned variables and the LRM between conventional and Islamic banking. Chapter 2 serves as a review of key literature on a chronological order with literature from recent years. The rest of the paper is organized as follows: Section 2.2 is the overviews of conventional and Islamic banking in Malaysia. Section 2.3 is a theoretical review which helped researcher establish what theories already exist, the relationships between them. However, there three theories identified in this research which are Loanable Funds Theory, Shift-ability Theory, and Liquidity Risk Theory. Section 2.4 of the financial performance measurements of LRM has been conducted. Section 2.5 is the framework of this research.</w:t>
      </w:r>
    </w:p>
    <w:p w14:paraId="19E9C251" w14:textId="07300D16" w:rsidR="00135DA7" w:rsidRDefault="00135DA7" w:rsidP="00135DA7">
      <w:pPr>
        <w:pStyle w:val="Heading2"/>
        <w:numPr>
          <w:ilvl w:val="1"/>
          <w:numId w:val="8"/>
        </w:numPr>
        <w:spacing w:after="480"/>
        <w:rPr>
          <w:rFonts w:ascii="Arial" w:hAnsi="Arial" w:cs="Arial"/>
          <w:b/>
          <w:sz w:val="24"/>
          <w:szCs w:val="24"/>
        </w:rPr>
      </w:pPr>
      <w:r>
        <w:rPr>
          <w:rFonts w:ascii="Arial" w:hAnsi="Arial" w:cs="Arial"/>
          <w:b/>
          <w:sz w:val="24"/>
          <w:szCs w:val="24"/>
        </w:rPr>
        <w:t xml:space="preserve"> </w:t>
      </w:r>
      <w:bookmarkStart w:id="41" w:name="_Toc23723812"/>
      <w:bookmarkStart w:id="42" w:name="_Toc27578593"/>
      <w:r>
        <w:rPr>
          <w:rFonts w:ascii="Arial" w:hAnsi="Arial" w:cs="Arial"/>
          <w:b/>
          <w:sz w:val="24"/>
          <w:szCs w:val="24"/>
        </w:rPr>
        <w:t xml:space="preserve">Overview of </w:t>
      </w:r>
      <w:bookmarkEnd w:id="41"/>
      <w:r w:rsidR="00300636">
        <w:rPr>
          <w:rFonts w:ascii="Arial" w:hAnsi="Arial" w:cs="Arial"/>
          <w:b/>
          <w:sz w:val="24"/>
          <w:szCs w:val="24"/>
        </w:rPr>
        <w:t xml:space="preserve">Conventional </w:t>
      </w:r>
      <w:r w:rsidR="004D6A5C">
        <w:rPr>
          <w:rFonts w:ascii="Arial" w:hAnsi="Arial" w:cs="Arial"/>
          <w:b/>
          <w:sz w:val="24"/>
          <w:szCs w:val="24"/>
          <w:lang w:val="en-US"/>
        </w:rPr>
        <w:t xml:space="preserve">and </w:t>
      </w:r>
      <w:r w:rsidR="004D6A5C">
        <w:rPr>
          <w:rFonts w:ascii="Arial" w:hAnsi="Arial" w:cs="Arial"/>
          <w:b/>
          <w:sz w:val="24"/>
          <w:szCs w:val="24"/>
        </w:rPr>
        <w:t xml:space="preserve">Islamic </w:t>
      </w:r>
      <w:r w:rsidR="00300636">
        <w:rPr>
          <w:rFonts w:ascii="Arial" w:hAnsi="Arial" w:cs="Arial" w:hint="eastAsia"/>
          <w:b/>
          <w:sz w:val="24"/>
          <w:szCs w:val="24"/>
        </w:rPr>
        <w:t>B</w:t>
      </w:r>
      <w:r w:rsidR="00300636">
        <w:rPr>
          <w:rFonts w:ascii="Arial" w:hAnsi="Arial" w:cs="Arial"/>
          <w:b/>
          <w:sz w:val="24"/>
          <w:szCs w:val="24"/>
        </w:rPr>
        <w:t>anking</w:t>
      </w:r>
      <w:r w:rsidR="00096974">
        <w:rPr>
          <w:rFonts w:ascii="Arial" w:hAnsi="Arial" w:cs="Arial"/>
          <w:b/>
          <w:sz w:val="24"/>
          <w:szCs w:val="24"/>
        </w:rPr>
        <w:t xml:space="preserve"> in Malaysia</w:t>
      </w:r>
      <w:bookmarkEnd w:id="42"/>
    </w:p>
    <w:p w14:paraId="3608FF28" w14:textId="00C050B7" w:rsidR="00012BC8" w:rsidRDefault="004D014A" w:rsidP="004D014A">
      <w:pPr>
        <w:spacing w:after="480" w:line="360" w:lineRule="auto"/>
        <w:jc w:val="both"/>
        <w:rPr>
          <w:rFonts w:ascii="Arial" w:hAnsi="Arial" w:cs="Arial"/>
        </w:rPr>
      </w:pPr>
      <w:r>
        <w:rPr>
          <w:rFonts w:ascii="Arial" w:hAnsi="Arial" w:cs="Arial"/>
        </w:rPr>
        <w:t xml:space="preserve">      </w:t>
      </w:r>
      <w:r w:rsidR="00012BC8" w:rsidRPr="00012BC8">
        <w:rPr>
          <w:rFonts w:ascii="Arial" w:hAnsi="Arial" w:cs="Arial"/>
        </w:rPr>
        <w:t>Malaysia is a country with a dual banking system. Commercial banks were initially supervised by the BNM in 1959. Before the establishment of BNM, commercial banks were only required to comply with the Companies Ordinance 1948</w:t>
      </w:r>
      <w:r w:rsidR="00012BC8">
        <w:rPr>
          <w:rFonts w:ascii="Arial" w:hAnsi="Arial" w:cs="Arial"/>
        </w:rPr>
        <w:t xml:space="preserve"> </w:t>
      </w:r>
      <w:r w:rsidR="00012BC8" w:rsidRPr="00012BC8">
        <w:rPr>
          <w:rFonts w:ascii="Arial" w:hAnsi="Arial" w:cs="Arial"/>
        </w:rPr>
        <w:t xml:space="preserve">(BNM, 1989). Conventional banks are the main players in the banking system and they are the largest and most important providers of funds in the banking system compared to Islamic banks. In fact, different from Islamic banks that one of the core businesses of conventional banks is to borrows money from consumers at lower interest and loan money to borrows with high-interest in order to make profits(Santos, 2000). Conventional banks collect deposits from depositors and investors and pay interest on some of them as a return on their investment returns. On the other hand, they lent the collected funds to borrowers </w:t>
      </w:r>
      <w:r w:rsidR="00012BC8" w:rsidRPr="00012BC8">
        <w:rPr>
          <w:rFonts w:ascii="Arial" w:hAnsi="Arial" w:cs="Arial"/>
        </w:rPr>
        <w:lastRenderedPageBreak/>
        <w:t xml:space="preserve">for interest(Fah and </w:t>
      </w:r>
      <w:proofErr w:type="spellStart"/>
      <w:r w:rsidR="00012BC8" w:rsidRPr="00012BC8">
        <w:rPr>
          <w:rFonts w:ascii="Arial" w:hAnsi="Arial" w:cs="Arial"/>
        </w:rPr>
        <w:t>Hassani</w:t>
      </w:r>
      <w:proofErr w:type="spellEnd"/>
      <w:r w:rsidR="00012BC8" w:rsidRPr="00012BC8">
        <w:rPr>
          <w:rFonts w:ascii="Arial" w:hAnsi="Arial" w:cs="Arial"/>
        </w:rPr>
        <w:t>, 2014).  As we can see that conventional banks can make profits from the difference between the interest rate paid to the depositor and the interest rate received from the borrower. In this process, conventional banks play as intermediaries between saver and borrower which create value for society. Actually,  based on conventional banks' business model which causes conventional banks may face many risks compare to Islamic banks. Conventional banks seldom make major mistakes, because the consequences of these mistakes will not be limited to the same bank, but will extend to the whole banking system. This leads to mistrust among many parties, which will increase the risk of trading money (</w:t>
      </w:r>
      <w:proofErr w:type="spellStart"/>
      <w:r w:rsidR="00012BC8" w:rsidRPr="00012BC8">
        <w:rPr>
          <w:rFonts w:ascii="Arial" w:hAnsi="Arial" w:cs="Arial"/>
        </w:rPr>
        <w:t>Idiab</w:t>
      </w:r>
      <w:proofErr w:type="spellEnd"/>
      <w:r w:rsidR="00012BC8" w:rsidRPr="00012BC8">
        <w:rPr>
          <w:rFonts w:ascii="Arial" w:hAnsi="Arial" w:cs="Arial"/>
        </w:rPr>
        <w:t xml:space="preserve">, </w:t>
      </w:r>
      <w:proofErr w:type="spellStart"/>
      <w:r w:rsidR="00012BC8" w:rsidRPr="00012BC8">
        <w:rPr>
          <w:rFonts w:ascii="Arial" w:hAnsi="Arial" w:cs="Arial"/>
        </w:rPr>
        <w:t>Haron</w:t>
      </w:r>
      <w:proofErr w:type="spellEnd"/>
      <w:r w:rsidR="00012BC8" w:rsidRPr="00012BC8">
        <w:rPr>
          <w:rFonts w:ascii="Arial" w:hAnsi="Arial" w:cs="Arial"/>
        </w:rPr>
        <w:t>, Ahmad, 2011).</w:t>
      </w:r>
    </w:p>
    <w:p w14:paraId="064C186D" w14:textId="3051B649" w:rsidR="003F0E4E" w:rsidRDefault="00581FF4" w:rsidP="003F0E4E">
      <w:pPr>
        <w:spacing w:after="480" w:line="360" w:lineRule="auto"/>
        <w:ind w:firstLine="708"/>
        <w:jc w:val="both"/>
        <w:rPr>
          <w:rFonts w:ascii="Arial" w:hAnsi="Arial" w:cs="Arial"/>
        </w:rPr>
      </w:pPr>
      <w:r w:rsidRPr="00581FF4">
        <w:rPr>
          <w:rFonts w:ascii="Arial" w:hAnsi="Arial" w:cs="Arial"/>
        </w:rPr>
        <w:t>According to the Malaysian Islamic Banking Act 1983, the Islamic Bank is a value-based system, comprehensive, designed to respect and enhance the moral and material well-being of individuals and society as a whole(Yahya et al., 2012). Compare to conventional banking that  Islamic banking can provide a higher standard for investments and with better accountability and lower risk. In fact, Islamic banking's size and business not near the equivalent compare to conventional banking, The most different requirement compared to conventional banking is Islamic banking strictly prohibited interest (</w:t>
      </w:r>
      <w:proofErr w:type="spellStart"/>
      <w:r w:rsidRPr="00581FF4">
        <w:rPr>
          <w:rFonts w:ascii="Arial" w:hAnsi="Arial" w:cs="Arial"/>
        </w:rPr>
        <w:t>riba</w:t>
      </w:r>
      <w:proofErr w:type="spellEnd"/>
      <w:r w:rsidRPr="00581FF4">
        <w:rPr>
          <w:rFonts w:ascii="Arial" w:hAnsi="Arial" w:cs="Arial"/>
        </w:rPr>
        <w:t>) paid to depositors and interest charged from fund users(SHERIN, 2012). In Shariah, the strictly prohibited interest (</w:t>
      </w:r>
      <w:proofErr w:type="spellStart"/>
      <w:r w:rsidRPr="00581FF4">
        <w:rPr>
          <w:rFonts w:ascii="Arial" w:hAnsi="Arial" w:cs="Arial"/>
        </w:rPr>
        <w:t>riba</w:t>
      </w:r>
      <w:proofErr w:type="spellEnd"/>
      <w:r w:rsidRPr="00581FF4">
        <w:rPr>
          <w:rFonts w:ascii="Arial" w:hAnsi="Arial" w:cs="Arial"/>
        </w:rPr>
        <w:t>) is prevention the prevent the accumulation of wealth in a few hands.</w:t>
      </w:r>
      <w:r>
        <w:rPr>
          <w:rFonts w:ascii="Arial" w:hAnsi="Arial" w:cs="Arial"/>
        </w:rPr>
        <w:t xml:space="preserve"> </w:t>
      </w:r>
      <w:r w:rsidRPr="00581FF4">
        <w:rPr>
          <w:rFonts w:ascii="Arial" w:hAnsi="Arial" w:cs="Arial"/>
        </w:rPr>
        <w:t xml:space="preserve">As the global Islamic banking industry has grown very rapidly about 18 to 20 percent annually. From the early 1980s, Malaysia's Islamic banking industry development has been at the forefront in the world (Lo and </w:t>
      </w:r>
      <w:proofErr w:type="spellStart"/>
      <w:r w:rsidRPr="00581FF4">
        <w:rPr>
          <w:rFonts w:ascii="Arial" w:hAnsi="Arial" w:cs="Arial"/>
        </w:rPr>
        <w:t>Leow</w:t>
      </w:r>
      <w:proofErr w:type="spellEnd"/>
      <w:r w:rsidRPr="00581FF4">
        <w:rPr>
          <w:rFonts w:ascii="Arial" w:hAnsi="Arial" w:cs="Arial"/>
        </w:rPr>
        <w:t>, 2014). According to Bank  Negara  Malaysia(2017) that the country's current share of Islamic banking assets is at a significant level of  28% in 2016 and the Islamic banking industry total assets about RM747.98 billion.</w:t>
      </w:r>
      <w:r w:rsidR="00FC5D66">
        <w:rPr>
          <w:rFonts w:ascii="Arial" w:hAnsi="Arial" w:cs="Arial"/>
        </w:rPr>
        <w:t xml:space="preserve"> </w:t>
      </w:r>
      <w:r w:rsidR="00FC5D66" w:rsidRPr="00FC5D66">
        <w:rPr>
          <w:rFonts w:ascii="Arial" w:hAnsi="Arial" w:cs="Arial"/>
        </w:rPr>
        <w:t>Bank Negara Malaysia(BNM) introduced value-based intermediation in 2017 which confident the BNM's target for the local Islamic banking industry's market share increased to 40 percent in total banking assets by 2020 is achievable (Emir, 2018).</w:t>
      </w:r>
      <w:r w:rsidRPr="00581FF4">
        <w:rPr>
          <w:rFonts w:ascii="Arial" w:hAnsi="Arial" w:cs="Arial"/>
        </w:rPr>
        <w:t xml:space="preserve"> </w:t>
      </w:r>
      <w:proofErr w:type="spellStart"/>
      <w:r w:rsidRPr="00581FF4">
        <w:rPr>
          <w:rFonts w:ascii="Arial" w:hAnsi="Arial" w:cs="Arial"/>
        </w:rPr>
        <w:t>Musaeva</w:t>
      </w:r>
      <w:proofErr w:type="spellEnd"/>
      <w:r w:rsidRPr="00581FF4">
        <w:rPr>
          <w:rFonts w:ascii="Arial" w:hAnsi="Arial" w:cs="Arial"/>
        </w:rPr>
        <w:t xml:space="preserve"> et al. (2015) stated that the Malaysian Islamic banking industry will become the leader of world Islamic banking in the near future.</w:t>
      </w:r>
    </w:p>
    <w:p w14:paraId="5C64730B" w14:textId="7AB118D9" w:rsidR="00135DA7" w:rsidRDefault="00E65559" w:rsidP="00135DA7">
      <w:pPr>
        <w:spacing w:after="480" w:line="360" w:lineRule="auto"/>
        <w:ind w:firstLine="708"/>
        <w:jc w:val="both"/>
        <w:rPr>
          <w:rFonts w:ascii="Arial" w:hAnsi="Arial" w:cs="Arial"/>
        </w:rPr>
      </w:pPr>
      <w:r w:rsidRPr="00E65559">
        <w:rPr>
          <w:rFonts w:ascii="Arial" w:hAnsi="Arial" w:cs="Arial"/>
        </w:rPr>
        <w:lastRenderedPageBreak/>
        <w:t>Based on previous researches that there are many kinds of research of  LRM on a comparative analysis between Islamic and conventional banking that have been conducted in other countries such as Turkey, Indian, Bangladesh, and so on. However, the research on LRM on a comparative analysis between Islamic and conventional banking in Malaysia is limited.  Thus, the researcher focusses on this thesis based on its establishment in order to fill the research gap.</w:t>
      </w:r>
      <w:r w:rsidR="003F0E4E">
        <w:rPr>
          <w:rFonts w:ascii="Arial" w:hAnsi="Arial" w:cs="Arial"/>
        </w:rPr>
        <w:t xml:space="preserve"> </w:t>
      </w:r>
    </w:p>
    <w:p w14:paraId="024070F0" w14:textId="51B7452B" w:rsidR="008F0EC8" w:rsidRDefault="008F0EC8" w:rsidP="00723A48">
      <w:pPr>
        <w:pStyle w:val="Heading2"/>
        <w:numPr>
          <w:ilvl w:val="1"/>
          <w:numId w:val="8"/>
        </w:numPr>
        <w:spacing w:after="480" w:line="360" w:lineRule="auto"/>
        <w:rPr>
          <w:rFonts w:ascii="Arial" w:hAnsi="Arial" w:cs="Arial"/>
          <w:b/>
          <w:sz w:val="24"/>
          <w:szCs w:val="24"/>
        </w:rPr>
      </w:pPr>
      <w:bookmarkStart w:id="43" w:name="_Toc27578594"/>
      <w:r>
        <w:rPr>
          <w:rFonts w:ascii="Arial" w:hAnsi="Arial" w:cs="Arial"/>
          <w:b/>
          <w:sz w:val="24"/>
          <w:szCs w:val="24"/>
        </w:rPr>
        <w:t>Theoretical Review</w:t>
      </w:r>
      <w:bookmarkEnd w:id="43"/>
    </w:p>
    <w:p w14:paraId="7D396693" w14:textId="65CC509D" w:rsidR="008F0EC8" w:rsidRDefault="000E3160" w:rsidP="008F0EC8">
      <w:pPr>
        <w:spacing w:after="480" w:line="360" w:lineRule="auto"/>
        <w:jc w:val="both"/>
        <w:rPr>
          <w:rFonts w:ascii="Arial" w:hAnsi="Arial" w:cs="Arial"/>
        </w:rPr>
      </w:pPr>
      <w:r>
        <w:rPr>
          <w:rFonts w:ascii="Arial" w:hAnsi="Arial" w:cs="Arial"/>
        </w:rPr>
        <w:t xml:space="preserve">      </w:t>
      </w:r>
      <w:r w:rsidR="008F0EC8" w:rsidRPr="008F0EC8">
        <w:rPr>
          <w:rFonts w:ascii="Arial" w:hAnsi="Arial" w:cs="Arial"/>
        </w:rPr>
        <w:t>In this section, there are three theories identified for this study which are namely Loanable Funds Theory, Shiftability Theory, and Liquidity Risk Theory.</w:t>
      </w:r>
    </w:p>
    <w:p w14:paraId="1E2108DF" w14:textId="66CC133C" w:rsidR="008F0EC8" w:rsidRDefault="008F0EC8" w:rsidP="00723A48">
      <w:pPr>
        <w:pStyle w:val="Heading3"/>
        <w:numPr>
          <w:ilvl w:val="2"/>
          <w:numId w:val="8"/>
        </w:numPr>
        <w:spacing w:afterLines="200" w:after="480" w:line="360" w:lineRule="auto"/>
        <w:jc w:val="both"/>
        <w:rPr>
          <w:rFonts w:ascii="Arial" w:hAnsi="Arial" w:cs="Arial"/>
        </w:rPr>
      </w:pPr>
      <w:bookmarkStart w:id="44" w:name="_Toc27578595"/>
      <w:r w:rsidRPr="008F0EC8">
        <w:rPr>
          <w:rFonts w:ascii="Arial" w:hAnsi="Arial" w:cs="Arial"/>
        </w:rPr>
        <w:t>Loanable Funds Theory</w:t>
      </w:r>
      <w:bookmarkEnd w:id="44"/>
    </w:p>
    <w:p w14:paraId="745E19F7" w14:textId="45C09724" w:rsidR="008F0EC8" w:rsidRPr="00D33097" w:rsidRDefault="000E3160" w:rsidP="000E3160">
      <w:pPr>
        <w:spacing w:after="480" w:line="360" w:lineRule="auto"/>
        <w:jc w:val="both"/>
        <w:rPr>
          <w:rFonts w:ascii="Arial" w:hAnsi="Arial" w:cs="Arial"/>
        </w:rPr>
      </w:pPr>
      <w:r>
        <w:rPr>
          <w:rFonts w:ascii="Arial" w:hAnsi="Arial" w:cs="Arial"/>
        </w:rPr>
        <w:t xml:space="preserve">      </w:t>
      </w:r>
      <w:r w:rsidR="008F0EC8" w:rsidRPr="008F0EC8">
        <w:rPr>
          <w:rFonts w:ascii="Arial" w:hAnsi="Arial" w:cs="Arial"/>
        </w:rPr>
        <w:t xml:space="preserve">The theory of loanable fund was developed by British economist Dennis Robertson and Swedish economist Betty Olin in 1930s. The theory holds that investment comes from saving, which is the consumption abandoned in the current period, and the interest rate is essentially the reward that people get from abandoning the consumption in the current period. The supply of loanable funds comes from individuals and companies. These individuals and companies theoretically save some extra funds for investment. According to </w:t>
      </w:r>
      <w:proofErr w:type="spellStart"/>
      <w:r w:rsidR="008F0EC8" w:rsidRPr="008F0EC8">
        <w:rPr>
          <w:rFonts w:ascii="Arial" w:hAnsi="Arial" w:cs="Arial"/>
        </w:rPr>
        <w:t>Bibow</w:t>
      </w:r>
      <w:proofErr w:type="spellEnd"/>
      <w:r w:rsidR="008F0EC8" w:rsidRPr="008F0EC8">
        <w:rPr>
          <w:rFonts w:ascii="Arial" w:hAnsi="Arial" w:cs="Arial"/>
        </w:rPr>
        <w:t xml:space="preserve"> (2005) stated that the concentration of loans in specific industries was the main reason for liquidity risk, so the available funds should be diversified.</w:t>
      </w:r>
      <w:r w:rsidR="00EA6274">
        <w:rPr>
          <w:rFonts w:ascii="Arial" w:hAnsi="Arial" w:cs="Arial"/>
        </w:rPr>
        <w:t xml:space="preserve"> </w:t>
      </w:r>
      <w:r w:rsidR="00EA6274" w:rsidRPr="00EA6274">
        <w:rPr>
          <w:rFonts w:ascii="Arial" w:hAnsi="Arial" w:cs="Arial"/>
        </w:rPr>
        <w:t xml:space="preserve">This theory has been used in ANYE PAUL (2018) reach to </w:t>
      </w:r>
      <w:proofErr w:type="spellStart"/>
      <w:r w:rsidR="00EA6274" w:rsidRPr="00EA6274">
        <w:rPr>
          <w:rFonts w:ascii="Arial" w:hAnsi="Arial" w:cs="Arial"/>
        </w:rPr>
        <w:t>analyze</w:t>
      </w:r>
      <w:proofErr w:type="spellEnd"/>
      <w:r w:rsidR="00EA6274" w:rsidRPr="00EA6274">
        <w:rPr>
          <w:rFonts w:ascii="Arial" w:hAnsi="Arial" w:cs="Arial"/>
        </w:rPr>
        <w:t xml:space="preserve"> liquidity risk management in rural investment credit company Cameroon.</w:t>
      </w:r>
    </w:p>
    <w:p w14:paraId="59171975" w14:textId="5819DD20" w:rsidR="008F0EC8" w:rsidRDefault="008F0EC8" w:rsidP="00723A48">
      <w:pPr>
        <w:pStyle w:val="Heading3"/>
        <w:numPr>
          <w:ilvl w:val="2"/>
          <w:numId w:val="8"/>
        </w:numPr>
        <w:spacing w:afterLines="200" w:after="480" w:line="360" w:lineRule="auto"/>
        <w:jc w:val="both"/>
        <w:rPr>
          <w:rFonts w:ascii="Arial" w:hAnsi="Arial" w:cs="Arial"/>
        </w:rPr>
      </w:pPr>
      <w:bookmarkStart w:id="45" w:name="_Toc27578596"/>
      <w:r w:rsidRPr="008F0EC8">
        <w:rPr>
          <w:rFonts w:ascii="Arial" w:hAnsi="Arial" w:cs="Arial"/>
        </w:rPr>
        <w:t>Shift</w:t>
      </w:r>
      <w:r w:rsidR="0095511D">
        <w:rPr>
          <w:rFonts w:ascii="Arial" w:hAnsi="Arial" w:cs="Arial"/>
        </w:rPr>
        <w:t>-</w:t>
      </w:r>
      <w:r w:rsidRPr="008F0EC8">
        <w:rPr>
          <w:rFonts w:ascii="Arial" w:hAnsi="Arial" w:cs="Arial"/>
        </w:rPr>
        <w:t xml:space="preserve">ability </w:t>
      </w:r>
      <w:r>
        <w:rPr>
          <w:rFonts w:ascii="Arial" w:hAnsi="Arial" w:cs="Arial"/>
        </w:rPr>
        <w:t>T</w:t>
      </w:r>
      <w:r w:rsidRPr="008F0EC8">
        <w:rPr>
          <w:rFonts w:ascii="Arial" w:hAnsi="Arial" w:cs="Arial"/>
        </w:rPr>
        <w:t>heory</w:t>
      </w:r>
      <w:bookmarkEnd w:id="45"/>
    </w:p>
    <w:p w14:paraId="663879BD" w14:textId="1EE68D7F" w:rsidR="008F0EC8" w:rsidRPr="00A35B22" w:rsidRDefault="000E3160" w:rsidP="000E3160">
      <w:pPr>
        <w:spacing w:after="480" w:line="360" w:lineRule="auto"/>
        <w:jc w:val="both"/>
        <w:rPr>
          <w:rFonts w:ascii="Arial" w:hAnsi="Arial" w:cs="Arial"/>
        </w:rPr>
      </w:pPr>
      <w:r>
        <w:rPr>
          <w:rFonts w:ascii="Arial" w:hAnsi="Arial" w:cs="Arial"/>
        </w:rPr>
        <w:t xml:space="preserve">      </w:t>
      </w:r>
      <w:r w:rsidR="0095511D" w:rsidRPr="0095511D">
        <w:rPr>
          <w:rFonts w:ascii="Arial" w:hAnsi="Arial" w:cs="Arial"/>
        </w:rPr>
        <w:t xml:space="preserve">The shift-ability theory was propounded by Mitchell (1923). Actually, this theory explains that banks and organizations can maintain liquidity by they can easily sell or transfer their assets to money in the market. The theory of </w:t>
      </w:r>
      <w:r w:rsidR="0095511D" w:rsidRPr="0095511D">
        <w:rPr>
          <w:rFonts w:ascii="Arial" w:hAnsi="Arial" w:cs="Arial"/>
        </w:rPr>
        <w:lastRenderedPageBreak/>
        <w:t>transferability has been developed, which emphasizes that banks must arrange their portfolios in a way that can obtain the required liquidity. Monocle (2017) stated if a commercial bank has a large number of assets, it does not have to rely on the maturity date as long as it can transfer it to other banks to obtain cash without causing significant losses. Applying Shift ability theory can help banks or organizations to run efficiently with fewer cash reserves or investing in long term assets with avoiding liquidity crises (ANYE PAUL, 2018)).</w:t>
      </w:r>
    </w:p>
    <w:p w14:paraId="1FA33881" w14:textId="075678D1" w:rsidR="008F0EC8" w:rsidRDefault="008F0EC8" w:rsidP="00723A48">
      <w:pPr>
        <w:pStyle w:val="Heading3"/>
        <w:numPr>
          <w:ilvl w:val="2"/>
          <w:numId w:val="8"/>
        </w:numPr>
        <w:spacing w:afterLines="200" w:after="480" w:line="360" w:lineRule="auto"/>
        <w:jc w:val="both"/>
        <w:rPr>
          <w:rFonts w:ascii="Arial" w:hAnsi="Arial" w:cs="Arial"/>
        </w:rPr>
      </w:pPr>
      <w:bookmarkStart w:id="46" w:name="_Toc27578597"/>
      <w:r>
        <w:rPr>
          <w:rFonts w:ascii="Arial" w:hAnsi="Arial" w:cs="Arial"/>
        </w:rPr>
        <w:t>L</w:t>
      </w:r>
      <w:r w:rsidRPr="008F0EC8">
        <w:rPr>
          <w:rFonts w:ascii="Arial" w:hAnsi="Arial" w:cs="Arial"/>
        </w:rPr>
        <w:t xml:space="preserve">iquidity </w:t>
      </w:r>
      <w:r>
        <w:rPr>
          <w:rFonts w:ascii="Arial" w:hAnsi="Arial" w:cs="Arial"/>
        </w:rPr>
        <w:t>R</w:t>
      </w:r>
      <w:r w:rsidRPr="008F0EC8">
        <w:rPr>
          <w:rFonts w:ascii="Arial" w:hAnsi="Arial" w:cs="Arial"/>
        </w:rPr>
        <w:t>isk</w:t>
      </w:r>
      <w:r>
        <w:rPr>
          <w:rFonts w:ascii="Arial" w:hAnsi="Arial" w:cs="Arial"/>
        </w:rPr>
        <w:t xml:space="preserve"> Theory</w:t>
      </w:r>
      <w:bookmarkEnd w:id="46"/>
    </w:p>
    <w:p w14:paraId="02E1DEE0" w14:textId="48509256" w:rsidR="008F0EC8" w:rsidRPr="008D0B71" w:rsidRDefault="000E3160" w:rsidP="008D0B71">
      <w:pPr>
        <w:spacing w:after="480" w:line="360" w:lineRule="auto"/>
        <w:jc w:val="both"/>
        <w:rPr>
          <w:rFonts w:ascii="Arial" w:hAnsi="Arial" w:cs="Arial"/>
          <w:lang w:val="en-US"/>
        </w:rPr>
      </w:pPr>
      <w:r>
        <w:rPr>
          <w:rFonts w:ascii="Arial" w:hAnsi="Arial" w:cs="Arial"/>
        </w:rPr>
        <w:t xml:space="preserve">      </w:t>
      </w:r>
      <w:r w:rsidR="009265F1" w:rsidRPr="009265F1">
        <w:rPr>
          <w:rFonts w:ascii="Arial" w:hAnsi="Arial" w:cs="Arial"/>
        </w:rPr>
        <w:t>According to Drehmann and Nikolaou's theory (2010), liquidity risk is a risk related to money which given monetary resources, assets, securities or commodities that cannot be exchanged quickly enough in the market. Liquidity risk is mainly caused by the bank's inability to cope with the liquidity difficulties caused by the decrease of liabilities or the increase of assets. When a bank lacks liquidity, it cannot rely on the growth of liabilities or the quick realization of assets at a reasonable cost to obtain sufficient funds, which will affect its profitability(Manish and Ghanshyam Chand, 2013).  Scannella (2016) applied liquidity risk theory in his research analyse</w:t>
      </w:r>
      <w:r w:rsidR="009265F1">
        <w:rPr>
          <w:rFonts w:ascii="Arial" w:hAnsi="Arial" w:cs="Arial"/>
        </w:rPr>
        <w:t>d</w:t>
      </w:r>
      <w:r w:rsidR="009265F1" w:rsidRPr="009265F1">
        <w:rPr>
          <w:rFonts w:ascii="Arial" w:hAnsi="Arial" w:cs="Arial"/>
        </w:rPr>
        <w:t xml:space="preserve"> </w:t>
      </w:r>
      <w:r w:rsidR="009265F1">
        <w:rPr>
          <w:rFonts w:ascii="Arial" w:hAnsi="Arial" w:cs="Arial"/>
        </w:rPr>
        <w:t xml:space="preserve">the </w:t>
      </w:r>
      <w:r w:rsidR="009265F1" w:rsidRPr="009265F1">
        <w:rPr>
          <w:rFonts w:ascii="Arial" w:hAnsi="Arial" w:cs="Arial"/>
        </w:rPr>
        <w:t>different methods to measure the impact of financing and market liquidity risk on bank economy and management.</w:t>
      </w:r>
    </w:p>
    <w:p w14:paraId="6C7E99CF" w14:textId="786DB62A" w:rsidR="00135DA7" w:rsidRDefault="00D67B64" w:rsidP="00723A48">
      <w:pPr>
        <w:pStyle w:val="Heading2"/>
        <w:numPr>
          <w:ilvl w:val="1"/>
          <w:numId w:val="8"/>
        </w:numPr>
        <w:spacing w:after="480"/>
        <w:rPr>
          <w:rFonts w:ascii="Arial" w:hAnsi="Arial" w:cs="Arial"/>
          <w:b/>
          <w:sz w:val="24"/>
          <w:szCs w:val="24"/>
        </w:rPr>
      </w:pPr>
      <w:bookmarkStart w:id="47" w:name="_Toc23723814"/>
      <w:r>
        <w:rPr>
          <w:rFonts w:ascii="Arial" w:hAnsi="Arial" w:cs="Arial"/>
          <w:b/>
          <w:sz w:val="24"/>
          <w:szCs w:val="24"/>
        </w:rPr>
        <w:t xml:space="preserve"> </w:t>
      </w:r>
      <w:bookmarkStart w:id="48" w:name="_Toc27578598"/>
      <w:r w:rsidR="00135DA7">
        <w:rPr>
          <w:rFonts w:ascii="Arial" w:hAnsi="Arial" w:cs="Arial"/>
          <w:b/>
          <w:sz w:val="24"/>
          <w:szCs w:val="24"/>
        </w:rPr>
        <w:t xml:space="preserve">Financial Performance Measurements of </w:t>
      </w:r>
      <w:bookmarkEnd w:id="47"/>
      <w:r w:rsidR="003F0E4E" w:rsidRPr="003F0E4E">
        <w:rPr>
          <w:rFonts w:ascii="Arial" w:hAnsi="Arial" w:cs="Arial"/>
          <w:b/>
          <w:sz w:val="24"/>
          <w:szCs w:val="24"/>
        </w:rPr>
        <w:t>Liquidity Risk Management</w:t>
      </w:r>
      <w:bookmarkEnd w:id="48"/>
    </w:p>
    <w:p w14:paraId="1F1F31E6" w14:textId="7E32E6EE" w:rsidR="00446840" w:rsidRDefault="000E3160" w:rsidP="00446840">
      <w:pPr>
        <w:spacing w:after="480" w:line="360" w:lineRule="auto"/>
        <w:jc w:val="both"/>
        <w:rPr>
          <w:rFonts w:ascii="Arial" w:hAnsi="Arial" w:cs="Arial"/>
        </w:rPr>
      </w:pPr>
      <w:r>
        <w:rPr>
          <w:rFonts w:ascii="Arial" w:hAnsi="Arial" w:cs="Arial"/>
        </w:rPr>
        <w:t xml:space="preserve">      </w:t>
      </w:r>
      <w:r w:rsidRPr="000E3160">
        <w:rPr>
          <w:rFonts w:ascii="Arial" w:hAnsi="Arial" w:cs="Arial"/>
        </w:rPr>
        <w:t xml:space="preserve">Banks should have sound processes to identify, measure, monitor and control liquidity risk. This process should include a robust framework to fully forecast the cash flow generated by assets, liabilities and off-balance sheet items within an appropriate time frame(Bank for International Settlements, 2008).  Management should customize the measurement and analysis of liquidity risk according to the bank's business structure, complexity, and risk situation. The measurement and analysis shall be comprehensive and include the cash flow and liquidity impact of all major assets, off-balance sheet positions, liabilities,  and other activities of </w:t>
      </w:r>
      <w:r w:rsidRPr="000E3160">
        <w:rPr>
          <w:rFonts w:ascii="Arial" w:hAnsi="Arial" w:cs="Arial"/>
        </w:rPr>
        <w:lastRenderedPageBreak/>
        <w:t>the bank. Thus, this part conducted the financial performance measurements of LRM for both conventional and Islamic banking in Malaysia. However, the discussion is supported by works of literature supported which lead to hypothesis formation. The main hypothesis formulated for this study is</w:t>
      </w:r>
    </w:p>
    <w:p w14:paraId="7B2B7D94" w14:textId="3E59B9D5" w:rsidR="005B0313" w:rsidRPr="005B0313" w:rsidRDefault="005B0313" w:rsidP="00446840">
      <w:pPr>
        <w:spacing w:after="480" w:line="360" w:lineRule="auto"/>
        <w:jc w:val="both"/>
        <w:rPr>
          <w:rFonts w:ascii="Arial" w:hAnsi="Arial" w:cs="Arial"/>
          <w:i/>
          <w:iCs/>
        </w:rPr>
      </w:pPr>
      <w:r>
        <w:rPr>
          <w:rFonts w:ascii="Arial" w:hAnsi="Arial" w:cs="Arial"/>
          <w:i/>
        </w:rPr>
        <w:t xml:space="preserve">      </w:t>
      </w:r>
      <w:r w:rsidR="00446840" w:rsidRPr="00DD221C">
        <w:rPr>
          <w:rFonts w:ascii="Arial" w:hAnsi="Arial" w:cs="Arial"/>
          <w:i/>
        </w:rPr>
        <w:t xml:space="preserve">Ho: </w:t>
      </w:r>
      <w:r w:rsidR="00446840" w:rsidRPr="00446840">
        <w:rPr>
          <w:rFonts w:ascii="Arial" w:hAnsi="Arial" w:cs="Arial"/>
          <w:i/>
          <w:iCs/>
        </w:rPr>
        <w:t>There is no significant relationship that shows Islamic banks have better LRM compare to conventional banks in Malaysia.</w:t>
      </w:r>
    </w:p>
    <w:p w14:paraId="5290E5D3" w14:textId="35ECB679" w:rsidR="00860971" w:rsidRDefault="008D79A2" w:rsidP="005B0313">
      <w:pPr>
        <w:spacing w:after="480" w:line="360" w:lineRule="auto"/>
        <w:jc w:val="both"/>
        <w:rPr>
          <w:rFonts w:ascii="Arial" w:hAnsi="Arial" w:cs="Arial"/>
          <w:b/>
          <w:bCs/>
        </w:rPr>
      </w:pPr>
      <w:r w:rsidRPr="0063472D">
        <w:rPr>
          <w:rFonts w:ascii="Arial" w:hAnsi="Arial" w:cs="Arial"/>
          <w:b/>
          <w:bCs/>
          <w:noProof/>
        </w:rPr>
        <w:drawing>
          <wp:anchor distT="0" distB="0" distL="114300" distR="114300" simplePos="0" relativeHeight="251675648" behindDoc="0" locked="0" layoutInCell="1" allowOverlap="1" wp14:anchorId="63DA6C72" wp14:editId="65FD8357">
            <wp:simplePos x="0" y="0"/>
            <wp:positionH relativeFrom="column">
              <wp:posOffset>-295275</wp:posOffset>
            </wp:positionH>
            <wp:positionV relativeFrom="paragraph">
              <wp:posOffset>534035</wp:posOffset>
            </wp:positionV>
            <wp:extent cx="6231255" cy="2959100"/>
            <wp:effectExtent l="0" t="25400" r="0" b="38100"/>
            <wp:wrapSquare wrapText="bothSides"/>
            <wp:docPr id="16" name="Diagram 16">
              <a:extLst xmlns:a="http://schemas.openxmlformats.org/drawingml/2006/main">
                <a:ext uri="{FF2B5EF4-FFF2-40B4-BE49-F238E27FC236}">
                  <a16:creationId xmlns:a16="http://schemas.microsoft.com/office/drawing/2014/main" id="{35EE4004-0EEA-2740-B708-FC421070F28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860971" w:rsidRPr="008A6115">
        <w:rPr>
          <w:rFonts w:ascii="Arial" w:hAnsi="Arial" w:cs="Arial"/>
          <w:b/>
          <w:bCs/>
        </w:rPr>
        <w:t xml:space="preserve">Figure </w:t>
      </w:r>
      <w:r w:rsidR="00E46416" w:rsidRPr="008A6115">
        <w:rPr>
          <w:rFonts w:ascii="Arial" w:hAnsi="Arial" w:cs="Arial"/>
          <w:b/>
          <w:bCs/>
        </w:rPr>
        <w:t>2.0</w:t>
      </w:r>
      <w:r w:rsidR="00860971" w:rsidRPr="008A6115">
        <w:rPr>
          <w:rFonts w:ascii="Arial" w:hAnsi="Arial" w:cs="Arial"/>
          <w:b/>
          <w:bCs/>
        </w:rPr>
        <w:t>:</w:t>
      </w:r>
      <w:r w:rsidR="000E3160">
        <w:rPr>
          <w:rFonts w:ascii="Arial" w:hAnsi="Arial" w:cs="Arial"/>
          <w:b/>
          <w:bCs/>
        </w:rPr>
        <w:t xml:space="preserve">Factors that Affect Banks’ Liquidity from </w:t>
      </w:r>
      <w:r w:rsidR="00860971" w:rsidRPr="008A6115">
        <w:rPr>
          <w:b/>
          <w:bCs/>
        </w:rPr>
        <w:t xml:space="preserve"> </w:t>
      </w:r>
      <w:r w:rsidR="00860971" w:rsidRPr="008A6115">
        <w:rPr>
          <w:rFonts w:ascii="Arial" w:hAnsi="Arial" w:cs="Arial"/>
          <w:b/>
          <w:bCs/>
        </w:rPr>
        <w:t xml:space="preserve">Bank Specifics </w:t>
      </w:r>
    </w:p>
    <w:p w14:paraId="5B9B06F7" w14:textId="142A61DF" w:rsidR="000E3160" w:rsidRDefault="008D79A2" w:rsidP="00F1175A">
      <w:pPr>
        <w:spacing w:after="480" w:line="360" w:lineRule="auto"/>
        <w:jc w:val="both"/>
        <w:rPr>
          <w:rFonts w:ascii="Arial" w:hAnsi="Arial" w:cs="Arial"/>
        </w:rPr>
      </w:pPr>
      <w:r>
        <w:rPr>
          <w:rFonts w:ascii="Arial" w:hAnsi="Arial" w:cs="Arial"/>
        </w:rPr>
        <w:t xml:space="preserve">According to the </w:t>
      </w:r>
      <w:r w:rsidRPr="005B0313">
        <w:rPr>
          <w:rFonts w:ascii="Arial" w:hAnsi="Arial" w:cs="Arial"/>
        </w:rPr>
        <w:t>İncekara and Çetinkaya</w:t>
      </w:r>
      <w:r>
        <w:rPr>
          <w:rFonts w:ascii="Arial" w:hAnsi="Arial" w:cs="Arial"/>
        </w:rPr>
        <w:t xml:space="preserve"> (</w:t>
      </w:r>
      <w:r w:rsidRPr="005B0313">
        <w:rPr>
          <w:rFonts w:ascii="Arial" w:hAnsi="Arial" w:cs="Arial"/>
        </w:rPr>
        <w:t>2019)</w:t>
      </w:r>
      <w:r>
        <w:rPr>
          <w:rFonts w:ascii="Arial" w:hAnsi="Arial" w:cs="Arial"/>
        </w:rPr>
        <w:t xml:space="preserve"> </w:t>
      </w:r>
      <w:r w:rsidRPr="00860971">
        <w:rPr>
          <w:rFonts w:ascii="Arial" w:hAnsi="Arial" w:cs="Arial"/>
        </w:rPr>
        <w:t>investigat</w:t>
      </w:r>
      <w:r>
        <w:rPr>
          <w:rFonts w:ascii="Arial" w:hAnsi="Arial" w:cs="Arial"/>
        </w:rPr>
        <w:t xml:space="preserve">ed there are macroeconomic factors and bank- specific factors can influence bank liquidity. As the  </w:t>
      </w:r>
      <w:r w:rsidR="00860971">
        <w:rPr>
          <w:rFonts w:ascii="Arial" w:hAnsi="Arial" w:cs="Arial"/>
        </w:rPr>
        <w:t xml:space="preserve">figure </w:t>
      </w:r>
      <w:r w:rsidR="00E46416">
        <w:rPr>
          <w:rFonts w:ascii="Arial" w:hAnsi="Arial" w:cs="Arial"/>
        </w:rPr>
        <w:t>2.0</w:t>
      </w:r>
      <w:r w:rsidR="00860971">
        <w:rPr>
          <w:rFonts w:ascii="Arial" w:hAnsi="Arial" w:cs="Arial"/>
        </w:rPr>
        <w:t xml:space="preserve"> shows the factors can affect bank liquidity</w:t>
      </w:r>
      <w:r w:rsidR="000E3160">
        <w:rPr>
          <w:rFonts w:ascii="Arial" w:hAnsi="Arial" w:cs="Arial"/>
        </w:rPr>
        <w:t xml:space="preserve">. </w:t>
      </w:r>
      <w:r w:rsidR="000E3160" w:rsidRPr="000E3160">
        <w:rPr>
          <w:rFonts w:ascii="Arial" w:hAnsi="Arial" w:cs="Arial"/>
        </w:rPr>
        <w:t xml:space="preserve">The measurement for bank-specific factors which include profitability, deposits, and bank size will adopt financial ratio analysis. And the dependent variable liquidity also will apply financial ratio analysis. In fact, financial ratio analysis is based on the data collected from the organization's financial report to do the evaluation, analysis, and interpretation of financial data in order to help the organizations to make a better financial decision (Pamela Peterson, 2019). The below table 2.0 shows the </w:t>
      </w:r>
      <w:r w:rsidR="000E3160" w:rsidRPr="000E3160">
        <w:rPr>
          <w:rFonts w:ascii="Arial" w:hAnsi="Arial" w:cs="Arial"/>
        </w:rPr>
        <w:lastRenderedPageBreak/>
        <w:t>financial ratios used in this study to measure the dependent variable and independent variables.</w:t>
      </w:r>
    </w:p>
    <w:p w14:paraId="5EC334D7" w14:textId="65670A5E" w:rsidR="00F1175A" w:rsidRPr="000F0FDA" w:rsidRDefault="000E3160" w:rsidP="00F1175A">
      <w:pPr>
        <w:spacing w:after="480" w:line="360" w:lineRule="auto"/>
        <w:jc w:val="both"/>
        <w:rPr>
          <w:rFonts w:ascii="Arial" w:hAnsi="Arial" w:cs="Arial"/>
          <w:b/>
          <w:bCs/>
        </w:rPr>
      </w:pPr>
      <w:r>
        <w:rPr>
          <w:rFonts w:ascii="Arial" w:hAnsi="Arial" w:cs="Arial"/>
        </w:rPr>
        <w:t xml:space="preserve"> </w:t>
      </w:r>
      <w:r w:rsidRPr="000F0FDA">
        <w:rPr>
          <w:rFonts w:ascii="Arial" w:hAnsi="Arial" w:cs="Arial"/>
          <w:b/>
          <w:bCs/>
        </w:rPr>
        <w:t>Table</w:t>
      </w:r>
      <w:r w:rsidR="00F1175A" w:rsidRPr="000F0FDA">
        <w:rPr>
          <w:rFonts w:ascii="Arial" w:hAnsi="Arial" w:cs="Arial"/>
          <w:b/>
          <w:bCs/>
        </w:rPr>
        <w:t xml:space="preserve"> </w:t>
      </w:r>
      <w:r w:rsidR="00E46416" w:rsidRPr="000F0FDA">
        <w:rPr>
          <w:rFonts w:ascii="Arial" w:hAnsi="Arial" w:cs="Arial"/>
          <w:b/>
          <w:bCs/>
        </w:rPr>
        <w:t>2.0</w:t>
      </w:r>
      <w:r w:rsidR="00F1175A" w:rsidRPr="000F0FDA">
        <w:rPr>
          <w:rFonts w:ascii="Arial" w:hAnsi="Arial" w:cs="Arial"/>
          <w:b/>
          <w:bCs/>
        </w:rPr>
        <w:t>: Summary of variable, expected relationship with dependent variable and data source</w:t>
      </w:r>
    </w:p>
    <w:tbl>
      <w:tblPr>
        <w:tblW w:w="9082" w:type="dxa"/>
        <w:tblLook w:val="04A0" w:firstRow="1" w:lastRow="0" w:firstColumn="1" w:lastColumn="0" w:noHBand="0" w:noVBand="1"/>
      </w:tblPr>
      <w:tblGrid>
        <w:gridCol w:w="1643"/>
        <w:gridCol w:w="1764"/>
        <w:gridCol w:w="1190"/>
        <w:gridCol w:w="4754"/>
      </w:tblGrid>
      <w:tr w:rsidR="004D014A" w:rsidRPr="004D014A" w14:paraId="0B6D2FBD" w14:textId="77777777" w:rsidTr="008D0B71">
        <w:trPr>
          <w:trHeight w:val="357"/>
        </w:trPr>
        <w:tc>
          <w:tcPr>
            <w:tcW w:w="1520" w:type="dxa"/>
            <w:tcBorders>
              <w:top w:val="nil"/>
              <w:left w:val="nil"/>
              <w:bottom w:val="single" w:sz="8" w:space="0" w:color="auto"/>
              <w:right w:val="nil"/>
            </w:tcBorders>
            <w:shd w:val="clear" w:color="000000" w:fill="FFFFFF"/>
            <w:noWrap/>
            <w:vAlign w:val="bottom"/>
            <w:hideMark/>
          </w:tcPr>
          <w:p w14:paraId="798BA82A" w14:textId="77777777" w:rsidR="004D014A" w:rsidRPr="004D014A" w:rsidRDefault="004D014A" w:rsidP="004D014A">
            <w:pPr>
              <w:rPr>
                <w:rFonts w:ascii="Arial" w:hAnsi="Arial" w:cs="Arial"/>
                <w:b/>
                <w:bCs/>
                <w:color w:val="000000"/>
              </w:rPr>
            </w:pPr>
            <w:r w:rsidRPr="004D014A">
              <w:rPr>
                <w:rFonts w:ascii="Arial" w:hAnsi="Arial" w:cs="Arial"/>
                <w:b/>
                <w:bCs/>
                <w:color w:val="000000"/>
              </w:rPr>
              <w:t xml:space="preserve">Dependent Variable </w:t>
            </w:r>
          </w:p>
        </w:tc>
        <w:tc>
          <w:tcPr>
            <w:tcW w:w="1632" w:type="dxa"/>
            <w:tcBorders>
              <w:top w:val="nil"/>
              <w:left w:val="nil"/>
              <w:bottom w:val="single" w:sz="8" w:space="0" w:color="auto"/>
              <w:right w:val="nil"/>
            </w:tcBorders>
            <w:shd w:val="clear" w:color="000000" w:fill="FFFFFF"/>
            <w:noWrap/>
            <w:vAlign w:val="bottom"/>
            <w:hideMark/>
          </w:tcPr>
          <w:p w14:paraId="7DBF4512" w14:textId="77777777" w:rsidR="004D014A" w:rsidRPr="004D014A" w:rsidRDefault="004D014A" w:rsidP="004D014A">
            <w:pPr>
              <w:jc w:val="center"/>
              <w:rPr>
                <w:rFonts w:ascii="Arial" w:hAnsi="Arial" w:cs="Arial"/>
                <w:b/>
                <w:bCs/>
                <w:color w:val="000000"/>
              </w:rPr>
            </w:pPr>
            <w:r w:rsidRPr="004D014A">
              <w:rPr>
                <w:rFonts w:ascii="Arial" w:hAnsi="Arial" w:cs="Arial"/>
                <w:b/>
                <w:bCs/>
                <w:color w:val="000000"/>
              </w:rPr>
              <w:t>Measurement</w:t>
            </w:r>
          </w:p>
        </w:tc>
        <w:tc>
          <w:tcPr>
            <w:tcW w:w="1176" w:type="dxa"/>
            <w:tcBorders>
              <w:top w:val="nil"/>
              <w:left w:val="nil"/>
              <w:bottom w:val="single" w:sz="8" w:space="0" w:color="auto"/>
              <w:right w:val="nil"/>
            </w:tcBorders>
            <w:shd w:val="clear" w:color="000000" w:fill="FFFFFF"/>
            <w:noWrap/>
            <w:vAlign w:val="bottom"/>
            <w:hideMark/>
          </w:tcPr>
          <w:p w14:paraId="2DC9C072" w14:textId="77777777" w:rsidR="004D014A" w:rsidRPr="004D014A" w:rsidRDefault="004D014A" w:rsidP="004D014A">
            <w:pPr>
              <w:jc w:val="center"/>
              <w:rPr>
                <w:rFonts w:ascii="Arial" w:hAnsi="Arial" w:cs="Arial"/>
                <w:b/>
                <w:bCs/>
                <w:color w:val="000000"/>
              </w:rPr>
            </w:pPr>
            <w:r w:rsidRPr="004D014A">
              <w:rPr>
                <w:rFonts w:ascii="Arial" w:hAnsi="Arial" w:cs="Arial"/>
                <w:b/>
                <w:bCs/>
                <w:color w:val="000000"/>
              </w:rPr>
              <w:t>Notation</w:t>
            </w:r>
          </w:p>
        </w:tc>
        <w:tc>
          <w:tcPr>
            <w:tcW w:w="4754" w:type="dxa"/>
            <w:tcBorders>
              <w:top w:val="nil"/>
              <w:left w:val="nil"/>
              <w:bottom w:val="single" w:sz="8" w:space="0" w:color="auto"/>
              <w:right w:val="nil"/>
            </w:tcBorders>
            <w:shd w:val="clear" w:color="000000" w:fill="FFFFFF"/>
            <w:noWrap/>
            <w:vAlign w:val="bottom"/>
            <w:hideMark/>
          </w:tcPr>
          <w:p w14:paraId="2FE8A776" w14:textId="77777777" w:rsidR="004D014A" w:rsidRPr="004D014A" w:rsidRDefault="004D014A" w:rsidP="004D014A">
            <w:pPr>
              <w:jc w:val="center"/>
              <w:rPr>
                <w:rFonts w:ascii="Arial" w:hAnsi="Arial" w:cs="Arial"/>
                <w:b/>
                <w:bCs/>
                <w:color w:val="000000"/>
              </w:rPr>
            </w:pPr>
            <w:r w:rsidRPr="004D014A">
              <w:rPr>
                <w:rFonts w:ascii="Arial" w:hAnsi="Arial" w:cs="Arial"/>
                <w:b/>
                <w:bCs/>
                <w:color w:val="000000"/>
              </w:rPr>
              <w:t>Functions</w:t>
            </w:r>
          </w:p>
        </w:tc>
      </w:tr>
      <w:tr w:rsidR="004D014A" w:rsidRPr="004D014A" w14:paraId="4047E588" w14:textId="77777777" w:rsidTr="008D0B71">
        <w:trPr>
          <w:trHeight w:val="1483"/>
        </w:trPr>
        <w:tc>
          <w:tcPr>
            <w:tcW w:w="1520" w:type="dxa"/>
            <w:tcBorders>
              <w:top w:val="nil"/>
              <w:left w:val="nil"/>
              <w:bottom w:val="nil"/>
              <w:right w:val="nil"/>
            </w:tcBorders>
            <w:shd w:val="clear" w:color="000000" w:fill="FFFFFF"/>
            <w:noWrap/>
            <w:vAlign w:val="center"/>
            <w:hideMark/>
          </w:tcPr>
          <w:p w14:paraId="76CD1F47" w14:textId="77777777" w:rsidR="004D014A" w:rsidRPr="004D014A" w:rsidRDefault="004D014A" w:rsidP="004D014A">
            <w:pPr>
              <w:jc w:val="center"/>
              <w:rPr>
                <w:rFonts w:ascii="Arial" w:hAnsi="Arial" w:cs="Arial"/>
                <w:color w:val="000000"/>
              </w:rPr>
            </w:pPr>
            <w:r w:rsidRPr="004D014A">
              <w:rPr>
                <w:rFonts w:ascii="Arial" w:hAnsi="Arial" w:cs="Arial"/>
                <w:color w:val="000000"/>
              </w:rPr>
              <w:t>Liquidity</w:t>
            </w:r>
          </w:p>
        </w:tc>
        <w:tc>
          <w:tcPr>
            <w:tcW w:w="1632" w:type="dxa"/>
            <w:tcBorders>
              <w:top w:val="nil"/>
              <w:left w:val="nil"/>
              <w:bottom w:val="nil"/>
              <w:right w:val="nil"/>
            </w:tcBorders>
            <w:shd w:val="clear" w:color="000000" w:fill="FFFFFF"/>
            <w:noWrap/>
            <w:vAlign w:val="center"/>
            <w:hideMark/>
          </w:tcPr>
          <w:p w14:paraId="3635DAC8" w14:textId="77777777" w:rsidR="004D014A" w:rsidRPr="004D014A" w:rsidRDefault="004D014A" w:rsidP="004D014A">
            <w:pPr>
              <w:rPr>
                <w:rFonts w:ascii="Arial" w:hAnsi="Arial" w:cs="Arial"/>
                <w:color w:val="000000"/>
              </w:rPr>
            </w:pPr>
            <w:r w:rsidRPr="004D014A">
              <w:rPr>
                <w:rFonts w:ascii="Arial" w:hAnsi="Arial" w:cs="Arial"/>
                <w:color w:val="000000"/>
              </w:rPr>
              <w:t>Liquid Assets over Total Assets</w:t>
            </w:r>
          </w:p>
        </w:tc>
        <w:tc>
          <w:tcPr>
            <w:tcW w:w="1176" w:type="dxa"/>
            <w:tcBorders>
              <w:top w:val="nil"/>
              <w:left w:val="nil"/>
              <w:bottom w:val="nil"/>
              <w:right w:val="nil"/>
            </w:tcBorders>
            <w:shd w:val="clear" w:color="000000" w:fill="FFFFFF"/>
            <w:noWrap/>
            <w:vAlign w:val="center"/>
            <w:hideMark/>
          </w:tcPr>
          <w:p w14:paraId="4B170B63" w14:textId="77777777" w:rsidR="004D014A" w:rsidRPr="004D014A" w:rsidRDefault="004D014A" w:rsidP="004D014A">
            <w:pPr>
              <w:jc w:val="center"/>
              <w:rPr>
                <w:rFonts w:ascii="Arial" w:hAnsi="Arial" w:cs="Arial"/>
                <w:color w:val="000000"/>
              </w:rPr>
            </w:pPr>
            <w:r w:rsidRPr="004D014A">
              <w:rPr>
                <w:rFonts w:ascii="Arial" w:hAnsi="Arial" w:cs="Arial"/>
                <w:color w:val="000000"/>
              </w:rPr>
              <w:t>LIQ</w:t>
            </w:r>
          </w:p>
        </w:tc>
        <w:tc>
          <w:tcPr>
            <w:tcW w:w="4754" w:type="dxa"/>
            <w:tcBorders>
              <w:top w:val="nil"/>
              <w:left w:val="nil"/>
              <w:bottom w:val="nil"/>
              <w:right w:val="nil"/>
            </w:tcBorders>
            <w:shd w:val="clear" w:color="000000" w:fill="FFFFFF"/>
            <w:vAlign w:val="bottom"/>
            <w:hideMark/>
          </w:tcPr>
          <w:p w14:paraId="4E1CC1E9" w14:textId="77777777" w:rsidR="004D014A" w:rsidRPr="004D014A" w:rsidRDefault="004D014A" w:rsidP="004D014A">
            <w:pPr>
              <w:rPr>
                <w:rFonts w:ascii="Arial" w:hAnsi="Arial" w:cs="Arial"/>
                <w:color w:val="000000"/>
              </w:rPr>
            </w:pPr>
            <w:r w:rsidRPr="004D014A">
              <w:rPr>
                <w:rFonts w:ascii="Arial" w:hAnsi="Arial" w:cs="Arial"/>
                <w:color w:val="000000"/>
              </w:rPr>
              <w:t xml:space="preserve">Liquidity  ratio is measurements used to examine the organization's ability to meet its short-term obligations on debt. </w:t>
            </w:r>
          </w:p>
        </w:tc>
      </w:tr>
      <w:tr w:rsidR="004D014A" w:rsidRPr="004D014A" w14:paraId="2D58E1C0" w14:textId="77777777" w:rsidTr="008D0B71">
        <w:trPr>
          <w:trHeight w:val="795"/>
        </w:trPr>
        <w:tc>
          <w:tcPr>
            <w:tcW w:w="1520" w:type="dxa"/>
            <w:tcBorders>
              <w:top w:val="nil"/>
              <w:left w:val="nil"/>
              <w:bottom w:val="single" w:sz="8" w:space="0" w:color="auto"/>
              <w:right w:val="nil"/>
            </w:tcBorders>
            <w:shd w:val="clear" w:color="000000" w:fill="FFFFFF"/>
            <w:noWrap/>
            <w:vAlign w:val="bottom"/>
            <w:hideMark/>
          </w:tcPr>
          <w:p w14:paraId="213D5CBD" w14:textId="77777777" w:rsidR="004D014A" w:rsidRPr="004D014A" w:rsidRDefault="004D014A" w:rsidP="004D014A">
            <w:pPr>
              <w:rPr>
                <w:rFonts w:ascii="Arial" w:hAnsi="Arial" w:cs="Arial"/>
                <w:b/>
                <w:bCs/>
                <w:color w:val="000000"/>
              </w:rPr>
            </w:pPr>
            <w:r w:rsidRPr="004D014A">
              <w:rPr>
                <w:rFonts w:ascii="Arial" w:hAnsi="Arial" w:cs="Arial"/>
                <w:b/>
                <w:bCs/>
                <w:color w:val="000000"/>
              </w:rPr>
              <w:t xml:space="preserve">Independent Variables </w:t>
            </w:r>
          </w:p>
        </w:tc>
        <w:tc>
          <w:tcPr>
            <w:tcW w:w="1632" w:type="dxa"/>
            <w:tcBorders>
              <w:top w:val="nil"/>
              <w:left w:val="nil"/>
              <w:bottom w:val="single" w:sz="8" w:space="0" w:color="auto"/>
              <w:right w:val="nil"/>
            </w:tcBorders>
            <w:shd w:val="clear" w:color="000000" w:fill="FFFFFF"/>
            <w:noWrap/>
            <w:vAlign w:val="bottom"/>
            <w:hideMark/>
          </w:tcPr>
          <w:p w14:paraId="4A1B7954" w14:textId="77777777" w:rsidR="004D014A" w:rsidRPr="004D014A" w:rsidRDefault="004D014A" w:rsidP="004D014A">
            <w:pPr>
              <w:jc w:val="center"/>
              <w:rPr>
                <w:rFonts w:ascii="Arial" w:hAnsi="Arial" w:cs="Arial"/>
                <w:b/>
                <w:bCs/>
                <w:color w:val="000000"/>
              </w:rPr>
            </w:pPr>
            <w:r w:rsidRPr="004D014A">
              <w:rPr>
                <w:rFonts w:ascii="Arial" w:hAnsi="Arial" w:cs="Arial"/>
                <w:b/>
                <w:bCs/>
                <w:color w:val="000000"/>
              </w:rPr>
              <w:t>Measurement</w:t>
            </w:r>
          </w:p>
        </w:tc>
        <w:tc>
          <w:tcPr>
            <w:tcW w:w="1176" w:type="dxa"/>
            <w:tcBorders>
              <w:top w:val="nil"/>
              <w:left w:val="nil"/>
              <w:bottom w:val="single" w:sz="8" w:space="0" w:color="auto"/>
              <w:right w:val="nil"/>
            </w:tcBorders>
            <w:shd w:val="clear" w:color="000000" w:fill="FFFFFF"/>
            <w:noWrap/>
            <w:vAlign w:val="bottom"/>
            <w:hideMark/>
          </w:tcPr>
          <w:p w14:paraId="1B0A6DF9" w14:textId="77777777" w:rsidR="004D014A" w:rsidRPr="004D014A" w:rsidRDefault="004D014A" w:rsidP="004D014A">
            <w:pPr>
              <w:jc w:val="center"/>
              <w:rPr>
                <w:rFonts w:ascii="Arial" w:hAnsi="Arial" w:cs="Arial"/>
                <w:b/>
                <w:bCs/>
                <w:color w:val="000000"/>
              </w:rPr>
            </w:pPr>
            <w:r w:rsidRPr="004D014A">
              <w:rPr>
                <w:rFonts w:ascii="Arial" w:hAnsi="Arial" w:cs="Arial"/>
                <w:b/>
                <w:bCs/>
                <w:color w:val="000000"/>
              </w:rPr>
              <w:t>Notation</w:t>
            </w:r>
          </w:p>
        </w:tc>
        <w:tc>
          <w:tcPr>
            <w:tcW w:w="4754" w:type="dxa"/>
            <w:tcBorders>
              <w:top w:val="nil"/>
              <w:left w:val="nil"/>
              <w:bottom w:val="single" w:sz="8" w:space="0" w:color="auto"/>
              <w:right w:val="nil"/>
            </w:tcBorders>
            <w:shd w:val="clear" w:color="000000" w:fill="FFFFFF"/>
            <w:noWrap/>
            <w:vAlign w:val="bottom"/>
            <w:hideMark/>
          </w:tcPr>
          <w:p w14:paraId="7A29B6DB" w14:textId="77777777" w:rsidR="004D014A" w:rsidRPr="004D014A" w:rsidRDefault="004D014A" w:rsidP="004D014A">
            <w:pPr>
              <w:jc w:val="center"/>
              <w:rPr>
                <w:rFonts w:ascii="Arial" w:hAnsi="Arial" w:cs="Arial"/>
                <w:b/>
                <w:bCs/>
                <w:color w:val="000000"/>
              </w:rPr>
            </w:pPr>
            <w:r w:rsidRPr="004D014A">
              <w:rPr>
                <w:rFonts w:ascii="Arial" w:hAnsi="Arial" w:cs="Arial"/>
                <w:b/>
                <w:bCs/>
                <w:color w:val="000000"/>
              </w:rPr>
              <w:t>Functions</w:t>
            </w:r>
          </w:p>
        </w:tc>
      </w:tr>
      <w:tr w:rsidR="004D014A" w:rsidRPr="004D014A" w14:paraId="3F9C4107" w14:textId="77777777" w:rsidTr="008D0B71">
        <w:trPr>
          <w:trHeight w:val="2949"/>
        </w:trPr>
        <w:tc>
          <w:tcPr>
            <w:tcW w:w="1520" w:type="dxa"/>
            <w:tcBorders>
              <w:top w:val="nil"/>
              <w:left w:val="nil"/>
              <w:bottom w:val="nil"/>
              <w:right w:val="nil"/>
            </w:tcBorders>
            <w:shd w:val="clear" w:color="000000" w:fill="FFFFFF"/>
            <w:noWrap/>
            <w:vAlign w:val="center"/>
            <w:hideMark/>
          </w:tcPr>
          <w:p w14:paraId="45D955B2" w14:textId="18D71773" w:rsidR="004D014A" w:rsidRPr="004D014A" w:rsidRDefault="004D014A" w:rsidP="004D014A">
            <w:pPr>
              <w:jc w:val="center"/>
              <w:rPr>
                <w:rFonts w:ascii="Arial" w:hAnsi="Arial" w:cs="Arial"/>
                <w:color w:val="000000"/>
              </w:rPr>
            </w:pPr>
            <w:r w:rsidRPr="004D014A">
              <w:rPr>
                <w:rFonts w:ascii="Arial" w:hAnsi="Arial" w:cs="Arial"/>
                <w:color w:val="000000"/>
              </w:rPr>
              <w:t>Profitability</w:t>
            </w:r>
          </w:p>
        </w:tc>
        <w:tc>
          <w:tcPr>
            <w:tcW w:w="1632" w:type="dxa"/>
            <w:tcBorders>
              <w:top w:val="nil"/>
              <w:left w:val="nil"/>
              <w:bottom w:val="nil"/>
              <w:right w:val="nil"/>
            </w:tcBorders>
            <w:shd w:val="clear" w:color="000000" w:fill="FFFFFF"/>
            <w:noWrap/>
            <w:vAlign w:val="center"/>
            <w:hideMark/>
          </w:tcPr>
          <w:p w14:paraId="3DB96A6D" w14:textId="77777777" w:rsidR="004D014A" w:rsidRPr="004D014A" w:rsidRDefault="004D014A" w:rsidP="004D014A">
            <w:pPr>
              <w:rPr>
                <w:rFonts w:ascii="Arial" w:hAnsi="Arial" w:cs="Arial"/>
                <w:color w:val="000000"/>
              </w:rPr>
            </w:pPr>
            <w:r w:rsidRPr="004D014A">
              <w:rPr>
                <w:rFonts w:ascii="Arial" w:hAnsi="Arial" w:cs="Arial"/>
                <w:color w:val="000000"/>
              </w:rPr>
              <w:t>Return over Total Assets</w:t>
            </w:r>
          </w:p>
        </w:tc>
        <w:tc>
          <w:tcPr>
            <w:tcW w:w="1176" w:type="dxa"/>
            <w:tcBorders>
              <w:top w:val="nil"/>
              <w:left w:val="nil"/>
              <w:bottom w:val="nil"/>
              <w:right w:val="nil"/>
            </w:tcBorders>
            <w:shd w:val="clear" w:color="000000" w:fill="FFFFFF"/>
            <w:noWrap/>
            <w:vAlign w:val="center"/>
            <w:hideMark/>
          </w:tcPr>
          <w:p w14:paraId="0D34AC7F" w14:textId="77777777" w:rsidR="004D014A" w:rsidRPr="004D014A" w:rsidRDefault="004D014A" w:rsidP="00352B50">
            <w:pPr>
              <w:spacing w:line="360" w:lineRule="auto"/>
              <w:jc w:val="center"/>
              <w:rPr>
                <w:rFonts w:ascii="Arial" w:hAnsi="Arial" w:cs="Arial"/>
                <w:color w:val="000000"/>
              </w:rPr>
            </w:pPr>
            <w:r w:rsidRPr="004D014A">
              <w:rPr>
                <w:rFonts w:ascii="Arial" w:hAnsi="Arial" w:cs="Arial"/>
                <w:color w:val="000000"/>
              </w:rPr>
              <w:t>ROA</w:t>
            </w:r>
          </w:p>
        </w:tc>
        <w:tc>
          <w:tcPr>
            <w:tcW w:w="4754" w:type="dxa"/>
            <w:tcBorders>
              <w:top w:val="nil"/>
              <w:left w:val="nil"/>
              <w:bottom w:val="nil"/>
              <w:right w:val="nil"/>
            </w:tcBorders>
            <w:shd w:val="clear" w:color="000000" w:fill="FFFFFF"/>
            <w:vAlign w:val="center"/>
            <w:hideMark/>
          </w:tcPr>
          <w:p w14:paraId="03EFC9FD" w14:textId="77777777" w:rsidR="004D014A" w:rsidRDefault="004D014A" w:rsidP="00352B50">
            <w:pPr>
              <w:spacing w:line="360" w:lineRule="auto"/>
              <w:rPr>
                <w:rFonts w:ascii="Arial" w:hAnsi="Arial" w:cs="Arial"/>
                <w:color w:val="000000"/>
              </w:rPr>
            </w:pPr>
            <w:r w:rsidRPr="004D014A">
              <w:rPr>
                <w:rFonts w:ascii="Arial" w:hAnsi="Arial" w:cs="Arial"/>
                <w:color w:val="000000"/>
              </w:rPr>
              <w:t xml:space="preserve">Return on assets is a profitability ratio that shows how much profit organizations are able to generate from its assets. It measures how efficient </w:t>
            </w:r>
            <w:proofErr w:type="spellStart"/>
            <w:r w:rsidRPr="004D014A">
              <w:rPr>
                <w:rFonts w:ascii="Arial" w:hAnsi="Arial" w:cs="Arial"/>
                <w:color w:val="000000"/>
              </w:rPr>
              <w:t>a</w:t>
            </w:r>
            <w:proofErr w:type="spellEnd"/>
            <w:r w:rsidRPr="004D014A">
              <w:rPr>
                <w:rFonts w:ascii="Arial" w:hAnsi="Arial" w:cs="Arial"/>
                <w:color w:val="000000"/>
              </w:rPr>
              <w:t xml:space="preserve"> organization’s management is in generating earnings from its economic resources or assets on its balance sheet. </w:t>
            </w:r>
          </w:p>
          <w:p w14:paraId="38CA2FE5" w14:textId="084CC35F" w:rsidR="008D0B71" w:rsidRPr="004D014A" w:rsidRDefault="008D0B71" w:rsidP="00352B50">
            <w:pPr>
              <w:spacing w:line="360" w:lineRule="auto"/>
              <w:rPr>
                <w:rFonts w:ascii="Arial" w:hAnsi="Arial" w:cs="Arial"/>
                <w:color w:val="000000"/>
              </w:rPr>
            </w:pPr>
          </w:p>
        </w:tc>
      </w:tr>
      <w:tr w:rsidR="004D014A" w:rsidRPr="004D014A" w14:paraId="7FF9B6AA" w14:textId="77777777" w:rsidTr="008D0B71">
        <w:trPr>
          <w:trHeight w:val="1537"/>
        </w:trPr>
        <w:tc>
          <w:tcPr>
            <w:tcW w:w="1520" w:type="dxa"/>
            <w:tcBorders>
              <w:top w:val="nil"/>
              <w:left w:val="nil"/>
              <w:bottom w:val="nil"/>
              <w:right w:val="nil"/>
            </w:tcBorders>
            <w:shd w:val="clear" w:color="000000" w:fill="FFFFFF"/>
            <w:noWrap/>
            <w:vAlign w:val="center"/>
            <w:hideMark/>
          </w:tcPr>
          <w:p w14:paraId="68778567" w14:textId="77777777" w:rsidR="004D014A" w:rsidRPr="004D014A" w:rsidRDefault="004D014A" w:rsidP="004D014A">
            <w:pPr>
              <w:jc w:val="center"/>
              <w:rPr>
                <w:rFonts w:ascii="Arial" w:hAnsi="Arial" w:cs="Arial"/>
                <w:color w:val="000000"/>
              </w:rPr>
            </w:pPr>
            <w:r w:rsidRPr="004D014A">
              <w:rPr>
                <w:rFonts w:ascii="Arial" w:hAnsi="Arial" w:cs="Arial"/>
                <w:color w:val="000000"/>
              </w:rPr>
              <w:t>Bank size</w:t>
            </w:r>
          </w:p>
        </w:tc>
        <w:tc>
          <w:tcPr>
            <w:tcW w:w="1632" w:type="dxa"/>
            <w:tcBorders>
              <w:top w:val="nil"/>
              <w:left w:val="nil"/>
              <w:bottom w:val="nil"/>
              <w:right w:val="nil"/>
            </w:tcBorders>
            <w:shd w:val="clear" w:color="000000" w:fill="FFFFFF"/>
            <w:noWrap/>
            <w:vAlign w:val="center"/>
            <w:hideMark/>
          </w:tcPr>
          <w:p w14:paraId="4C45B4C8" w14:textId="77777777" w:rsidR="004D014A" w:rsidRPr="004D014A" w:rsidRDefault="004D014A" w:rsidP="004D014A">
            <w:pPr>
              <w:jc w:val="center"/>
              <w:rPr>
                <w:rFonts w:ascii="Arial" w:hAnsi="Arial" w:cs="Arial"/>
                <w:color w:val="000000"/>
              </w:rPr>
            </w:pPr>
            <w:r w:rsidRPr="004D014A">
              <w:rPr>
                <w:rFonts w:ascii="Arial" w:hAnsi="Arial" w:cs="Arial"/>
                <w:color w:val="000000"/>
              </w:rPr>
              <w:t>Log of Total Assets</w:t>
            </w:r>
          </w:p>
        </w:tc>
        <w:tc>
          <w:tcPr>
            <w:tcW w:w="1176" w:type="dxa"/>
            <w:tcBorders>
              <w:top w:val="nil"/>
              <w:left w:val="nil"/>
              <w:bottom w:val="nil"/>
              <w:right w:val="nil"/>
            </w:tcBorders>
            <w:shd w:val="clear" w:color="000000" w:fill="FFFFFF"/>
            <w:noWrap/>
            <w:vAlign w:val="center"/>
            <w:hideMark/>
          </w:tcPr>
          <w:p w14:paraId="293539DE" w14:textId="77777777" w:rsidR="004D014A" w:rsidRPr="004D014A" w:rsidRDefault="004D014A" w:rsidP="00352B50">
            <w:pPr>
              <w:spacing w:line="360" w:lineRule="auto"/>
              <w:jc w:val="center"/>
              <w:rPr>
                <w:rFonts w:ascii="Arial" w:hAnsi="Arial" w:cs="Arial"/>
                <w:color w:val="000000"/>
              </w:rPr>
            </w:pPr>
            <w:r w:rsidRPr="004D014A">
              <w:rPr>
                <w:rFonts w:ascii="Arial" w:hAnsi="Arial" w:cs="Arial"/>
                <w:color w:val="000000"/>
              </w:rPr>
              <w:t>SIZA</w:t>
            </w:r>
          </w:p>
        </w:tc>
        <w:tc>
          <w:tcPr>
            <w:tcW w:w="4754" w:type="dxa"/>
            <w:tcBorders>
              <w:top w:val="nil"/>
              <w:left w:val="nil"/>
              <w:bottom w:val="nil"/>
              <w:right w:val="nil"/>
            </w:tcBorders>
            <w:shd w:val="clear" w:color="000000" w:fill="FFFFFF"/>
            <w:vAlign w:val="center"/>
            <w:hideMark/>
          </w:tcPr>
          <w:p w14:paraId="15C41E26" w14:textId="77777777" w:rsidR="004D014A" w:rsidRDefault="004D014A" w:rsidP="00352B50">
            <w:pPr>
              <w:spacing w:line="360" w:lineRule="auto"/>
              <w:rPr>
                <w:rFonts w:ascii="Arial" w:hAnsi="Arial" w:cs="Arial"/>
                <w:color w:val="000000"/>
              </w:rPr>
            </w:pPr>
            <w:r w:rsidRPr="004D014A">
              <w:rPr>
                <w:rFonts w:ascii="Arial" w:hAnsi="Arial" w:cs="Arial"/>
                <w:color w:val="000000"/>
              </w:rPr>
              <w:t xml:space="preserve">Based on Kashyap, Rajan, and Stein (2002) and Delechat et al. (2012) observed that liquidity levels were significantly affected by bank size. </w:t>
            </w:r>
          </w:p>
          <w:p w14:paraId="79F9D1FC" w14:textId="2124A469" w:rsidR="008D0B71" w:rsidRPr="004D014A" w:rsidRDefault="008D0B71" w:rsidP="00352B50">
            <w:pPr>
              <w:spacing w:line="360" w:lineRule="auto"/>
              <w:rPr>
                <w:rFonts w:ascii="Arial" w:hAnsi="Arial" w:cs="Arial"/>
                <w:color w:val="000000"/>
              </w:rPr>
            </w:pPr>
          </w:p>
        </w:tc>
      </w:tr>
      <w:tr w:rsidR="004D014A" w:rsidRPr="004D014A" w14:paraId="7FEE3B60" w14:textId="77777777" w:rsidTr="008D0B71">
        <w:trPr>
          <w:trHeight w:val="2098"/>
        </w:trPr>
        <w:tc>
          <w:tcPr>
            <w:tcW w:w="1520" w:type="dxa"/>
            <w:tcBorders>
              <w:top w:val="nil"/>
              <w:left w:val="nil"/>
              <w:bottom w:val="nil"/>
              <w:right w:val="nil"/>
            </w:tcBorders>
            <w:shd w:val="clear" w:color="000000" w:fill="FFFFFF"/>
            <w:noWrap/>
            <w:vAlign w:val="center"/>
            <w:hideMark/>
          </w:tcPr>
          <w:p w14:paraId="29E19D5B" w14:textId="77777777" w:rsidR="004D014A" w:rsidRPr="004D014A" w:rsidRDefault="004D014A" w:rsidP="00352B50">
            <w:pPr>
              <w:spacing w:line="360" w:lineRule="auto"/>
              <w:jc w:val="center"/>
              <w:rPr>
                <w:rFonts w:ascii="Arial" w:hAnsi="Arial" w:cs="Arial"/>
                <w:color w:val="000000"/>
              </w:rPr>
            </w:pPr>
            <w:r w:rsidRPr="004D014A">
              <w:rPr>
                <w:rFonts w:ascii="Arial" w:hAnsi="Arial" w:cs="Arial"/>
                <w:color w:val="000000"/>
              </w:rPr>
              <w:t>Deposits</w:t>
            </w:r>
          </w:p>
        </w:tc>
        <w:tc>
          <w:tcPr>
            <w:tcW w:w="1632" w:type="dxa"/>
            <w:tcBorders>
              <w:top w:val="nil"/>
              <w:left w:val="nil"/>
              <w:bottom w:val="nil"/>
              <w:right w:val="nil"/>
            </w:tcBorders>
            <w:shd w:val="clear" w:color="000000" w:fill="FFFFFF"/>
            <w:noWrap/>
            <w:vAlign w:val="center"/>
            <w:hideMark/>
          </w:tcPr>
          <w:p w14:paraId="4F5E80CD" w14:textId="77777777" w:rsidR="004D014A" w:rsidRPr="004D014A" w:rsidRDefault="004D014A" w:rsidP="00352B50">
            <w:pPr>
              <w:spacing w:line="360" w:lineRule="auto"/>
              <w:rPr>
                <w:rFonts w:ascii="Arial" w:hAnsi="Arial" w:cs="Arial"/>
                <w:color w:val="000000"/>
              </w:rPr>
            </w:pPr>
            <w:r w:rsidRPr="004D014A">
              <w:rPr>
                <w:rFonts w:ascii="Arial" w:hAnsi="Arial" w:cs="Arial"/>
                <w:color w:val="000000"/>
              </w:rPr>
              <w:t>Total Deposits over Total Assets</w:t>
            </w:r>
          </w:p>
        </w:tc>
        <w:tc>
          <w:tcPr>
            <w:tcW w:w="1176" w:type="dxa"/>
            <w:tcBorders>
              <w:top w:val="nil"/>
              <w:left w:val="nil"/>
              <w:bottom w:val="nil"/>
              <w:right w:val="nil"/>
            </w:tcBorders>
            <w:shd w:val="clear" w:color="000000" w:fill="FFFFFF"/>
            <w:noWrap/>
            <w:vAlign w:val="center"/>
            <w:hideMark/>
          </w:tcPr>
          <w:p w14:paraId="77802305" w14:textId="77777777" w:rsidR="004D014A" w:rsidRPr="004D014A" w:rsidRDefault="004D014A" w:rsidP="00352B50">
            <w:pPr>
              <w:spacing w:line="360" w:lineRule="auto"/>
              <w:jc w:val="center"/>
              <w:rPr>
                <w:rFonts w:ascii="Arial" w:hAnsi="Arial" w:cs="Arial"/>
                <w:color w:val="000000"/>
              </w:rPr>
            </w:pPr>
            <w:r w:rsidRPr="004D014A">
              <w:rPr>
                <w:rFonts w:ascii="Arial" w:hAnsi="Arial" w:cs="Arial"/>
                <w:color w:val="000000"/>
              </w:rPr>
              <w:t>DEP</w:t>
            </w:r>
          </w:p>
        </w:tc>
        <w:tc>
          <w:tcPr>
            <w:tcW w:w="4754" w:type="dxa"/>
            <w:tcBorders>
              <w:top w:val="nil"/>
              <w:left w:val="nil"/>
              <w:bottom w:val="nil"/>
              <w:right w:val="nil"/>
            </w:tcBorders>
            <w:shd w:val="clear" w:color="000000" w:fill="FFFFFF"/>
            <w:vAlign w:val="bottom"/>
            <w:hideMark/>
          </w:tcPr>
          <w:p w14:paraId="09CC5BE6" w14:textId="77777777" w:rsidR="004D014A" w:rsidRPr="004D014A" w:rsidRDefault="004D014A" w:rsidP="00352B50">
            <w:pPr>
              <w:spacing w:line="360" w:lineRule="auto"/>
              <w:rPr>
                <w:rFonts w:ascii="Arial" w:hAnsi="Arial" w:cs="Arial"/>
                <w:color w:val="000000"/>
              </w:rPr>
            </w:pPr>
            <w:r w:rsidRPr="004D014A">
              <w:rPr>
                <w:rFonts w:ascii="Arial" w:hAnsi="Arial" w:cs="Arial"/>
                <w:color w:val="000000"/>
              </w:rPr>
              <w:t xml:space="preserve">Moussa (2015) found an insignificant effect of deposits on bank liquidity. Bonner et al. (2013) and Kashyap et al. (2002) argued that as demand deposits increase, liquidity asset holdings also increase. </w:t>
            </w:r>
          </w:p>
        </w:tc>
      </w:tr>
    </w:tbl>
    <w:p w14:paraId="492FB9C8" w14:textId="102BDAEB" w:rsidR="00B91DE9" w:rsidRDefault="00352B50" w:rsidP="00B91DE9">
      <w:pPr>
        <w:spacing w:after="480" w:line="360" w:lineRule="auto"/>
        <w:ind w:firstLine="720"/>
        <w:jc w:val="both"/>
        <w:rPr>
          <w:rFonts w:ascii="Arial" w:hAnsi="Arial" w:cs="Arial"/>
        </w:rPr>
      </w:pPr>
      <w:r w:rsidRPr="00352B50">
        <w:rPr>
          <w:rFonts w:ascii="Arial" w:hAnsi="Arial" w:cs="Arial"/>
        </w:rPr>
        <w:t xml:space="preserve">As we can see from table 2.0 the liquidity measured by return over total assets, bank size measure by the log of total assets, and the deposits measured by total deposits over the total assets. And all the data collected from the banks’ </w:t>
      </w:r>
      <w:r w:rsidRPr="00352B50">
        <w:rPr>
          <w:rFonts w:ascii="Arial" w:hAnsi="Arial" w:cs="Arial"/>
        </w:rPr>
        <w:lastRenderedPageBreak/>
        <w:t>annual report and calculated from the year 2014 to 2018.</w:t>
      </w:r>
      <w:r>
        <w:rPr>
          <w:rFonts w:ascii="Arial" w:hAnsi="Arial" w:cs="Arial"/>
        </w:rPr>
        <w:t xml:space="preserve"> </w:t>
      </w:r>
      <w:r w:rsidR="00B91DE9">
        <w:rPr>
          <w:rFonts w:ascii="Arial" w:hAnsi="Arial" w:cs="Arial"/>
        </w:rPr>
        <w:t>Based on the above analysis, the hypothesis formulated is:</w:t>
      </w:r>
    </w:p>
    <w:p w14:paraId="70B565C4" w14:textId="6747031A" w:rsidR="00FB782E" w:rsidRDefault="00FB782E" w:rsidP="00B91DE9">
      <w:pPr>
        <w:spacing w:after="480" w:line="360" w:lineRule="auto"/>
        <w:jc w:val="both"/>
        <w:rPr>
          <w:rFonts w:ascii="Arial" w:hAnsi="Arial" w:cs="Arial"/>
          <w:i/>
          <w:iCs/>
        </w:rPr>
      </w:pPr>
      <w:r w:rsidRPr="00FB782E">
        <w:rPr>
          <w:rFonts w:ascii="Arial" w:hAnsi="Arial" w:cs="Arial"/>
          <w:i/>
          <w:iCs/>
        </w:rPr>
        <w:t>H1: There would be a negative relationship between profitability and liquidity in both conventional and Islamic banks in Malaysia.</w:t>
      </w:r>
    </w:p>
    <w:p w14:paraId="4A67B87D" w14:textId="77777777" w:rsidR="00B91DE9" w:rsidRDefault="00B91DE9" w:rsidP="00FB782E">
      <w:pPr>
        <w:spacing w:after="480" w:line="360" w:lineRule="auto"/>
        <w:jc w:val="both"/>
        <w:rPr>
          <w:rFonts w:ascii="Arial" w:hAnsi="Arial" w:cs="Arial"/>
        </w:rPr>
      </w:pPr>
      <w:r w:rsidRPr="00B91DE9">
        <w:rPr>
          <w:rFonts w:ascii="Arial" w:hAnsi="Arial" w:cs="Arial"/>
        </w:rPr>
        <w:t>It means when the banks’ profitability increases that the banks’ liquidity risk will decrease. On the other hand that when the banks’ profitability drops that the liquidity risk of the banks will increase.</w:t>
      </w:r>
    </w:p>
    <w:p w14:paraId="7A0DFD72" w14:textId="081D6F94" w:rsidR="00FB782E" w:rsidRDefault="00FB782E" w:rsidP="00FB782E">
      <w:pPr>
        <w:spacing w:after="480" w:line="360" w:lineRule="auto"/>
        <w:jc w:val="both"/>
        <w:rPr>
          <w:rFonts w:ascii="Arial" w:hAnsi="Arial" w:cs="Arial"/>
          <w:i/>
          <w:iCs/>
        </w:rPr>
      </w:pPr>
      <w:r w:rsidRPr="00FB782E">
        <w:rPr>
          <w:rFonts w:ascii="Arial" w:hAnsi="Arial" w:cs="Arial"/>
          <w:i/>
          <w:iCs/>
        </w:rPr>
        <w:t>H2: There would be a negative relationship between bank size and liquidity in both conventional and Islamic banks in Malaysia.</w:t>
      </w:r>
    </w:p>
    <w:p w14:paraId="6C4E2960" w14:textId="261BE314" w:rsidR="00B91DE9" w:rsidRPr="00FB782E" w:rsidRDefault="00B91DE9" w:rsidP="00FB782E">
      <w:pPr>
        <w:spacing w:after="480" w:line="360" w:lineRule="auto"/>
        <w:jc w:val="both"/>
        <w:rPr>
          <w:rFonts w:ascii="Arial" w:hAnsi="Arial" w:cs="Arial"/>
          <w:lang w:val="en-US"/>
        </w:rPr>
      </w:pPr>
      <w:r>
        <w:rPr>
          <w:rFonts w:ascii="Arial" w:hAnsi="Arial" w:cs="Arial"/>
        </w:rPr>
        <w:t xml:space="preserve">It indicated that the big bank size the lower </w:t>
      </w:r>
      <w:r w:rsidRPr="00B91DE9">
        <w:rPr>
          <w:rFonts w:ascii="Arial" w:hAnsi="Arial" w:cs="Arial"/>
        </w:rPr>
        <w:t>liquidity risk of the banks</w:t>
      </w:r>
      <w:r>
        <w:rPr>
          <w:rFonts w:ascii="Arial" w:hAnsi="Arial" w:cs="Arial"/>
        </w:rPr>
        <w:t xml:space="preserve">. </w:t>
      </w:r>
      <w:r>
        <w:rPr>
          <w:rFonts w:ascii="Arial" w:hAnsi="Arial" w:cs="Arial"/>
          <w:lang w:val="en-US"/>
        </w:rPr>
        <w:t xml:space="preserve">On the </w:t>
      </w:r>
      <w:r w:rsidRPr="00B91DE9">
        <w:rPr>
          <w:rFonts w:ascii="Arial" w:hAnsi="Arial" w:cs="Arial"/>
          <w:lang w:val="en-US"/>
        </w:rPr>
        <w:t>opposite</w:t>
      </w:r>
      <w:r>
        <w:rPr>
          <w:rFonts w:ascii="Arial" w:hAnsi="Arial" w:cs="Arial"/>
          <w:lang w:val="en-US"/>
        </w:rPr>
        <w:t xml:space="preserve"> the lowest bank size the high </w:t>
      </w:r>
      <w:r w:rsidRPr="00B91DE9">
        <w:rPr>
          <w:rFonts w:ascii="Arial" w:hAnsi="Arial" w:cs="Arial"/>
        </w:rPr>
        <w:t>liquidity risk of the banks</w:t>
      </w:r>
      <w:r>
        <w:rPr>
          <w:rFonts w:ascii="Arial" w:hAnsi="Arial" w:cs="Arial"/>
        </w:rPr>
        <w:t>.</w:t>
      </w:r>
    </w:p>
    <w:p w14:paraId="60458BB9" w14:textId="1FC54EA8" w:rsidR="00F70E5E" w:rsidRPr="008D0B71" w:rsidRDefault="00FB782E" w:rsidP="00FB782E">
      <w:pPr>
        <w:spacing w:after="480" w:line="360" w:lineRule="auto"/>
        <w:jc w:val="both"/>
        <w:rPr>
          <w:rFonts w:ascii="Arial" w:hAnsi="Arial" w:cs="Arial"/>
          <w:i/>
          <w:iCs/>
        </w:rPr>
      </w:pPr>
      <w:r w:rsidRPr="00FB782E">
        <w:rPr>
          <w:rFonts w:ascii="Arial" w:hAnsi="Arial" w:cs="Arial"/>
          <w:i/>
          <w:iCs/>
        </w:rPr>
        <w:t>H3: There would be a positive relationship between deposits and liquidity in both conventional and Islamic banks in Malaysia.</w:t>
      </w:r>
    </w:p>
    <w:p w14:paraId="2EFE966A" w14:textId="77777777" w:rsidR="00B91DE9" w:rsidRDefault="00B91DE9" w:rsidP="00F1175A">
      <w:pPr>
        <w:spacing w:after="480" w:line="360" w:lineRule="auto"/>
        <w:jc w:val="both"/>
        <w:rPr>
          <w:rFonts w:ascii="Arial" w:hAnsi="Arial" w:cs="Arial"/>
        </w:rPr>
      </w:pPr>
      <w:r w:rsidRPr="00B91DE9">
        <w:rPr>
          <w:rFonts w:ascii="Arial" w:hAnsi="Arial" w:cs="Arial"/>
        </w:rPr>
        <w:t>In this hypothesis, the increase in loan from consumers of the banks that will increase the banks’ liquidity risk. And the decreasing loan from consumers of the banks that will lead to decrease low liquidity risk of the banks.</w:t>
      </w:r>
    </w:p>
    <w:p w14:paraId="5F5D36F6" w14:textId="670E157E" w:rsidR="00C875E5" w:rsidRPr="00F1175A" w:rsidRDefault="00352B50" w:rsidP="00F1175A">
      <w:pPr>
        <w:spacing w:after="480" w:line="360" w:lineRule="auto"/>
        <w:jc w:val="both"/>
        <w:rPr>
          <w:rFonts w:ascii="Arial" w:hAnsi="Arial" w:cs="Arial"/>
          <w:lang w:val="en-US"/>
        </w:rPr>
      </w:pPr>
      <w:r>
        <w:rPr>
          <w:rFonts w:ascii="Arial" w:hAnsi="Arial" w:cs="Arial"/>
          <w:lang w:val="en-US"/>
        </w:rPr>
        <w:t>Moreover</w:t>
      </w:r>
      <w:r w:rsidR="002824E6" w:rsidRPr="002824E6">
        <w:rPr>
          <w:rFonts w:ascii="Arial" w:hAnsi="Arial" w:cs="Arial"/>
          <w:lang w:val="en-US"/>
        </w:rPr>
        <w:t>, the measurement of liquidity risk management will conduct between conventional and Islamic banks.</w:t>
      </w:r>
    </w:p>
    <w:p w14:paraId="2826FC8B" w14:textId="7C9EBF76" w:rsidR="00135DA7" w:rsidRDefault="00135DA7" w:rsidP="00723A48">
      <w:pPr>
        <w:pStyle w:val="Heading2"/>
        <w:numPr>
          <w:ilvl w:val="1"/>
          <w:numId w:val="8"/>
        </w:numPr>
        <w:spacing w:after="480" w:line="360" w:lineRule="auto"/>
        <w:rPr>
          <w:rFonts w:ascii="Arial" w:hAnsi="Arial" w:cs="Arial"/>
          <w:b/>
          <w:sz w:val="24"/>
          <w:szCs w:val="24"/>
        </w:rPr>
      </w:pPr>
      <w:bookmarkStart w:id="49" w:name="_Toc23723824"/>
      <w:bookmarkStart w:id="50" w:name="_Toc27578599"/>
      <w:r>
        <w:rPr>
          <w:rFonts w:ascii="Arial" w:hAnsi="Arial" w:cs="Arial"/>
          <w:b/>
          <w:sz w:val="24"/>
          <w:szCs w:val="24"/>
        </w:rPr>
        <w:t>Framework of the Research</w:t>
      </w:r>
      <w:bookmarkEnd w:id="49"/>
      <w:bookmarkEnd w:id="50"/>
    </w:p>
    <w:p w14:paraId="13E732B1" w14:textId="037C944D" w:rsidR="008F0B9E" w:rsidRDefault="00C875E5" w:rsidP="00D67B64">
      <w:pPr>
        <w:spacing w:line="360" w:lineRule="auto"/>
        <w:jc w:val="both"/>
        <w:rPr>
          <w:rFonts w:ascii="Arial" w:hAnsi="Arial" w:cs="Arial"/>
        </w:rPr>
      </w:pPr>
      <w:r>
        <w:rPr>
          <w:rFonts w:ascii="Arial" w:hAnsi="Arial" w:cs="Arial"/>
        </w:rPr>
        <w:t xml:space="preserve">      </w:t>
      </w:r>
      <w:r w:rsidR="008F0B9E" w:rsidRPr="008F0B9E">
        <w:rPr>
          <w:rFonts w:ascii="Arial" w:hAnsi="Arial" w:cs="Arial"/>
        </w:rPr>
        <w:t xml:space="preserve">Referring to figure 2.1 that the overall liquidity risk management for both conventional and Islamic banks component will be represented and measured by the liquidity ratio. In this study, the independent variables which consist of </w:t>
      </w:r>
      <w:r w:rsidR="008F0B9E" w:rsidRPr="008F0B9E">
        <w:rPr>
          <w:rFonts w:ascii="Arial" w:hAnsi="Arial" w:cs="Arial"/>
        </w:rPr>
        <w:lastRenderedPageBreak/>
        <w:t>profitability, bank sizes, and deposits considered effects on the dependent variable. As mentioned before, the profitability measure by ROA, the bank size measured by the log over total assets, and the deposits measured by total deposits over total assets. Subsequently, each independent variable will be analysed on how correlation coefficients to the dependent variable among different types of banks.</w:t>
      </w:r>
    </w:p>
    <w:p w14:paraId="3E1AFB12" w14:textId="1F724C63" w:rsidR="00E46416" w:rsidRPr="000E3160" w:rsidRDefault="00E46416" w:rsidP="00E46416">
      <w:pPr>
        <w:spacing w:after="480" w:line="360" w:lineRule="auto"/>
        <w:jc w:val="center"/>
        <w:rPr>
          <w:rFonts w:ascii="Arial" w:hAnsi="Arial" w:cs="Arial"/>
          <w:b/>
          <w:bCs/>
        </w:rPr>
      </w:pPr>
      <w:r w:rsidRPr="000E3160">
        <w:rPr>
          <w:rFonts w:ascii="Arial" w:hAnsi="Arial" w:cs="Arial"/>
          <w:b/>
          <w:bCs/>
        </w:rPr>
        <w:t>Figure 2.1: Research Framework</w:t>
      </w:r>
    </w:p>
    <w:p w14:paraId="735BEA19" w14:textId="25F32060" w:rsidR="000E3160" w:rsidRPr="003F0E4E" w:rsidRDefault="006128F5" w:rsidP="003F0E4E">
      <w:r>
        <w:rPr>
          <w:noProof/>
        </w:rPr>
        <w:drawing>
          <wp:inline distT="0" distB="0" distL="0" distR="0" wp14:anchorId="3995F99A" wp14:editId="395FA96A">
            <wp:extent cx="5723908" cy="2827265"/>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1-21 at 9.27.53 PM.png"/>
                    <pic:cNvPicPr/>
                  </pic:nvPicPr>
                  <pic:blipFill>
                    <a:blip r:embed="rId15">
                      <a:extLst>
                        <a:ext uri="{28A0092B-C50C-407E-A947-70E740481C1C}">
                          <a14:useLocalDpi xmlns:a14="http://schemas.microsoft.com/office/drawing/2010/main" val="0"/>
                        </a:ext>
                      </a:extLst>
                    </a:blip>
                    <a:stretch>
                      <a:fillRect/>
                    </a:stretch>
                  </pic:blipFill>
                  <pic:spPr>
                    <a:xfrm>
                      <a:off x="0" y="0"/>
                      <a:ext cx="5761849" cy="2846006"/>
                    </a:xfrm>
                    <a:prstGeom prst="rect">
                      <a:avLst/>
                    </a:prstGeom>
                  </pic:spPr>
                </pic:pic>
              </a:graphicData>
            </a:graphic>
          </wp:inline>
        </w:drawing>
      </w:r>
    </w:p>
    <w:p w14:paraId="68FC57D3" w14:textId="33C21D3C" w:rsidR="008D0B71" w:rsidRDefault="008D0B71" w:rsidP="002759BB">
      <w:pPr>
        <w:pStyle w:val="Heading1"/>
        <w:spacing w:after="480"/>
        <w:ind w:left="142"/>
        <w:jc w:val="center"/>
        <w:rPr>
          <w:rFonts w:ascii="Arial" w:hAnsi="Arial" w:cs="Arial"/>
          <w:b/>
          <w:sz w:val="24"/>
        </w:rPr>
      </w:pPr>
      <w:bookmarkStart w:id="51" w:name="_Toc23329242"/>
      <w:bookmarkStart w:id="52" w:name="_Toc23723826"/>
      <w:bookmarkStart w:id="53" w:name="_Toc27578600"/>
    </w:p>
    <w:p w14:paraId="38E849A2" w14:textId="77777777" w:rsidR="008D0B71" w:rsidRPr="008D0B71" w:rsidRDefault="008D0B71" w:rsidP="008D0B71"/>
    <w:p w14:paraId="3ACA9C56" w14:textId="189A0D49" w:rsidR="002759BB" w:rsidRDefault="002759BB" w:rsidP="002759BB">
      <w:pPr>
        <w:pStyle w:val="Heading1"/>
        <w:spacing w:after="480"/>
        <w:ind w:left="142"/>
        <w:jc w:val="center"/>
        <w:rPr>
          <w:rFonts w:ascii="Arial" w:hAnsi="Arial" w:cs="Arial"/>
          <w:b/>
          <w:sz w:val="24"/>
        </w:rPr>
      </w:pPr>
      <w:r>
        <w:rPr>
          <w:rFonts w:ascii="Arial" w:hAnsi="Arial" w:cs="Arial"/>
          <w:b/>
          <w:sz w:val="24"/>
        </w:rPr>
        <w:t xml:space="preserve">Chapter 3 </w:t>
      </w:r>
      <w:r w:rsidRPr="00305C21">
        <w:rPr>
          <w:rFonts w:ascii="Arial" w:hAnsi="Arial" w:cs="Arial"/>
          <w:b/>
          <w:sz w:val="24"/>
        </w:rPr>
        <w:t xml:space="preserve">Research </w:t>
      </w:r>
      <w:r w:rsidR="00094497">
        <w:rPr>
          <w:rFonts w:ascii="Arial" w:hAnsi="Arial" w:cs="Arial"/>
          <w:b/>
          <w:sz w:val="24"/>
          <w:lang w:val="en-US"/>
        </w:rPr>
        <w:t xml:space="preserve">and </w:t>
      </w:r>
      <w:r w:rsidRPr="00305C21">
        <w:rPr>
          <w:rFonts w:ascii="Arial" w:hAnsi="Arial" w:cs="Arial" w:hint="eastAsia"/>
          <w:b/>
          <w:sz w:val="24"/>
        </w:rPr>
        <w:t>M</w:t>
      </w:r>
      <w:r w:rsidRPr="00305C21">
        <w:rPr>
          <w:rFonts w:ascii="Arial" w:hAnsi="Arial" w:cs="Arial"/>
          <w:b/>
          <w:sz w:val="24"/>
        </w:rPr>
        <w:t>ethodology</w:t>
      </w:r>
      <w:bookmarkEnd w:id="51"/>
      <w:bookmarkEnd w:id="52"/>
      <w:bookmarkEnd w:id="53"/>
    </w:p>
    <w:p w14:paraId="09DC6124" w14:textId="77777777" w:rsidR="002759BB" w:rsidRPr="0085234F" w:rsidRDefault="002759BB" w:rsidP="002759BB">
      <w:pPr>
        <w:pStyle w:val="Heading2"/>
        <w:numPr>
          <w:ilvl w:val="1"/>
          <w:numId w:val="10"/>
        </w:numPr>
        <w:spacing w:after="480"/>
        <w:rPr>
          <w:rFonts w:ascii="Arial" w:hAnsi="Arial" w:cs="Arial"/>
          <w:b/>
          <w:sz w:val="24"/>
          <w:szCs w:val="24"/>
        </w:rPr>
      </w:pPr>
      <w:r>
        <w:rPr>
          <w:rFonts w:ascii="Arial" w:hAnsi="Arial" w:cs="Arial"/>
          <w:b/>
          <w:sz w:val="24"/>
          <w:szCs w:val="24"/>
        </w:rPr>
        <w:t xml:space="preserve"> </w:t>
      </w:r>
      <w:bookmarkStart w:id="54" w:name="_Toc23723827"/>
      <w:bookmarkStart w:id="55" w:name="_Toc27578601"/>
      <w:r>
        <w:rPr>
          <w:rFonts w:ascii="Arial" w:hAnsi="Arial" w:cs="Arial"/>
          <w:b/>
          <w:sz w:val="24"/>
          <w:szCs w:val="24"/>
        </w:rPr>
        <w:t>Introduction</w:t>
      </w:r>
      <w:bookmarkEnd w:id="54"/>
      <w:bookmarkEnd w:id="55"/>
      <w:r>
        <w:rPr>
          <w:rFonts w:ascii="Arial" w:hAnsi="Arial" w:cs="Arial"/>
          <w:b/>
          <w:sz w:val="24"/>
          <w:szCs w:val="24"/>
        </w:rPr>
        <w:t xml:space="preserve"> </w:t>
      </w:r>
    </w:p>
    <w:p w14:paraId="1F64ADBD" w14:textId="482A5102" w:rsidR="00A412DA" w:rsidRDefault="00A412DA" w:rsidP="002759BB">
      <w:pPr>
        <w:spacing w:after="480" w:line="360" w:lineRule="auto"/>
        <w:ind w:firstLine="708"/>
        <w:jc w:val="both"/>
        <w:rPr>
          <w:rFonts w:ascii="Arial" w:hAnsi="Arial" w:cs="Arial"/>
        </w:rPr>
      </w:pPr>
      <w:r w:rsidRPr="00A412DA">
        <w:rPr>
          <w:rFonts w:ascii="Arial" w:hAnsi="Arial" w:cs="Arial"/>
        </w:rPr>
        <w:t xml:space="preserve">The </w:t>
      </w:r>
      <w:r w:rsidR="00D436AB">
        <w:rPr>
          <w:rFonts w:ascii="Arial" w:hAnsi="Arial" w:cs="Arial"/>
        </w:rPr>
        <w:t xml:space="preserve">detail of </w:t>
      </w:r>
      <w:r w:rsidRPr="00A412DA">
        <w:rPr>
          <w:rFonts w:ascii="Arial" w:hAnsi="Arial" w:cs="Arial"/>
        </w:rPr>
        <w:t xml:space="preserve">research methodology adopted in this research explained in this chapter. This research collected secondary data from a published total of 150 annual reports on Bursa Malaysia and companies' websites. Moreover, this study implemented a </w:t>
      </w:r>
      <w:r w:rsidR="005760B3" w:rsidRPr="00F06E62">
        <w:rPr>
          <w:rFonts w:ascii="Arial" w:hAnsi="Arial" w:cs="Arial"/>
        </w:rPr>
        <w:t xml:space="preserve">cross-tabulation method </w:t>
      </w:r>
      <w:r w:rsidRPr="00A412DA">
        <w:rPr>
          <w:rFonts w:ascii="Arial" w:hAnsi="Arial" w:cs="Arial"/>
        </w:rPr>
        <w:t xml:space="preserve">associative research design. </w:t>
      </w:r>
    </w:p>
    <w:p w14:paraId="74497B84" w14:textId="7F99A61A" w:rsidR="002759BB" w:rsidRDefault="00D436AB" w:rsidP="002759BB">
      <w:pPr>
        <w:spacing w:after="480" w:line="360" w:lineRule="auto"/>
        <w:ind w:firstLine="708"/>
        <w:jc w:val="both"/>
        <w:rPr>
          <w:rFonts w:ascii="Arial" w:hAnsi="Arial" w:cs="Arial"/>
        </w:rPr>
      </w:pPr>
      <w:r w:rsidRPr="00D436AB">
        <w:rPr>
          <w:rFonts w:ascii="Arial" w:hAnsi="Arial" w:cs="Arial"/>
        </w:rPr>
        <w:lastRenderedPageBreak/>
        <w:t>In section 3.2 is the research design of the study which is quantitative research had been conducted in this study. Section 3.3 is Population, Sample Selection and Sampling Procedure of this study. There are a total of 30 banks selected from the Malaysia banking industry which include 15 conventional banks and 15 Islamic banks. Since the data's validity and reliability are very important for the whole research's result, thus the importance of the Validity and Reliability Test had been introduced in section 3.4. Moreover, the way to collect and analyse the data was introduced in section 3.5.</w:t>
      </w:r>
    </w:p>
    <w:p w14:paraId="719B7E93" w14:textId="7617FBD2" w:rsidR="002759BB" w:rsidRPr="00851FB0" w:rsidRDefault="002759BB" w:rsidP="002759BB">
      <w:pPr>
        <w:pStyle w:val="Heading2"/>
        <w:numPr>
          <w:ilvl w:val="1"/>
          <w:numId w:val="10"/>
        </w:numPr>
        <w:spacing w:after="480"/>
        <w:rPr>
          <w:rFonts w:ascii="Arial" w:hAnsi="Arial" w:cs="Arial"/>
          <w:b/>
          <w:sz w:val="24"/>
          <w:szCs w:val="24"/>
        </w:rPr>
      </w:pPr>
      <w:bookmarkStart w:id="56" w:name="_Toc16729984"/>
      <w:bookmarkStart w:id="57" w:name="_Toc23329243"/>
      <w:bookmarkStart w:id="58" w:name="_Toc23723828"/>
      <w:bookmarkStart w:id="59" w:name="_Toc27578602"/>
      <w:r w:rsidRPr="00851FB0">
        <w:rPr>
          <w:rFonts w:ascii="Arial" w:hAnsi="Arial" w:cs="Arial"/>
          <w:b/>
          <w:sz w:val="24"/>
          <w:szCs w:val="24"/>
        </w:rPr>
        <w:t>Research Design</w:t>
      </w:r>
      <w:bookmarkEnd w:id="56"/>
      <w:bookmarkEnd w:id="57"/>
      <w:bookmarkEnd w:id="58"/>
      <w:bookmarkEnd w:id="59"/>
    </w:p>
    <w:p w14:paraId="7553B793" w14:textId="6FFE442D" w:rsidR="002759BB" w:rsidRDefault="00094497" w:rsidP="002759BB">
      <w:pPr>
        <w:spacing w:after="480" w:line="360" w:lineRule="auto"/>
        <w:ind w:firstLine="720"/>
        <w:jc w:val="both"/>
        <w:rPr>
          <w:rFonts w:ascii="Arial" w:hAnsi="Arial" w:cs="Arial"/>
        </w:rPr>
      </w:pPr>
      <w:r>
        <w:rPr>
          <w:rFonts w:ascii="Arial" w:hAnsi="Arial" w:cs="Arial"/>
        </w:rPr>
        <w:t xml:space="preserve">     </w:t>
      </w:r>
      <w:r w:rsidRPr="00094497">
        <w:rPr>
          <w:rFonts w:ascii="Arial" w:hAnsi="Arial" w:cs="Arial"/>
        </w:rPr>
        <w:t>A research design defines the study type which includes the Research Question, Hypotheses, Independent and Dependent Variables, and data collection methods and statistical analysis plan. In this chapter, the researcher design the framework in order to identify whatever there is no significant relationship that shows Islamic banks have better LRM compare to conventional banks in Malaysia.</w:t>
      </w:r>
    </w:p>
    <w:p w14:paraId="1C36AEAB" w14:textId="72833362" w:rsidR="002759BB" w:rsidRDefault="00D973FE" w:rsidP="002759BB">
      <w:pPr>
        <w:spacing w:after="480" w:line="360" w:lineRule="auto"/>
        <w:ind w:firstLine="720"/>
        <w:jc w:val="both"/>
        <w:rPr>
          <w:rFonts w:ascii="Arial" w:hAnsi="Arial" w:cs="Arial"/>
        </w:rPr>
      </w:pPr>
      <w:r w:rsidRPr="00D973FE">
        <w:rPr>
          <w:rFonts w:ascii="Arial" w:hAnsi="Arial" w:cs="Arial"/>
        </w:rPr>
        <w:t>This research</w:t>
      </w:r>
      <w:r w:rsidR="005760B3">
        <w:rPr>
          <w:rFonts w:ascii="Arial" w:hAnsi="Arial" w:cs="Arial"/>
        </w:rPr>
        <w:t xml:space="preserve"> </w:t>
      </w:r>
      <w:r w:rsidRPr="00D973FE">
        <w:rPr>
          <w:rFonts w:ascii="Arial" w:hAnsi="Arial" w:cs="Arial"/>
        </w:rPr>
        <w:t>use</w:t>
      </w:r>
      <w:r w:rsidR="005760B3">
        <w:rPr>
          <w:rFonts w:ascii="Arial" w:hAnsi="Arial" w:cs="Arial"/>
        </w:rPr>
        <w:t>d</w:t>
      </w:r>
      <w:r w:rsidRPr="00D973FE">
        <w:rPr>
          <w:rFonts w:ascii="Arial" w:hAnsi="Arial" w:cs="Arial"/>
        </w:rPr>
        <w:t xml:space="preserve"> quantitative research is conducted and this aims research to identify whatever there is no significant relationship that shows Islamic banks have better LRM compare to conventional banks in Malaysia. And this study collect</w:t>
      </w:r>
      <w:r w:rsidR="005760B3">
        <w:rPr>
          <w:rFonts w:ascii="Arial" w:hAnsi="Arial" w:cs="Arial"/>
        </w:rPr>
        <w:t>ed</w:t>
      </w:r>
      <w:r w:rsidRPr="00D973FE">
        <w:rPr>
          <w:rFonts w:ascii="Arial" w:hAnsi="Arial" w:cs="Arial"/>
        </w:rPr>
        <w:t xml:space="preserve"> the second data from Bursa Malaysia and the companies' website to get the annual report. The annual report of conventional and Islamic banks for the financial year 2014 to 2018. In the scope of the analysis, a total of </w:t>
      </w:r>
      <w:r w:rsidR="00C75A43">
        <w:rPr>
          <w:rFonts w:ascii="Arial" w:hAnsi="Arial" w:cs="Arial"/>
        </w:rPr>
        <w:t>3</w:t>
      </w:r>
      <w:r w:rsidRPr="00D973FE">
        <w:rPr>
          <w:rFonts w:ascii="Arial" w:hAnsi="Arial" w:cs="Arial"/>
        </w:rPr>
        <w:t>0 banks (1</w:t>
      </w:r>
      <w:r w:rsidR="00EB3037">
        <w:rPr>
          <w:rFonts w:ascii="Arial" w:hAnsi="Arial" w:cs="Arial"/>
        </w:rPr>
        <w:t>5</w:t>
      </w:r>
      <w:r w:rsidRPr="00D973FE">
        <w:rPr>
          <w:rFonts w:ascii="Arial" w:hAnsi="Arial" w:cs="Arial"/>
        </w:rPr>
        <w:t xml:space="preserve"> conventional and 1</w:t>
      </w:r>
      <w:r w:rsidR="00EB3037">
        <w:rPr>
          <w:rFonts w:ascii="Arial" w:hAnsi="Arial" w:cs="Arial"/>
        </w:rPr>
        <w:t>5</w:t>
      </w:r>
      <w:r w:rsidRPr="00D973FE">
        <w:rPr>
          <w:rFonts w:ascii="Arial" w:hAnsi="Arial" w:cs="Arial"/>
        </w:rPr>
        <w:t xml:space="preserve">  Islamic banks were used by using convenience sampling). Moreover, as mention in chapter 2 that this study will adopt IBM SPSS software, Excel, and financial ratio analysis as the tool to conduct the analysis between the variables.</w:t>
      </w:r>
    </w:p>
    <w:p w14:paraId="02CC5932" w14:textId="59E0BBEF" w:rsidR="002759BB" w:rsidRDefault="002759BB" w:rsidP="00703F1C">
      <w:pPr>
        <w:pStyle w:val="Heading3"/>
        <w:numPr>
          <w:ilvl w:val="1"/>
          <w:numId w:val="10"/>
        </w:numPr>
        <w:spacing w:after="480" w:line="259" w:lineRule="auto"/>
        <w:rPr>
          <w:rFonts w:ascii="Arial" w:hAnsi="Arial" w:cs="Arial"/>
          <w:b/>
        </w:rPr>
      </w:pPr>
      <w:bookmarkStart w:id="60" w:name="_Toc23723830"/>
      <w:bookmarkStart w:id="61" w:name="_Toc27578603"/>
      <w:r w:rsidRPr="00BF37F8">
        <w:rPr>
          <w:rFonts w:ascii="Arial" w:hAnsi="Arial" w:cs="Arial"/>
          <w:b/>
        </w:rPr>
        <w:lastRenderedPageBreak/>
        <w:t>Population</w:t>
      </w:r>
      <w:r>
        <w:rPr>
          <w:rFonts w:ascii="Arial" w:hAnsi="Arial" w:cs="Arial"/>
          <w:b/>
        </w:rPr>
        <w:t>, Sample Selection</w:t>
      </w:r>
      <w:r w:rsidRPr="00BF37F8">
        <w:rPr>
          <w:rFonts w:ascii="Arial" w:hAnsi="Arial" w:cs="Arial"/>
          <w:b/>
        </w:rPr>
        <w:t xml:space="preserve"> and Sampling Procedure</w:t>
      </w:r>
      <w:bookmarkEnd w:id="60"/>
      <w:bookmarkEnd w:id="61"/>
      <w:r w:rsidRPr="00BF37F8">
        <w:rPr>
          <w:rFonts w:ascii="Arial" w:hAnsi="Arial" w:cs="Arial"/>
          <w:b/>
        </w:rPr>
        <w:t xml:space="preserve"> </w:t>
      </w:r>
    </w:p>
    <w:p w14:paraId="51A6861A" w14:textId="7B2492D7" w:rsidR="00E46416" w:rsidRDefault="00703F1C" w:rsidP="00E46416">
      <w:pPr>
        <w:spacing w:after="480" w:line="360" w:lineRule="auto"/>
        <w:ind w:firstLine="708"/>
        <w:jc w:val="both"/>
        <w:rPr>
          <w:rFonts w:ascii="Arial" w:hAnsi="Arial" w:cs="Arial"/>
        </w:rPr>
      </w:pPr>
      <w:r w:rsidRPr="00703F1C">
        <w:rPr>
          <w:rFonts w:ascii="Arial" w:hAnsi="Arial" w:cs="Arial"/>
        </w:rPr>
        <w:t xml:space="preserve">This research is using a quantitative method and get the data for secondary data to conduct analysis. The sample of this research comprised </w:t>
      </w:r>
      <w:r w:rsidR="00EB3037">
        <w:rPr>
          <w:rFonts w:ascii="Arial" w:hAnsi="Arial" w:cs="Arial"/>
        </w:rPr>
        <w:t>15</w:t>
      </w:r>
      <w:r w:rsidRPr="00703F1C">
        <w:rPr>
          <w:rFonts w:ascii="Arial" w:hAnsi="Arial" w:cs="Arial"/>
        </w:rPr>
        <w:t xml:space="preserve"> conventional banks and 1</w:t>
      </w:r>
      <w:r w:rsidR="00EB3037">
        <w:rPr>
          <w:rFonts w:ascii="Arial" w:hAnsi="Arial" w:cs="Arial"/>
        </w:rPr>
        <w:t>5</w:t>
      </w:r>
      <w:r w:rsidRPr="00703F1C">
        <w:rPr>
          <w:rFonts w:ascii="Arial" w:hAnsi="Arial" w:cs="Arial"/>
        </w:rPr>
        <w:t xml:space="preserve"> Islamic banks in Malaysia</w:t>
      </w:r>
      <w:r w:rsidR="00282D1F" w:rsidRPr="00282D1F">
        <w:t xml:space="preserve"> </w:t>
      </w:r>
      <w:r w:rsidR="00282D1F" w:rsidRPr="00282D1F">
        <w:rPr>
          <w:rFonts w:ascii="Arial" w:hAnsi="Arial" w:cs="Arial"/>
        </w:rPr>
        <w:t>were used by using convenience sampling</w:t>
      </w:r>
      <w:r w:rsidRPr="00703F1C">
        <w:rPr>
          <w:rFonts w:ascii="Arial" w:hAnsi="Arial" w:cs="Arial"/>
        </w:rPr>
        <w:t xml:space="preserve">. The </w:t>
      </w:r>
      <w:r>
        <w:rPr>
          <w:rFonts w:ascii="Arial" w:hAnsi="Arial" w:cs="Arial"/>
        </w:rPr>
        <w:t xml:space="preserve">selected </w:t>
      </w:r>
      <w:r w:rsidRPr="00703F1C">
        <w:rPr>
          <w:rFonts w:ascii="Arial" w:hAnsi="Arial" w:cs="Arial"/>
        </w:rPr>
        <w:t>banks</w:t>
      </w:r>
      <w:r>
        <w:rPr>
          <w:rFonts w:ascii="Arial" w:hAnsi="Arial" w:cs="Arial"/>
        </w:rPr>
        <w:t xml:space="preserve"> </w:t>
      </w:r>
      <w:r w:rsidRPr="00703F1C">
        <w:rPr>
          <w:rFonts w:ascii="Arial" w:hAnsi="Arial" w:cs="Arial"/>
        </w:rPr>
        <w:t>can see as below table.</w:t>
      </w:r>
      <w:r w:rsidR="003C5CC7" w:rsidRPr="003C5CC7">
        <w:rPr>
          <w:rFonts w:ascii="Arial" w:hAnsi="Arial" w:cs="Arial"/>
        </w:rPr>
        <w:t xml:space="preserve"> </w:t>
      </w:r>
    </w:p>
    <w:p w14:paraId="030FE82C" w14:textId="45222935" w:rsidR="00E46416" w:rsidRPr="008F0B9E" w:rsidRDefault="00F70E5E" w:rsidP="00E46416">
      <w:pPr>
        <w:spacing w:after="480" w:line="360" w:lineRule="auto"/>
        <w:ind w:firstLine="708"/>
        <w:jc w:val="both"/>
        <w:rPr>
          <w:rFonts w:ascii="Arial" w:hAnsi="Arial" w:cs="Arial"/>
          <w:b/>
          <w:bCs/>
        </w:rPr>
      </w:pPr>
      <w:r>
        <w:rPr>
          <w:rFonts w:ascii="Arial" w:hAnsi="Arial" w:cs="Arial"/>
          <w:noProof/>
        </w:rPr>
        <w:drawing>
          <wp:anchor distT="0" distB="0" distL="114300" distR="114300" simplePos="0" relativeHeight="251668480" behindDoc="0" locked="0" layoutInCell="1" allowOverlap="1" wp14:anchorId="695A6E46" wp14:editId="11E05A11">
            <wp:simplePos x="0" y="0"/>
            <wp:positionH relativeFrom="column">
              <wp:posOffset>-233680</wp:posOffset>
            </wp:positionH>
            <wp:positionV relativeFrom="paragraph">
              <wp:posOffset>376555</wp:posOffset>
            </wp:positionV>
            <wp:extent cx="6266180" cy="4008755"/>
            <wp:effectExtent l="0" t="0" r="0" b="4445"/>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1 at 7.49.49 PM.png"/>
                    <pic:cNvPicPr/>
                  </pic:nvPicPr>
                  <pic:blipFill>
                    <a:blip r:embed="rId16">
                      <a:extLst>
                        <a:ext uri="{28A0092B-C50C-407E-A947-70E740481C1C}">
                          <a14:useLocalDpi xmlns:a14="http://schemas.microsoft.com/office/drawing/2010/main" val="0"/>
                        </a:ext>
                      </a:extLst>
                    </a:blip>
                    <a:stretch>
                      <a:fillRect/>
                    </a:stretch>
                  </pic:blipFill>
                  <pic:spPr>
                    <a:xfrm>
                      <a:off x="0" y="0"/>
                      <a:ext cx="6266180" cy="4008755"/>
                    </a:xfrm>
                    <a:prstGeom prst="rect">
                      <a:avLst/>
                    </a:prstGeom>
                  </pic:spPr>
                </pic:pic>
              </a:graphicData>
            </a:graphic>
            <wp14:sizeRelH relativeFrom="page">
              <wp14:pctWidth>0</wp14:pctWidth>
            </wp14:sizeRelH>
            <wp14:sizeRelV relativeFrom="page">
              <wp14:pctHeight>0</wp14:pctHeight>
            </wp14:sizeRelV>
          </wp:anchor>
        </w:drawing>
      </w:r>
      <w:r w:rsidR="00E46416" w:rsidRPr="008F0B9E">
        <w:rPr>
          <w:rFonts w:ascii="Arial" w:hAnsi="Arial" w:cs="Arial"/>
          <w:b/>
          <w:bCs/>
        </w:rPr>
        <w:t xml:space="preserve">Table 3.0: Selected Banks (Source: Bank Negara Malaysia, 2019) </w:t>
      </w:r>
    </w:p>
    <w:p w14:paraId="5F424008" w14:textId="77777777" w:rsidR="003C5CC7" w:rsidRDefault="003C5CC7" w:rsidP="00D436AB">
      <w:pPr>
        <w:spacing w:after="480" w:line="360" w:lineRule="auto"/>
        <w:jc w:val="both"/>
        <w:rPr>
          <w:rFonts w:ascii="Arial" w:hAnsi="Arial" w:cs="Arial"/>
        </w:rPr>
      </w:pPr>
    </w:p>
    <w:p w14:paraId="6A241984" w14:textId="4FA9AAEF" w:rsidR="002759BB" w:rsidRDefault="00282D1F" w:rsidP="00EB3037">
      <w:pPr>
        <w:spacing w:after="480" w:line="360" w:lineRule="auto"/>
        <w:ind w:firstLine="708"/>
        <w:jc w:val="both"/>
        <w:rPr>
          <w:rFonts w:ascii="Arial" w:hAnsi="Arial" w:cs="Arial"/>
        </w:rPr>
      </w:pPr>
      <w:r w:rsidRPr="00282D1F">
        <w:rPr>
          <w:rFonts w:ascii="Arial" w:hAnsi="Arial" w:cs="Arial"/>
        </w:rPr>
        <w:t xml:space="preserve">Moreover,  the data </w:t>
      </w:r>
      <w:r w:rsidR="005760B3">
        <w:rPr>
          <w:rFonts w:ascii="Arial" w:hAnsi="Arial" w:cs="Arial"/>
        </w:rPr>
        <w:t>got</w:t>
      </w:r>
      <w:r w:rsidRPr="00282D1F">
        <w:rPr>
          <w:rFonts w:ascii="Arial" w:hAnsi="Arial" w:cs="Arial"/>
        </w:rPr>
        <w:t xml:space="preserve"> from both conventional and Islamic banks' annual reports for the financial years 2014 to 2018. The </w:t>
      </w:r>
      <w:r w:rsidR="00B24468">
        <w:rPr>
          <w:rFonts w:ascii="Arial" w:hAnsi="Arial" w:cs="Arial"/>
        </w:rPr>
        <w:t>1</w:t>
      </w:r>
      <w:r w:rsidR="00EB3037">
        <w:rPr>
          <w:rFonts w:ascii="Arial" w:hAnsi="Arial" w:cs="Arial"/>
        </w:rPr>
        <w:t>5</w:t>
      </w:r>
      <w:r w:rsidRPr="00282D1F">
        <w:rPr>
          <w:rFonts w:ascii="Arial" w:hAnsi="Arial" w:cs="Arial"/>
        </w:rPr>
        <w:t xml:space="preserve"> conventional and </w:t>
      </w:r>
      <w:r w:rsidR="00B24468">
        <w:rPr>
          <w:rFonts w:ascii="Arial" w:hAnsi="Arial" w:cs="Arial"/>
        </w:rPr>
        <w:t>1</w:t>
      </w:r>
      <w:r w:rsidR="00EB3037">
        <w:rPr>
          <w:rFonts w:ascii="Arial" w:hAnsi="Arial" w:cs="Arial"/>
        </w:rPr>
        <w:t>5</w:t>
      </w:r>
      <w:r w:rsidR="00B24468">
        <w:rPr>
          <w:rFonts w:ascii="Arial" w:hAnsi="Arial" w:cs="Arial"/>
        </w:rPr>
        <w:t xml:space="preserve"> </w:t>
      </w:r>
      <w:r w:rsidRPr="00282D1F">
        <w:rPr>
          <w:rFonts w:ascii="Arial" w:hAnsi="Arial" w:cs="Arial"/>
        </w:rPr>
        <w:t>Islamic banks which consist of financial statements are selected as the final samples. And the total 1</w:t>
      </w:r>
      <w:r w:rsidR="00EB3037">
        <w:rPr>
          <w:rFonts w:ascii="Arial" w:hAnsi="Arial" w:cs="Arial"/>
        </w:rPr>
        <w:t>5</w:t>
      </w:r>
      <w:r w:rsidRPr="00282D1F">
        <w:rPr>
          <w:rFonts w:ascii="Arial" w:hAnsi="Arial" w:cs="Arial"/>
        </w:rPr>
        <w:t>0 reports for analysing these data</w:t>
      </w:r>
      <w:r>
        <w:rPr>
          <w:rFonts w:ascii="Arial" w:hAnsi="Arial" w:cs="Arial"/>
        </w:rPr>
        <w:t xml:space="preserve">. </w:t>
      </w:r>
    </w:p>
    <w:p w14:paraId="2415F2A4" w14:textId="77777777" w:rsidR="002759BB" w:rsidRPr="00742593" w:rsidRDefault="002759BB" w:rsidP="00703F1C">
      <w:pPr>
        <w:pStyle w:val="Heading2"/>
        <w:numPr>
          <w:ilvl w:val="1"/>
          <w:numId w:val="10"/>
        </w:numPr>
        <w:spacing w:after="480"/>
        <w:jc w:val="both"/>
        <w:rPr>
          <w:rFonts w:ascii="Arial" w:hAnsi="Arial" w:cs="Arial"/>
          <w:b/>
          <w:sz w:val="24"/>
          <w:szCs w:val="24"/>
        </w:rPr>
      </w:pPr>
      <w:bookmarkStart w:id="62" w:name="_Toc23723837"/>
      <w:bookmarkStart w:id="63" w:name="_Toc27578604"/>
      <w:bookmarkStart w:id="64" w:name="_Toc16729986"/>
      <w:bookmarkStart w:id="65" w:name="_Toc23329245"/>
      <w:r w:rsidRPr="00742593">
        <w:rPr>
          <w:rFonts w:ascii="Arial" w:hAnsi="Arial" w:cs="Arial"/>
          <w:b/>
          <w:sz w:val="24"/>
          <w:szCs w:val="24"/>
        </w:rPr>
        <w:lastRenderedPageBreak/>
        <w:t>Validity and Reliability Test</w:t>
      </w:r>
      <w:bookmarkEnd w:id="62"/>
      <w:bookmarkEnd w:id="63"/>
      <w:r w:rsidRPr="00742593">
        <w:rPr>
          <w:rFonts w:ascii="Arial" w:hAnsi="Arial" w:cs="Arial"/>
          <w:b/>
          <w:sz w:val="24"/>
          <w:szCs w:val="24"/>
        </w:rPr>
        <w:t xml:space="preserve"> </w:t>
      </w:r>
      <w:bookmarkEnd w:id="64"/>
      <w:bookmarkEnd w:id="65"/>
    </w:p>
    <w:p w14:paraId="057657DF" w14:textId="2D0006C6" w:rsidR="00D44F32" w:rsidRPr="00851FB0" w:rsidRDefault="005C604D" w:rsidP="00D44F32">
      <w:pPr>
        <w:spacing w:after="480" w:line="360" w:lineRule="auto"/>
        <w:ind w:firstLine="720"/>
        <w:jc w:val="both"/>
        <w:rPr>
          <w:rFonts w:ascii="Arial" w:hAnsi="Arial" w:cs="Arial"/>
        </w:rPr>
      </w:pPr>
      <w:r w:rsidRPr="005C604D">
        <w:rPr>
          <w:rFonts w:ascii="Arial" w:hAnsi="Arial" w:cs="Arial"/>
        </w:rPr>
        <w:t>Business research's data collection process the validity and reliability tests are important. It likes we would not use a math test to assess language ability, thus we have to use the right measuring devices to conduct the data analysis. However, we rely on the results to prove the support or lack of support for our theory. If the data collection method is wrong, then the data we analyse also be wrong</w:t>
      </w:r>
      <w:r>
        <w:rPr>
          <w:rFonts w:ascii="Arial" w:hAnsi="Arial" w:cs="Arial"/>
        </w:rPr>
        <w:t xml:space="preserve"> </w:t>
      </w:r>
      <w:r w:rsidRPr="005C604D">
        <w:rPr>
          <w:rFonts w:ascii="Arial" w:hAnsi="Arial" w:cs="Arial"/>
        </w:rPr>
        <w:t>(</w:t>
      </w:r>
      <w:proofErr w:type="spellStart"/>
      <w:r w:rsidRPr="005C604D">
        <w:rPr>
          <w:rFonts w:ascii="Arial" w:hAnsi="Arial" w:cs="Arial"/>
        </w:rPr>
        <w:t>Walliman</w:t>
      </w:r>
      <w:proofErr w:type="spellEnd"/>
      <w:r w:rsidRPr="005C604D">
        <w:rPr>
          <w:rFonts w:ascii="Arial" w:hAnsi="Arial" w:cs="Arial"/>
        </w:rPr>
        <w:t>, 2011).</w:t>
      </w:r>
      <w:r>
        <w:rPr>
          <w:rFonts w:ascii="Arial" w:hAnsi="Arial" w:cs="Arial"/>
        </w:rPr>
        <w:t xml:space="preserve"> </w:t>
      </w:r>
      <w:r w:rsidRPr="005C604D">
        <w:rPr>
          <w:rFonts w:ascii="Arial" w:hAnsi="Arial" w:cs="Arial"/>
        </w:rPr>
        <w:t>However, SPSS as the tools to help the researcher conduct the validity and reliability test of this study</w:t>
      </w:r>
      <w:r>
        <w:rPr>
          <w:rFonts w:ascii="Arial" w:hAnsi="Arial" w:cs="Arial"/>
        </w:rPr>
        <w:t>.</w:t>
      </w:r>
      <w:r w:rsidR="002759BB">
        <w:rPr>
          <w:rFonts w:ascii="Arial" w:hAnsi="Arial" w:cs="Arial"/>
        </w:rPr>
        <w:t xml:space="preserve">  </w:t>
      </w:r>
    </w:p>
    <w:p w14:paraId="681D89C2" w14:textId="2ED4B8F0" w:rsidR="002759BB" w:rsidRDefault="002759BB" w:rsidP="00703F1C">
      <w:pPr>
        <w:pStyle w:val="Heading2"/>
        <w:numPr>
          <w:ilvl w:val="1"/>
          <w:numId w:val="10"/>
        </w:numPr>
        <w:spacing w:after="480"/>
        <w:jc w:val="both"/>
        <w:rPr>
          <w:rFonts w:ascii="Arial" w:hAnsi="Arial" w:cs="Arial"/>
          <w:b/>
          <w:sz w:val="24"/>
          <w:szCs w:val="24"/>
        </w:rPr>
      </w:pPr>
      <w:bookmarkStart w:id="66" w:name="_Toc16729988"/>
      <w:bookmarkStart w:id="67" w:name="_Toc23329247"/>
      <w:bookmarkStart w:id="68" w:name="_Toc23723838"/>
      <w:bookmarkStart w:id="69" w:name="_Toc27578605"/>
      <w:r w:rsidRPr="00D40E87">
        <w:rPr>
          <w:rFonts w:ascii="Arial" w:hAnsi="Arial" w:cs="Arial"/>
          <w:b/>
          <w:sz w:val="24"/>
          <w:szCs w:val="24"/>
        </w:rPr>
        <w:t>Data Collection and Analysis</w:t>
      </w:r>
      <w:bookmarkEnd w:id="66"/>
      <w:bookmarkEnd w:id="67"/>
      <w:bookmarkEnd w:id="68"/>
      <w:bookmarkEnd w:id="69"/>
    </w:p>
    <w:p w14:paraId="503ABA02" w14:textId="73D27C79" w:rsidR="002759BB" w:rsidRPr="00430E77" w:rsidRDefault="002759BB" w:rsidP="00703F1C">
      <w:pPr>
        <w:pStyle w:val="Heading3"/>
        <w:numPr>
          <w:ilvl w:val="2"/>
          <w:numId w:val="10"/>
        </w:numPr>
        <w:spacing w:after="480" w:line="259" w:lineRule="auto"/>
        <w:rPr>
          <w:rFonts w:ascii="Arial" w:hAnsi="Arial" w:cs="Arial"/>
          <w:b/>
        </w:rPr>
      </w:pPr>
      <w:bookmarkStart w:id="70" w:name="_Toc23723839"/>
      <w:bookmarkStart w:id="71" w:name="_Toc27578606"/>
      <w:r>
        <w:rPr>
          <w:rFonts w:ascii="Arial" w:hAnsi="Arial" w:cs="Arial"/>
          <w:b/>
        </w:rPr>
        <w:t>Data Collection</w:t>
      </w:r>
      <w:bookmarkEnd w:id="70"/>
      <w:bookmarkEnd w:id="71"/>
    </w:p>
    <w:p w14:paraId="77FEB318" w14:textId="7FFE2B68" w:rsidR="002759BB" w:rsidRDefault="00E67105" w:rsidP="002759BB">
      <w:pPr>
        <w:spacing w:after="480" w:line="360" w:lineRule="auto"/>
        <w:ind w:firstLine="720"/>
        <w:jc w:val="both"/>
        <w:rPr>
          <w:rFonts w:ascii="Arial" w:hAnsi="Arial" w:cs="Arial"/>
        </w:rPr>
      </w:pPr>
      <w:r w:rsidRPr="00E67105">
        <w:rPr>
          <w:rFonts w:ascii="Arial" w:hAnsi="Arial" w:cs="Arial"/>
        </w:rPr>
        <w:t>Data collection is a process of collecting and measuring information about variables in a systematic way, which enables people to answer stated test hypotheses, research questions, and evaluate results(Syed Muhammad Sajjad, 2016). Data Collection Methods can see as f</w:t>
      </w:r>
      <w:r>
        <w:rPr>
          <w:rFonts w:ascii="Arial" w:hAnsi="Arial" w:cs="Arial"/>
        </w:rPr>
        <w:t>i</w:t>
      </w:r>
      <w:r w:rsidRPr="00E67105">
        <w:rPr>
          <w:rFonts w:ascii="Arial" w:hAnsi="Arial" w:cs="Arial"/>
        </w:rPr>
        <w:t>gure</w:t>
      </w:r>
      <w:r w:rsidR="00C75A43">
        <w:rPr>
          <w:rFonts w:ascii="Arial" w:hAnsi="Arial" w:cs="Arial"/>
        </w:rPr>
        <w:t xml:space="preserve"> 3.0</w:t>
      </w:r>
      <w:r w:rsidRPr="00E67105">
        <w:rPr>
          <w:rFonts w:ascii="Arial" w:hAnsi="Arial" w:cs="Arial"/>
        </w:rPr>
        <w:t>.</w:t>
      </w:r>
    </w:p>
    <w:p w14:paraId="37D199DC" w14:textId="7DDE631C" w:rsidR="00E67105" w:rsidRPr="008F0B9E" w:rsidRDefault="00E46416" w:rsidP="008F0B9E">
      <w:pPr>
        <w:spacing w:after="480" w:line="360" w:lineRule="auto"/>
        <w:jc w:val="center"/>
        <w:rPr>
          <w:rFonts w:ascii="Arial" w:hAnsi="Arial" w:cs="Arial"/>
          <w:b/>
          <w:bCs/>
        </w:rPr>
      </w:pPr>
      <w:r w:rsidRPr="008F0B9E">
        <w:rPr>
          <w:rFonts w:ascii="Arial" w:hAnsi="Arial" w:cs="Arial"/>
          <w:b/>
          <w:bCs/>
          <w:noProof/>
        </w:rPr>
        <w:lastRenderedPageBreak/>
        <w:drawing>
          <wp:anchor distT="0" distB="0" distL="114300" distR="114300" simplePos="0" relativeHeight="251663360" behindDoc="0" locked="0" layoutInCell="1" allowOverlap="1" wp14:anchorId="206DDF24" wp14:editId="719B3E18">
            <wp:simplePos x="0" y="0"/>
            <wp:positionH relativeFrom="column">
              <wp:posOffset>-191770</wp:posOffset>
            </wp:positionH>
            <wp:positionV relativeFrom="paragraph">
              <wp:posOffset>380365</wp:posOffset>
            </wp:positionV>
            <wp:extent cx="5587365" cy="354838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1-30 at 7.36.42 PM.png"/>
                    <pic:cNvPicPr/>
                  </pic:nvPicPr>
                  <pic:blipFill>
                    <a:blip r:embed="rId17">
                      <a:extLst>
                        <a:ext uri="{28A0092B-C50C-407E-A947-70E740481C1C}">
                          <a14:useLocalDpi xmlns:a14="http://schemas.microsoft.com/office/drawing/2010/main" val="0"/>
                        </a:ext>
                      </a:extLst>
                    </a:blip>
                    <a:stretch>
                      <a:fillRect/>
                    </a:stretch>
                  </pic:blipFill>
                  <pic:spPr>
                    <a:xfrm>
                      <a:off x="0" y="0"/>
                      <a:ext cx="5587365" cy="3548380"/>
                    </a:xfrm>
                    <a:prstGeom prst="rect">
                      <a:avLst/>
                    </a:prstGeom>
                  </pic:spPr>
                </pic:pic>
              </a:graphicData>
            </a:graphic>
            <wp14:sizeRelH relativeFrom="page">
              <wp14:pctWidth>0</wp14:pctWidth>
            </wp14:sizeRelH>
            <wp14:sizeRelV relativeFrom="page">
              <wp14:pctHeight>0</wp14:pctHeight>
            </wp14:sizeRelV>
          </wp:anchor>
        </w:drawing>
      </w:r>
      <w:r w:rsidR="00E67105" w:rsidRPr="008F0B9E">
        <w:rPr>
          <w:rFonts w:ascii="Arial" w:hAnsi="Arial" w:cs="Arial"/>
          <w:b/>
          <w:bCs/>
        </w:rPr>
        <w:t xml:space="preserve">Figure </w:t>
      </w:r>
      <w:r w:rsidRPr="008F0B9E">
        <w:rPr>
          <w:rFonts w:ascii="Arial" w:hAnsi="Arial" w:cs="Arial"/>
          <w:b/>
          <w:bCs/>
        </w:rPr>
        <w:t>3.0</w:t>
      </w:r>
      <w:r w:rsidR="00E67105" w:rsidRPr="008F0B9E">
        <w:rPr>
          <w:rFonts w:ascii="Arial" w:hAnsi="Arial" w:cs="Arial"/>
          <w:b/>
          <w:bCs/>
        </w:rPr>
        <w:t>: Sources of Data</w:t>
      </w:r>
      <w:r w:rsidR="00C75A43">
        <w:rPr>
          <w:rFonts w:ascii="Arial" w:hAnsi="Arial" w:cs="Arial"/>
          <w:b/>
          <w:bCs/>
        </w:rPr>
        <w:t xml:space="preserve"> </w:t>
      </w:r>
      <w:r w:rsidR="00E67105" w:rsidRPr="008F0B9E">
        <w:rPr>
          <w:rFonts w:ascii="Arial" w:hAnsi="Arial" w:cs="Arial"/>
          <w:b/>
          <w:bCs/>
        </w:rPr>
        <w:t>(Source: Devrshi,2017)</w:t>
      </w:r>
    </w:p>
    <w:p w14:paraId="0D3764C1" w14:textId="0D69B5AD" w:rsidR="00D44F32" w:rsidRDefault="00F728A7" w:rsidP="00376A99">
      <w:pPr>
        <w:spacing w:after="480" w:line="360" w:lineRule="auto"/>
        <w:jc w:val="both"/>
        <w:rPr>
          <w:rFonts w:ascii="Arial" w:hAnsi="Arial" w:cs="Arial"/>
        </w:rPr>
      </w:pPr>
      <w:r>
        <w:rPr>
          <w:rFonts w:ascii="Arial" w:hAnsi="Arial" w:cs="Arial"/>
        </w:rPr>
        <w:t>However, this study will adopt the secondary methods to collect the data. It through both conventional and Islamic banks’ annual report financial statement from 2014 to 2019. Moreover, this study also will get the journals and data support from google scholar and the banks’ website.</w:t>
      </w:r>
    </w:p>
    <w:p w14:paraId="01298DCB" w14:textId="77777777" w:rsidR="002759BB" w:rsidRPr="00430E77" w:rsidRDefault="002759BB" w:rsidP="00703F1C">
      <w:pPr>
        <w:pStyle w:val="Heading3"/>
        <w:numPr>
          <w:ilvl w:val="2"/>
          <w:numId w:val="10"/>
        </w:numPr>
        <w:spacing w:after="480" w:line="259" w:lineRule="auto"/>
        <w:rPr>
          <w:rFonts w:ascii="Arial" w:hAnsi="Arial" w:cs="Arial"/>
          <w:b/>
        </w:rPr>
      </w:pPr>
      <w:bookmarkStart w:id="72" w:name="_Toc23723840"/>
      <w:bookmarkStart w:id="73" w:name="_Toc27578607"/>
      <w:r>
        <w:rPr>
          <w:rFonts w:ascii="Arial" w:hAnsi="Arial" w:cs="Arial"/>
          <w:b/>
        </w:rPr>
        <w:t>Data Analysis</w:t>
      </w:r>
      <w:bookmarkEnd w:id="72"/>
      <w:bookmarkEnd w:id="73"/>
    </w:p>
    <w:p w14:paraId="566204E9" w14:textId="6BD8F93C" w:rsidR="00F06E62" w:rsidRDefault="005B3D14" w:rsidP="00771ED7">
      <w:pPr>
        <w:spacing w:after="480" w:line="360" w:lineRule="auto"/>
        <w:jc w:val="both"/>
        <w:rPr>
          <w:rFonts w:ascii="Arial" w:hAnsi="Arial" w:cs="Arial"/>
        </w:rPr>
      </w:pPr>
      <w:r>
        <w:rPr>
          <w:rFonts w:ascii="Arial" w:hAnsi="Arial" w:cs="Arial"/>
        </w:rPr>
        <w:t xml:space="preserve">            </w:t>
      </w:r>
      <w:r w:rsidRPr="005B3D14">
        <w:rPr>
          <w:rFonts w:ascii="Arial" w:hAnsi="Arial" w:cs="Arial"/>
        </w:rPr>
        <w:t xml:space="preserve">Data analysis as a major part of the research process. The steps in data analysis of this research which can see as below Figure 3.  The first step is data preparation. In this step, the researcher will convert raw data into something readable and meaningful through Excel.  The next step is Data Validation which to ensures data integrity is an accurate of research results is an important part of this research. The third step and the last steps are Data Editing and Data Coding of data </w:t>
      </w:r>
      <w:r w:rsidR="00C75A43" w:rsidRPr="005B3D14">
        <w:rPr>
          <w:rFonts w:ascii="Arial" w:hAnsi="Arial" w:cs="Arial"/>
        </w:rPr>
        <w:t>analysing</w:t>
      </w:r>
      <w:r w:rsidRPr="005B3D14">
        <w:rPr>
          <w:rFonts w:ascii="Arial" w:hAnsi="Arial" w:cs="Arial"/>
        </w:rPr>
        <w:t xml:space="preserve"> will be conducted by SPSS.</w:t>
      </w:r>
    </w:p>
    <w:p w14:paraId="7D9F8F96" w14:textId="45FB8C46" w:rsidR="00E46416" w:rsidRPr="008F0B9E" w:rsidRDefault="00E46416" w:rsidP="008F0B9E">
      <w:pPr>
        <w:spacing w:after="480" w:line="360" w:lineRule="auto"/>
        <w:ind w:firstLine="720"/>
        <w:jc w:val="center"/>
        <w:rPr>
          <w:rFonts w:ascii="Arial" w:hAnsi="Arial" w:cs="Arial"/>
          <w:b/>
          <w:bCs/>
        </w:rPr>
      </w:pPr>
      <w:r w:rsidRPr="008F0B9E">
        <w:rPr>
          <w:b/>
          <w:bCs/>
          <w:noProof/>
        </w:rPr>
        <w:lastRenderedPageBreak/>
        <w:drawing>
          <wp:anchor distT="0" distB="0" distL="114300" distR="114300" simplePos="0" relativeHeight="251665408" behindDoc="0" locked="0" layoutInCell="1" allowOverlap="1" wp14:anchorId="08189084" wp14:editId="0D2C09D4">
            <wp:simplePos x="0" y="0"/>
            <wp:positionH relativeFrom="column">
              <wp:posOffset>-132080</wp:posOffset>
            </wp:positionH>
            <wp:positionV relativeFrom="paragraph">
              <wp:posOffset>279781</wp:posOffset>
            </wp:positionV>
            <wp:extent cx="5493293" cy="3602990"/>
            <wp:effectExtent l="0" t="0" r="635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10-23 at 7.44.55 PM.png"/>
                    <pic:cNvPicPr/>
                  </pic:nvPicPr>
                  <pic:blipFill>
                    <a:blip r:embed="rId18">
                      <a:extLst>
                        <a:ext uri="{28A0092B-C50C-407E-A947-70E740481C1C}">
                          <a14:useLocalDpi xmlns:a14="http://schemas.microsoft.com/office/drawing/2010/main" val="0"/>
                        </a:ext>
                      </a:extLst>
                    </a:blip>
                    <a:stretch>
                      <a:fillRect/>
                    </a:stretch>
                  </pic:blipFill>
                  <pic:spPr>
                    <a:xfrm>
                      <a:off x="0" y="0"/>
                      <a:ext cx="5493293" cy="3602990"/>
                    </a:xfrm>
                    <a:prstGeom prst="rect">
                      <a:avLst/>
                    </a:prstGeom>
                  </pic:spPr>
                </pic:pic>
              </a:graphicData>
            </a:graphic>
            <wp14:sizeRelH relativeFrom="page">
              <wp14:pctWidth>0</wp14:pctWidth>
            </wp14:sizeRelH>
            <wp14:sizeRelV relativeFrom="page">
              <wp14:pctHeight>0</wp14:pctHeight>
            </wp14:sizeRelV>
          </wp:anchor>
        </w:drawing>
      </w:r>
      <w:r w:rsidRPr="008F0B9E">
        <w:rPr>
          <w:rFonts w:ascii="Arial" w:hAnsi="Arial" w:cs="Arial"/>
          <w:b/>
          <w:bCs/>
        </w:rPr>
        <w:t xml:space="preserve">Figure 3.1: Steps of Data Analysis  </w:t>
      </w:r>
      <w:r w:rsidR="007D770C">
        <w:rPr>
          <w:rFonts w:ascii="Arial" w:hAnsi="Arial" w:cs="Arial"/>
          <w:b/>
          <w:bCs/>
        </w:rPr>
        <w:t>(</w:t>
      </w:r>
      <w:r w:rsidRPr="008F0B9E">
        <w:rPr>
          <w:rFonts w:ascii="Arial" w:hAnsi="Arial" w:cs="Arial"/>
          <w:b/>
          <w:bCs/>
        </w:rPr>
        <w:t>Source:Bhatia</w:t>
      </w:r>
      <w:r w:rsidRPr="008F0B9E">
        <w:rPr>
          <w:rFonts w:ascii="Arial" w:hAnsi="Arial" w:cs="Arial" w:hint="eastAsia"/>
          <w:b/>
          <w:bCs/>
        </w:rPr>
        <w:t>,</w:t>
      </w:r>
      <w:r w:rsidRPr="008F0B9E">
        <w:rPr>
          <w:rFonts w:ascii="Arial" w:hAnsi="Arial" w:cs="Arial"/>
          <w:b/>
          <w:bCs/>
        </w:rPr>
        <w:t>2018)</w:t>
      </w:r>
    </w:p>
    <w:p w14:paraId="4B545722" w14:textId="3D95F1E1" w:rsidR="00E46416" w:rsidRPr="00771ED7" w:rsidRDefault="00E46416" w:rsidP="00771ED7">
      <w:pPr>
        <w:spacing w:after="480" w:line="360" w:lineRule="auto"/>
        <w:jc w:val="both"/>
        <w:rPr>
          <w:rFonts w:ascii="Arial" w:hAnsi="Arial" w:cs="Arial"/>
        </w:rPr>
      </w:pPr>
    </w:p>
    <w:p w14:paraId="4541D3D6" w14:textId="699C4AB7" w:rsidR="00282D1F" w:rsidRDefault="00F06E62" w:rsidP="00052EC8">
      <w:pPr>
        <w:spacing w:after="480" w:line="360" w:lineRule="auto"/>
        <w:jc w:val="both"/>
        <w:rPr>
          <w:rFonts w:ascii="Arial" w:hAnsi="Arial" w:cs="Arial"/>
        </w:rPr>
      </w:pPr>
      <w:r>
        <w:rPr>
          <w:rFonts w:ascii="Arial" w:hAnsi="Arial" w:cs="Arial"/>
        </w:rPr>
        <w:t xml:space="preserve">       </w:t>
      </w:r>
      <w:r w:rsidRPr="00F06E62">
        <w:rPr>
          <w:rFonts w:ascii="Arial" w:hAnsi="Arial" w:cs="Arial"/>
        </w:rPr>
        <w:t>Finally, this study adopt</w:t>
      </w:r>
      <w:r w:rsidR="005760B3">
        <w:rPr>
          <w:rFonts w:ascii="Arial" w:hAnsi="Arial" w:cs="Arial"/>
        </w:rPr>
        <w:t>ed</w:t>
      </w:r>
      <w:r w:rsidRPr="00F06E62">
        <w:rPr>
          <w:rFonts w:ascii="Arial" w:hAnsi="Arial" w:cs="Arial"/>
        </w:rPr>
        <w:t xml:space="preserve"> the cross-tabulation methods to conduct data analysis. Cross-tabulation is the most widely used quantitative data analysis method. This is the preferred method because it uses the basic tabular form to infer between different data sets in the study. It can analyse the correlation between multiple variables (</w:t>
      </w:r>
      <w:proofErr w:type="spellStart"/>
      <w:r w:rsidRPr="00F06E62">
        <w:rPr>
          <w:rFonts w:ascii="Arial" w:hAnsi="Arial" w:cs="Arial"/>
        </w:rPr>
        <w:t>Aprameya</w:t>
      </w:r>
      <w:proofErr w:type="spellEnd"/>
      <w:r w:rsidRPr="00F06E62">
        <w:rPr>
          <w:rFonts w:ascii="Arial" w:hAnsi="Arial" w:cs="Arial"/>
        </w:rPr>
        <w:t>, 2019). Excel and SPSS as the main soft tools to conduct this analysis.</w:t>
      </w:r>
    </w:p>
    <w:p w14:paraId="59A75647" w14:textId="03A5BB90" w:rsidR="00BF11E4" w:rsidRDefault="00BF11E4" w:rsidP="00052EC8">
      <w:pPr>
        <w:spacing w:after="480" w:line="360" w:lineRule="auto"/>
        <w:jc w:val="both"/>
        <w:rPr>
          <w:rFonts w:ascii="Arial" w:hAnsi="Arial" w:cs="Arial"/>
        </w:rPr>
      </w:pPr>
    </w:p>
    <w:p w14:paraId="081927A8" w14:textId="478B3AE9" w:rsidR="00BF11E4" w:rsidRDefault="00BF11E4" w:rsidP="00052EC8">
      <w:pPr>
        <w:spacing w:after="480" w:line="360" w:lineRule="auto"/>
        <w:jc w:val="both"/>
        <w:rPr>
          <w:rFonts w:ascii="Arial" w:hAnsi="Arial" w:cs="Arial"/>
        </w:rPr>
      </w:pPr>
    </w:p>
    <w:p w14:paraId="435FE2C6" w14:textId="2B6B5A82" w:rsidR="00BF11E4" w:rsidRDefault="00BF11E4" w:rsidP="00052EC8">
      <w:pPr>
        <w:spacing w:after="480" w:line="360" w:lineRule="auto"/>
        <w:jc w:val="both"/>
        <w:rPr>
          <w:rFonts w:ascii="Arial" w:hAnsi="Arial" w:cs="Arial"/>
        </w:rPr>
      </w:pPr>
    </w:p>
    <w:p w14:paraId="7F1BD309" w14:textId="7AD7AC5D" w:rsidR="008C00D5" w:rsidRDefault="008C00D5" w:rsidP="00335E20"/>
    <w:p w14:paraId="706AD661" w14:textId="3A1F5A6D" w:rsidR="00771ED7" w:rsidRPr="00771ED7" w:rsidRDefault="00771ED7" w:rsidP="00771ED7">
      <w:pPr>
        <w:pStyle w:val="Heading1"/>
        <w:spacing w:after="480"/>
        <w:ind w:left="142"/>
        <w:jc w:val="center"/>
        <w:rPr>
          <w:rFonts w:ascii="Arial" w:hAnsi="Arial" w:cs="Arial"/>
          <w:b/>
          <w:sz w:val="24"/>
          <w:lang w:val="en-US"/>
        </w:rPr>
      </w:pPr>
      <w:bookmarkStart w:id="74" w:name="_Toc27578608"/>
      <w:r>
        <w:rPr>
          <w:rFonts w:ascii="Arial" w:hAnsi="Arial" w:cs="Arial"/>
          <w:b/>
          <w:sz w:val="24"/>
        </w:rPr>
        <w:lastRenderedPageBreak/>
        <w:t>Chapter 4 Findings and Discussion</w:t>
      </w:r>
      <w:bookmarkEnd w:id="74"/>
    </w:p>
    <w:p w14:paraId="3C134438" w14:textId="0761FD67" w:rsidR="00771ED7" w:rsidRDefault="00771ED7" w:rsidP="00771ED7">
      <w:pPr>
        <w:pStyle w:val="Heading2"/>
        <w:spacing w:after="480"/>
        <w:ind w:left="708"/>
        <w:rPr>
          <w:rFonts w:ascii="Arial" w:hAnsi="Arial" w:cs="Arial"/>
          <w:b/>
          <w:sz w:val="24"/>
          <w:szCs w:val="24"/>
        </w:rPr>
      </w:pPr>
      <w:bookmarkStart w:id="75" w:name="_Toc27578609"/>
      <w:r>
        <w:rPr>
          <w:rFonts w:ascii="Arial" w:hAnsi="Arial" w:cs="Arial"/>
          <w:b/>
          <w:sz w:val="24"/>
          <w:szCs w:val="24"/>
        </w:rPr>
        <w:t>4.1 Introduction</w:t>
      </w:r>
      <w:bookmarkEnd w:id="75"/>
      <w:r>
        <w:rPr>
          <w:rFonts w:ascii="Arial" w:hAnsi="Arial" w:cs="Arial"/>
          <w:b/>
          <w:sz w:val="24"/>
          <w:szCs w:val="24"/>
        </w:rPr>
        <w:t xml:space="preserve"> </w:t>
      </w:r>
    </w:p>
    <w:p w14:paraId="55431F86" w14:textId="494F09C7" w:rsidR="005F2D00" w:rsidRPr="005F2D00" w:rsidRDefault="00052EC8" w:rsidP="00052EC8">
      <w:pPr>
        <w:spacing w:line="360" w:lineRule="auto"/>
        <w:jc w:val="both"/>
        <w:rPr>
          <w:rFonts w:ascii="Arial" w:hAnsi="Arial" w:cs="Arial"/>
        </w:rPr>
      </w:pPr>
      <w:r>
        <w:rPr>
          <w:rFonts w:ascii="Arial" w:hAnsi="Arial" w:cs="Arial"/>
        </w:rPr>
        <w:t xml:space="preserve">      </w:t>
      </w:r>
      <w:r w:rsidR="008214DB" w:rsidRPr="008214DB">
        <w:rPr>
          <w:rFonts w:ascii="Arial" w:hAnsi="Arial" w:cs="Arial"/>
        </w:rPr>
        <w:t xml:space="preserve">No matter how important the researchers' findings are, they can only help knowledge and practice after others read and understand the conclusions. Thus, it is very important that the researcher translate raw data into reported findings in a format  by applying </w:t>
      </w:r>
      <w:proofErr w:type="spellStart"/>
      <w:r w:rsidR="008214DB" w:rsidRPr="008214DB">
        <w:rPr>
          <w:rFonts w:ascii="Arial" w:hAnsi="Arial" w:cs="Arial"/>
        </w:rPr>
        <w:t>a</w:t>
      </w:r>
      <w:proofErr w:type="spellEnd"/>
      <w:r w:rsidR="008214DB" w:rsidRPr="008214DB">
        <w:rPr>
          <w:rFonts w:ascii="Arial" w:hAnsi="Arial" w:cs="Arial"/>
        </w:rPr>
        <w:t xml:space="preserve"> appropriate analytical, and data visualization methods</w:t>
      </w:r>
      <w:r w:rsidR="006753B4" w:rsidRPr="006753B4">
        <w:t xml:space="preserve"> </w:t>
      </w:r>
      <w:r w:rsidR="006753B4" w:rsidRPr="006753B4">
        <w:rPr>
          <w:rFonts w:ascii="Arial" w:hAnsi="Arial" w:cs="Arial"/>
        </w:rPr>
        <w:t>(Susanna et al., 2017)</w:t>
      </w:r>
      <w:r w:rsidR="008214DB" w:rsidRPr="008214DB">
        <w:rPr>
          <w:rFonts w:ascii="Arial" w:hAnsi="Arial" w:cs="Arial"/>
        </w:rPr>
        <w:t xml:space="preserve">. </w:t>
      </w:r>
      <w:r w:rsidR="005F2D00" w:rsidRPr="005F2D00">
        <w:rPr>
          <w:rFonts w:ascii="Arial" w:hAnsi="Arial" w:cs="Arial"/>
        </w:rPr>
        <w:t xml:space="preserve">This chapter presents the results and findings of the quantitative data analysis. Based on the data collected from all 30 conventional and Islamic banks' annual reports that the researcher computing all the data into ratios through Microsoft. And these ratios include liquidity risk, ROA, bank size, and the deposit of each bank. After that, the ratios and figures will be </w:t>
      </w:r>
      <w:r w:rsidRPr="005F2D00">
        <w:rPr>
          <w:rFonts w:ascii="Arial" w:hAnsi="Arial" w:cs="Arial"/>
        </w:rPr>
        <w:t>analysed</w:t>
      </w:r>
      <w:r w:rsidR="005F2D00" w:rsidRPr="005F2D00">
        <w:rPr>
          <w:rFonts w:ascii="Arial" w:hAnsi="Arial" w:cs="Arial"/>
        </w:rPr>
        <w:t>. First of all, the reliability test has been conducted since the need to test all the data are valid or not. The following one is a descriptive analysis which is to have to understand the data minimizing and maximizing value, and mean. The next part is to test the correlation between independent variables and the dependent variable. It is to check the relationship between these variables. The last was linear multivariate regression analysis, the purpose was to examine whether the set of independent variables has any influence on the dependent variable(Abd Rahim, 2009). However, this analysis would provide findings and ultimately contribute to the measurement of the liquidity risk between conventional and Islamic banking in Malaysia.</w:t>
      </w:r>
    </w:p>
    <w:p w14:paraId="705E8CC3" w14:textId="77777777" w:rsidR="001E2B10" w:rsidRPr="001451D2" w:rsidRDefault="001E2B10" w:rsidP="001E2B10">
      <w:pPr>
        <w:rPr>
          <w:lang w:val="en-US"/>
        </w:rPr>
      </w:pPr>
    </w:p>
    <w:p w14:paraId="24843B8B" w14:textId="2B8D02F4" w:rsidR="00771ED7" w:rsidRDefault="00771ED7" w:rsidP="00771ED7">
      <w:pPr>
        <w:pStyle w:val="Heading2"/>
        <w:spacing w:after="480"/>
        <w:ind w:left="708"/>
        <w:rPr>
          <w:rFonts w:ascii="Arial" w:hAnsi="Arial" w:cs="Arial"/>
          <w:b/>
          <w:sz w:val="24"/>
          <w:szCs w:val="24"/>
        </w:rPr>
      </w:pPr>
      <w:bookmarkStart w:id="76" w:name="_Toc27578610"/>
      <w:r w:rsidRPr="00771ED7">
        <w:rPr>
          <w:rFonts w:ascii="Arial" w:hAnsi="Arial" w:cs="Arial"/>
          <w:b/>
          <w:sz w:val="24"/>
          <w:szCs w:val="24"/>
        </w:rPr>
        <w:t>4.2 Empirical Findings</w:t>
      </w:r>
      <w:bookmarkEnd w:id="76"/>
    </w:p>
    <w:p w14:paraId="1DDCD61C" w14:textId="48CE0112" w:rsidR="00050679" w:rsidRDefault="00B02CF5" w:rsidP="00050679">
      <w:pPr>
        <w:spacing w:line="360" w:lineRule="auto"/>
        <w:jc w:val="both"/>
        <w:rPr>
          <w:rFonts w:ascii="Arial" w:hAnsi="Arial" w:cs="Arial"/>
        </w:rPr>
      </w:pPr>
      <w:r>
        <w:rPr>
          <w:rFonts w:ascii="Arial" w:hAnsi="Arial" w:cs="Arial"/>
        </w:rPr>
        <w:t xml:space="preserve">      </w:t>
      </w:r>
      <w:r w:rsidR="00050679" w:rsidRPr="00050679">
        <w:rPr>
          <w:rFonts w:ascii="Arial" w:hAnsi="Arial" w:cs="Arial"/>
        </w:rPr>
        <w:t>The purpose of this study is to compare the liquidity risk management between conventional banks and Islamic banks. As mentioned before, there are three variables to measure the liquidity risk which are profitability, bank size, and deposit. The result of these variables of convention  banks can see as table 4.0</w:t>
      </w:r>
      <w:r w:rsidR="00050679">
        <w:rPr>
          <w:rFonts w:ascii="Arial" w:hAnsi="Arial" w:cs="Arial"/>
        </w:rPr>
        <w:t xml:space="preserve">. </w:t>
      </w:r>
      <w:r w:rsidR="00050679" w:rsidRPr="00050679">
        <w:rPr>
          <w:rFonts w:ascii="Arial" w:hAnsi="Arial" w:cs="Arial"/>
        </w:rPr>
        <w:t>These ratios get by calculated the dada get from the conventional banks’ annual report from 2014 to 201</w:t>
      </w:r>
      <w:r>
        <w:rPr>
          <w:rFonts w:ascii="Arial" w:hAnsi="Arial" w:cs="Arial"/>
        </w:rPr>
        <w:t>8</w:t>
      </w:r>
      <w:r w:rsidR="00050679" w:rsidRPr="00050679">
        <w:rPr>
          <w:rFonts w:ascii="Arial" w:hAnsi="Arial" w:cs="Arial"/>
        </w:rPr>
        <w:t>. And all the ratios were 15 conventional banks' average ratios from 2014 to 2015.</w:t>
      </w:r>
      <w:r w:rsidR="00C7065C">
        <w:rPr>
          <w:rFonts w:ascii="Arial" w:hAnsi="Arial" w:cs="Arial"/>
        </w:rPr>
        <w:t xml:space="preserve"> </w:t>
      </w:r>
      <w:r w:rsidR="00C7065C" w:rsidRPr="00C7065C">
        <w:rPr>
          <w:rFonts w:ascii="Arial" w:hAnsi="Arial" w:cs="Arial"/>
        </w:rPr>
        <w:t>As we can see that almost 15 banks’ liquidity r</w:t>
      </w:r>
      <w:r>
        <w:rPr>
          <w:rFonts w:ascii="Arial" w:hAnsi="Arial" w:cs="Arial"/>
        </w:rPr>
        <w:t>atio</w:t>
      </w:r>
      <w:r w:rsidR="00C7065C" w:rsidRPr="00C7065C">
        <w:rPr>
          <w:rFonts w:ascii="Arial" w:hAnsi="Arial" w:cs="Arial"/>
        </w:rPr>
        <w:t xml:space="preserve"> was </w:t>
      </w:r>
      <w:r w:rsidR="00C7065C" w:rsidRPr="00C7065C">
        <w:rPr>
          <w:rFonts w:ascii="Arial" w:hAnsi="Arial" w:cs="Arial"/>
        </w:rPr>
        <w:lastRenderedPageBreak/>
        <w:t xml:space="preserve">similar, except Bank of America Malaysia Berhad and other conventional banks were excessed 0.900. However,  the highest profitability (calculated based on ROA) was Bank of America Malaysia Berhad 0.0360 and the lowest ROA of conventional banks was CIMB Bank Berhad only 0.0091. Maybank Berhad had the biggest bank overall all the conventional banks and the India International Bank (Malaysia) Berhad had the lowest bank size among 15 </w:t>
      </w:r>
    </w:p>
    <w:p w14:paraId="5760D94D" w14:textId="15FF47CA" w:rsidR="00050679" w:rsidRPr="00F25D65" w:rsidRDefault="00050679" w:rsidP="00F25D65">
      <w:pPr>
        <w:spacing w:after="480" w:line="360" w:lineRule="auto"/>
        <w:jc w:val="center"/>
        <w:rPr>
          <w:rFonts w:ascii="Arial" w:hAnsi="Arial" w:cs="Arial"/>
          <w:b/>
          <w:bCs/>
          <w:lang w:val="en-US"/>
        </w:rPr>
      </w:pPr>
      <w:r w:rsidRPr="00F25D65">
        <w:rPr>
          <w:rFonts w:ascii="Arial" w:hAnsi="Arial" w:cs="Arial"/>
          <w:b/>
          <w:bCs/>
        </w:rPr>
        <w:t xml:space="preserve">Table 4.0: </w:t>
      </w:r>
      <w:r w:rsidR="00F25D65" w:rsidRPr="00F25D65">
        <w:rPr>
          <w:rFonts w:ascii="Arial" w:hAnsi="Arial" w:cs="Arial"/>
          <w:b/>
          <w:bCs/>
        </w:rPr>
        <w:t xml:space="preserve">Summary of  the </w:t>
      </w:r>
      <w:r w:rsidRPr="00F25D65">
        <w:rPr>
          <w:rFonts w:ascii="Arial" w:hAnsi="Arial" w:cs="Arial"/>
          <w:b/>
          <w:bCs/>
        </w:rPr>
        <w:t>Ratios of Conventional Banks</w:t>
      </w:r>
    </w:p>
    <w:tbl>
      <w:tblPr>
        <w:tblW w:w="9067" w:type="dxa"/>
        <w:tblLook w:val="04A0" w:firstRow="1" w:lastRow="0" w:firstColumn="1" w:lastColumn="0" w:noHBand="0" w:noVBand="1"/>
      </w:tblPr>
      <w:tblGrid>
        <w:gridCol w:w="4106"/>
        <w:gridCol w:w="1276"/>
        <w:gridCol w:w="1470"/>
        <w:gridCol w:w="996"/>
        <w:gridCol w:w="1219"/>
      </w:tblGrid>
      <w:tr w:rsidR="00050679" w:rsidRPr="00050679" w14:paraId="6F068AD1" w14:textId="77777777" w:rsidTr="00C7065C">
        <w:trPr>
          <w:trHeight w:val="360"/>
        </w:trPr>
        <w:tc>
          <w:tcPr>
            <w:tcW w:w="9067" w:type="dxa"/>
            <w:gridSpan w:val="5"/>
            <w:tcBorders>
              <w:top w:val="single" w:sz="4" w:space="0" w:color="auto"/>
              <w:left w:val="single" w:sz="4" w:space="0" w:color="auto"/>
              <w:bottom w:val="nil"/>
              <w:right w:val="single" w:sz="4" w:space="0" w:color="000000"/>
            </w:tcBorders>
            <w:shd w:val="clear" w:color="000000" w:fill="FFFFFF"/>
            <w:noWrap/>
            <w:vAlign w:val="center"/>
            <w:hideMark/>
          </w:tcPr>
          <w:p w14:paraId="56A40FFF" w14:textId="77777777" w:rsidR="00050679" w:rsidRPr="00050679" w:rsidRDefault="00050679" w:rsidP="00050679">
            <w:pPr>
              <w:jc w:val="center"/>
              <w:rPr>
                <w:b/>
                <w:bCs/>
                <w:color w:val="000000"/>
                <w:sz w:val="28"/>
                <w:szCs w:val="28"/>
              </w:rPr>
            </w:pPr>
            <w:r w:rsidRPr="00050679">
              <w:rPr>
                <w:b/>
                <w:bCs/>
                <w:color w:val="000000"/>
                <w:sz w:val="28"/>
                <w:szCs w:val="28"/>
              </w:rPr>
              <w:t>Conventional Banks</w:t>
            </w:r>
          </w:p>
        </w:tc>
      </w:tr>
      <w:tr w:rsidR="00050679" w:rsidRPr="00050679" w14:paraId="760F0697" w14:textId="77777777" w:rsidTr="00C7065C">
        <w:trPr>
          <w:trHeight w:val="391"/>
        </w:trPr>
        <w:tc>
          <w:tcPr>
            <w:tcW w:w="4106" w:type="dxa"/>
            <w:tcBorders>
              <w:top w:val="nil"/>
              <w:left w:val="single" w:sz="4" w:space="0" w:color="auto"/>
              <w:bottom w:val="single" w:sz="8" w:space="0" w:color="auto"/>
              <w:right w:val="nil"/>
            </w:tcBorders>
            <w:shd w:val="clear" w:color="000000" w:fill="FFFFFF"/>
            <w:noWrap/>
            <w:vAlign w:val="center"/>
            <w:hideMark/>
          </w:tcPr>
          <w:p w14:paraId="69086451" w14:textId="77777777" w:rsidR="00050679" w:rsidRPr="00050679" w:rsidRDefault="00050679" w:rsidP="00050679">
            <w:pPr>
              <w:jc w:val="center"/>
              <w:rPr>
                <w:b/>
                <w:bCs/>
                <w:color w:val="000000"/>
              </w:rPr>
            </w:pPr>
            <w:r w:rsidRPr="00050679">
              <w:rPr>
                <w:b/>
                <w:bCs/>
                <w:color w:val="000000"/>
              </w:rPr>
              <w:t>Banks</w:t>
            </w:r>
          </w:p>
        </w:tc>
        <w:tc>
          <w:tcPr>
            <w:tcW w:w="1276" w:type="dxa"/>
            <w:tcBorders>
              <w:top w:val="nil"/>
              <w:left w:val="nil"/>
              <w:bottom w:val="single" w:sz="8" w:space="0" w:color="auto"/>
              <w:right w:val="nil"/>
            </w:tcBorders>
            <w:shd w:val="clear" w:color="000000" w:fill="FFFFFF"/>
            <w:noWrap/>
            <w:vAlign w:val="center"/>
            <w:hideMark/>
          </w:tcPr>
          <w:p w14:paraId="01FD62F4" w14:textId="77777777" w:rsidR="00050679" w:rsidRPr="00050679" w:rsidRDefault="00050679" w:rsidP="00050679">
            <w:pPr>
              <w:jc w:val="center"/>
              <w:rPr>
                <w:b/>
                <w:bCs/>
                <w:color w:val="000000"/>
              </w:rPr>
            </w:pPr>
            <w:r w:rsidRPr="00050679">
              <w:rPr>
                <w:b/>
                <w:bCs/>
                <w:color w:val="000000"/>
              </w:rPr>
              <w:t>Liquidity</w:t>
            </w:r>
          </w:p>
        </w:tc>
        <w:tc>
          <w:tcPr>
            <w:tcW w:w="1470" w:type="dxa"/>
            <w:tcBorders>
              <w:top w:val="nil"/>
              <w:left w:val="nil"/>
              <w:bottom w:val="single" w:sz="8" w:space="0" w:color="auto"/>
              <w:right w:val="nil"/>
            </w:tcBorders>
            <w:shd w:val="clear" w:color="000000" w:fill="FFFFFF"/>
            <w:noWrap/>
            <w:vAlign w:val="center"/>
            <w:hideMark/>
          </w:tcPr>
          <w:p w14:paraId="70C9D0DA" w14:textId="3685D923" w:rsidR="00050679" w:rsidRPr="00050679" w:rsidRDefault="00050679" w:rsidP="00050679">
            <w:pPr>
              <w:jc w:val="center"/>
              <w:rPr>
                <w:b/>
                <w:bCs/>
                <w:color w:val="000000"/>
              </w:rPr>
            </w:pPr>
            <w:r w:rsidRPr="00050679">
              <w:rPr>
                <w:b/>
                <w:bCs/>
                <w:color w:val="000000"/>
              </w:rPr>
              <w:t>Profitability</w:t>
            </w:r>
          </w:p>
        </w:tc>
        <w:tc>
          <w:tcPr>
            <w:tcW w:w="996" w:type="dxa"/>
            <w:tcBorders>
              <w:top w:val="nil"/>
              <w:left w:val="nil"/>
              <w:bottom w:val="single" w:sz="8" w:space="0" w:color="auto"/>
              <w:right w:val="nil"/>
            </w:tcBorders>
            <w:shd w:val="clear" w:color="000000" w:fill="FFFFFF"/>
            <w:noWrap/>
            <w:vAlign w:val="center"/>
            <w:hideMark/>
          </w:tcPr>
          <w:p w14:paraId="095E2D78" w14:textId="77777777" w:rsidR="00050679" w:rsidRPr="00050679" w:rsidRDefault="00050679" w:rsidP="00050679">
            <w:pPr>
              <w:jc w:val="center"/>
              <w:rPr>
                <w:b/>
                <w:bCs/>
                <w:color w:val="000000"/>
              </w:rPr>
            </w:pPr>
            <w:r w:rsidRPr="00050679">
              <w:rPr>
                <w:b/>
                <w:bCs/>
                <w:color w:val="000000"/>
              </w:rPr>
              <w:t>Bank size</w:t>
            </w:r>
          </w:p>
        </w:tc>
        <w:tc>
          <w:tcPr>
            <w:tcW w:w="1219" w:type="dxa"/>
            <w:tcBorders>
              <w:top w:val="nil"/>
              <w:left w:val="nil"/>
              <w:bottom w:val="single" w:sz="8" w:space="0" w:color="auto"/>
              <w:right w:val="single" w:sz="4" w:space="0" w:color="auto"/>
            </w:tcBorders>
            <w:shd w:val="clear" w:color="000000" w:fill="FFFFFF"/>
            <w:noWrap/>
            <w:vAlign w:val="center"/>
            <w:hideMark/>
          </w:tcPr>
          <w:p w14:paraId="7D02F8C8" w14:textId="77777777" w:rsidR="00050679" w:rsidRPr="00050679" w:rsidRDefault="00050679" w:rsidP="00050679">
            <w:pPr>
              <w:jc w:val="center"/>
              <w:rPr>
                <w:b/>
                <w:bCs/>
                <w:color w:val="000000"/>
              </w:rPr>
            </w:pPr>
            <w:r w:rsidRPr="00050679">
              <w:rPr>
                <w:b/>
                <w:bCs/>
                <w:color w:val="000000"/>
              </w:rPr>
              <w:t>Deposits</w:t>
            </w:r>
          </w:p>
        </w:tc>
      </w:tr>
      <w:tr w:rsidR="00050679" w:rsidRPr="00050679" w14:paraId="3C9CF5C0"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397CCB76" w14:textId="6C296EC0" w:rsidR="00050679" w:rsidRPr="00050679" w:rsidRDefault="00102DDD" w:rsidP="00050679">
            <w:pPr>
              <w:rPr>
                <w:color w:val="000000"/>
                <w:sz w:val="26"/>
                <w:szCs w:val="26"/>
              </w:rPr>
            </w:pPr>
            <w:hyperlink r:id="rId19" w:history="1">
              <w:proofErr w:type="spellStart"/>
              <w:r w:rsidR="00050679" w:rsidRPr="00050679">
                <w:rPr>
                  <w:color w:val="000000"/>
                  <w:sz w:val="26"/>
                  <w:szCs w:val="26"/>
                </w:rPr>
                <w:t>Affin</w:t>
              </w:r>
              <w:proofErr w:type="spellEnd"/>
              <w:r w:rsidR="00050679" w:rsidRPr="00050679">
                <w:rPr>
                  <w:color w:val="000000"/>
                  <w:sz w:val="26"/>
                  <w:szCs w:val="26"/>
                </w:rPr>
                <w:t xml:space="preserve"> Bank Berhad</w:t>
              </w:r>
            </w:hyperlink>
          </w:p>
        </w:tc>
        <w:tc>
          <w:tcPr>
            <w:tcW w:w="1276" w:type="dxa"/>
            <w:tcBorders>
              <w:top w:val="nil"/>
              <w:left w:val="nil"/>
              <w:bottom w:val="nil"/>
              <w:right w:val="nil"/>
            </w:tcBorders>
            <w:shd w:val="clear" w:color="000000" w:fill="FFFFFF"/>
            <w:noWrap/>
            <w:vAlign w:val="center"/>
            <w:hideMark/>
          </w:tcPr>
          <w:p w14:paraId="03964A68" w14:textId="77777777" w:rsidR="00050679" w:rsidRPr="00050679" w:rsidRDefault="00050679" w:rsidP="00050679">
            <w:pPr>
              <w:jc w:val="center"/>
              <w:rPr>
                <w:color w:val="000000"/>
              </w:rPr>
            </w:pPr>
            <w:r w:rsidRPr="00050679">
              <w:rPr>
                <w:color w:val="000000"/>
              </w:rPr>
              <w:t>0.9436</w:t>
            </w:r>
          </w:p>
        </w:tc>
        <w:tc>
          <w:tcPr>
            <w:tcW w:w="1470" w:type="dxa"/>
            <w:tcBorders>
              <w:top w:val="nil"/>
              <w:left w:val="nil"/>
              <w:bottom w:val="nil"/>
              <w:right w:val="nil"/>
            </w:tcBorders>
            <w:shd w:val="clear" w:color="000000" w:fill="FFFFFF"/>
            <w:noWrap/>
            <w:vAlign w:val="center"/>
            <w:hideMark/>
          </w:tcPr>
          <w:p w14:paraId="37B137C5" w14:textId="77777777" w:rsidR="00050679" w:rsidRPr="00050679" w:rsidRDefault="00050679" w:rsidP="00050679">
            <w:pPr>
              <w:jc w:val="center"/>
              <w:rPr>
                <w:color w:val="000000"/>
              </w:rPr>
            </w:pPr>
            <w:r w:rsidRPr="00050679">
              <w:rPr>
                <w:color w:val="000000"/>
              </w:rPr>
              <w:t>0.0247</w:t>
            </w:r>
          </w:p>
        </w:tc>
        <w:tc>
          <w:tcPr>
            <w:tcW w:w="996" w:type="dxa"/>
            <w:tcBorders>
              <w:top w:val="nil"/>
              <w:left w:val="nil"/>
              <w:bottom w:val="nil"/>
              <w:right w:val="nil"/>
            </w:tcBorders>
            <w:shd w:val="clear" w:color="000000" w:fill="FFFFFF"/>
            <w:noWrap/>
            <w:vAlign w:val="center"/>
            <w:hideMark/>
          </w:tcPr>
          <w:p w14:paraId="24B55F0E" w14:textId="77777777" w:rsidR="00050679" w:rsidRPr="00050679" w:rsidRDefault="00050679" w:rsidP="00050679">
            <w:pPr>
              <w:jc w:val="center"/>
              <w:rPr>
                <w:color w:val="000000"/>
              </w:rPr>
            </w:pPr>
            <w:r w:rsidRPr="00050679">
              <w:rPr>
                <w:color w:val="000000"/>
              </w:rPr>
              <w:t>18.0329</w:t>
            </w:r>
          </w:p>
        </w:tc>
        <w:tc>
          <w:tcPr>
            <w:tcW w:w="1219" w:type="dxa"/>
            <w:tcBorders>
              <w:top w:val="nil"/>
              <w:left w:val="nil"/>
              <w:bottom w:val="nil"/>
              <w:right w:val="single" w:sz="4" w:space="0" w:color="auto"/>
            </w:tcBorders>
            <w:shd w:val="clear" w:color="000000" w:fill="FFFFFF"/>
            <w:noWrap/>
            <w:vAlign w:val="center"/>
            <w:hideMark/>
          </w:tcPr>
          <w:p w14:paraId="5D0C516F" w14:textId="77777777" w:rsidR="00050679" w:rsidRPr="00050679" w:rsidRDefault="00050679" w:rsidP="00050679">
            <w:pPr>
              <w:jc w:val="center"/>
              <w:rPr>
                <w:color w:val="000000"/>
              </w:rPr>
            </w:pPr>
            <w:r w:rsidRPr="00050679">
              <w:rPr>
                <w:color w:val="000000"/>
              </w:rPr>
              <w:t>0.8235</w:t>
            </w:r>
          </w:p>
        </w:tc>
      </w:tr>
      <w:tr w:rsidR="00050679" w:rsidRPr="00050679" w14:paraId="669DA142"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6C8CAC33" w14:textId="77777777" w:rsidR="00050679" w:rsidRPr="00050679" w:rsidRDefault="00102DDD" w:rsidP="00050679">
            <w:pPr>
              <w:rPr>
                <w:color w:val="000000"/>
                <w:sz w:val="26"/>
                <w:szCs w:val="26"/>
              </w:rPr>
            </w:pPr>
            <w:hyperlink r:id="rId20" w:history="1">
              <w:r w:rsidR="00050679" w:rsidRPr="00050679">
                <w:rPr>
                  <w:color w:val="000000"/>
                  <w:sz w:val="26"/>
                  <w:szCs w:val="26"/>
                </w:rPr>
                <w:t>Alliance Bank Malaysia Berhad</w:t>
              </w:r>
            </w:hyperlink>
          </w:p>
        </w:tc>
        <w:tc>
          <w:tcPr>
            <w:tcW w:w="1276" w:type="dxa"/>
            <w:tcBorders>
              <w:top w:val="nil"/>
              <w:left w:val="nil"/>
              <w:bottom w:val="nil"/>
              <w:right w:val="nil"/>
            </w:tcBorders>
            <w:shd w:val="clear" w:color="000000" w:fill="FFFFFF"/>
            <w:noWrap/>
            <w:vAlign w:val="center"/>
            <w:hideMark/>
          </w:tcPr>
          <w:p w14:paraId="6BB71E7B" w14:textId="77777777" w:rsidR="00050679" w:rsidRPr="00050679" w:rsidRDefault="00050679" w:rsidP="00050679">
            <w:pPr>
              <w:jc w:val="center"/>
              <w:rPr>
                <w:color w:val="000000"/>
              </w:rPr>
            </w:pPr>
            <w:r w:rsidRPr="00050679">
              <w:rPr>
                <w:color w:val="000000"/>
              </w:rPr>
              <w:t>0.9508</w:t>
            </w:r>
          </w:p>
        </w:tc>
        <w:tc>
          <w:tcPr>
            <w:tcW w:w="1470" w:type="dxa"/>
            <w:tcBorders>
              <w:top w:val="nil"/>
              <w:left w:val="nil"/>
              <w:bottom w:val="nil"/>
              <w:right w:val="nil"/>
            </w:tcBorders>
            <w:shd w:val="clear" w:color="000000" w:fill="FFFFFF"/>
            <w:noWrap/>
            <w:vAlign w:val="center"/>
            <w:hideMark/>
          </w:tcPr>
          <w:p w14:paraId="6B193B8F" w14:textId="77777777" w:rsidR="00050679" w:rsidRPr="00050679" w:rsidRDefault="00050679" w:rsidP="00050679">
            <w:pPr>
              <w:jc w:val="center"/>
              <w:rPr>
                <w:color w:val="000000"/>
              </w:rPr>
            </w:pPr>
            <w:r w:rsidRPr="00050679">
              <w:rPr>
                <w:color w:val="000000"/>
              </w:rPr>
              <w:t>0.0262</w:t>
            </w:r>
          </w:p>
        </w:tc>
        <w:tc>
          <w:tcPr>
            <w:tcW w:w="996" w:type="dxa"/>
            <w:tcBorders>
              <w:top w:val="nil"/>
              <w:left w:val="nil"/>
              <w:bottom w:val="nil"/>
              <w:right w:val="nil"/>
            </w:tcBorders>
            <w:shd w:val="clear" w:color="000000" w:fill="FFFFFF"/>
            <w:noWrap/>
            <w:vAlign w:val="center"/>
            <w:hideMark/>
          </w:tcPr>
          <w:p w14:paraId="420EC5ED" w14:textId="77777777" w:rsidR="00050679" w:rsidRPr="00050679" w:rsidRDefault="00050679" w:rsidP="00050679">
            <w:pPr>
              <w:jc w:val="center"/>
              <w:rPr>
                <w:color w:val="000000"/>
              </w:rPr>
            </w:pPr>
            <w:r w:rsidRPr="00050679">
              <w:rPr>
                <w:color w:val="000000"/>
              </w:rPr>
              <w:t>17.7837</w:t>
            </w:r>
          </w:p>
        </w:tc>
        <w:tc>
          <w:tcPr>
            <w:tcW w:w="1219" w:type="dxa"/>
            <w:tcBorders>
              <w:top w:val="nil"/>
              <w:left w:val="nil"/>
              <w:bottom w:val="nil"/>
              <w:right w:val="single" w:sz="4" w:space="0" w:color="auto"/>
            </w:tcBorders>
            <w:shd w:val="clear" w:color="000000" w:fill="FFFFFF"/>
            <w:noWrap/>
            <w:vAlign w:val="center"/>
            <w:hideMark/>
          </w:tcPr>
          <w:p w14:paraId="4BCBDB01" w14:textId="77777777" w:rsidR="00050679" w:rsidRPr="00050679" w:rsidRDefault="00050679" w:rsidP="00050679">
            <w:pPr>
              <w:jc w:val="center"/>
              <w:rPr>
                <w:color w:val="000000"/>
              </w:rPr>
            </w:pPr>
            <w:r w:rsidRPr="00050679">
              <w:rPr>
                <w:color w:val="000000"/>
              </w:rPr>
              <w:t>0.8528</w:t>
            </w:r>
          </w:p>
        </w:tc>
      </w:tr>
      <w:tr w:rsidR="00050679" w:rsidRPr="00050679" w14:paraId="6A1D408C"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48405065" w14:textId="77777777" w:rsidR="00050679" w:rsidRPr="00050679" w:rsidRDefault="00102DDD" w:rsidP="00050679">
            <w:pPr>
              <w:rPr>
                <w:color w:val="000000"/>
                <w:sz w:val="26"/>
                <w:szCs w:val="26"/>
              </w:rPr>
            </w:pPr>
            <w:hyperlink r:id="rId21" w:history="1">
              <w:r w:rsidR="00050679" w:rsidRPr="00050679">
                <w:rPr>
                  <w:color w:val="000000"/>
                  <w:sz w:val="26"/>
                  <w:szCs w:val="26"/>
                </w:rPr>
                <w:t>AmBank (M) Berhad</w:t>
              </w:r>
            </w:hyperlink>
          </w:p>
        </w:tc>
        <w:tc>
          <w:tcPr>
            <w:tcW w:w="1276" w:type="dxa"/>
            <w:tcBorders>
              <w:top w:val="nil"/>
              <w:left w:val="nil"/>
              <w:bottom w:val="nil"/>
              <w:right w:val="nil"/>
            </w:tcBorders>
            <w:shd w:val="clear" w:color="000000" w:fill="FFFFFF"/>
            <w:noWrap/>
            <w:vAlign w:val="center"/>
            <w:hideMark/>
          </w:tcPr>
          <w:p w14:paraId="6659105A" w14:textId="77777777" w:rsidR="00050679" w:rsidRPr="00050679" w:rsidRDefault="00050679" w:rsidP="00050679">
            <w:pPr>
              <w:jc w:val="center"/>
              <w:rPr>
                <w:color w:val="000000"/>
              </w:rPr>
            </w:pPr>
            <w:r w:rsidRPr="00050679">
              <w:rPr>
                <w:color w:val="000000"/>
              </w:rPr>
              <w:t>0.9151</w:t>
            </w:r>
          </w:p>
        </w:tc>
        <w:tc>
          <w:tcPr>
            <w:tcW w:w="1470" w:type="dxa"/>
            <w:tcBorders>
              <w:top w:val="nil"/>
              <w:left w:val="nil"/>
              <w:bottom w:val="nil"/>
              <w:right w:val="nil"/>
            </w:tcBorders>
            <w:shd w:val="clear" w:color="000000" w:fill="FFFFFF"/>
            <w:noWrap/>
            <w:vAlign w:val="center"/>
            <w:hideMark/>
          </w:tcPr>
          <w:p w14:paraId="01D5287D" w14:textId="77777777" w:rsidR="00050679" w:rsidRPr="00050679" w:rsidRDefault="00050679" w:rsidP="00050679">
            <w:pPr>
              <w:jc w:val="center"/>
              <w:rPr>
                <w:color w:val="000000"/>
              </w:rPr>
            </w:pPr>
            <w:r w:rsidRPr="00050679">
              <w:rPr>
                <w:color w:val="000000"/>
              </w:rPr>
              <w:t>0.0311</w:t>
            </w:r>
          </w:p>
        </w:tc>
        <w:tc>
          <w:tcPr>
            <w:tcW w:w="996" w:type="dxa"/>
            <w:tcBorders>
              <w:top w:val="nil"/>
              <w:left w:val="nil"/>
              <w:bottom w:val="nil"/>
              <w:right w:val="nil"/>
            </w:tcBorders>
            <w:shd w:val="clear" w:color="000000" w:fill="FFFFFF"/>
            <w:noWrap/>
            <w:vAlign w:val="center"/>
            <w:hideMark/>
          </w:tcPr>
          <w:p w14:paraId="697EE414" w14:textId="77777777" w:rsidR="00050679" w:rsidRPr="00050679" w:rsidRDefault="00050679" w:rsidP="00050679">
            <w:pPr>
              <w:jc w:val="center"/>
              <w:rPr>
                <w:color w:val="000000"/>
              </w:rPr>
            </w:pPr>
            <w:r w:rsidRPr="00050679">
              <w:rPr>
                <w:color w:val="000000"/>
              </w:rPr>
              <w:t>18.7177</w:t>
            </w:r>
          </w:p>
        </w:tc>
        <w:tc>
          <w:tcPr>
            <w:tcW w:w="1219" w:type="dxa"/>
            <w:tcBorders>
              <w:top w:val="nil"/>
              <w:left w:val="nil"/>
              <w:bottom w:val="nil"/>
              <w:right w:val="single" w:sz="4" w:space="0" w:color="auto"/>
            </w:tcBorders>
            <w:shd w:val="clear" w:color="000000" w:fill="FFFFFF"/>
            <w:noWrap/>
            <w:vAlign w:val="center"/>
            <w:hideMark/>
          </w:tcPr>
          <w:p w14:paraId="4400B49A" w14:textId="77777777" w:rsidR="00050679" w:rsidRPr="00050679" w:rsidRDefault="00050679" w:rsidP="00050679">
            <w:pPr>
              <w:jc w:val="center"/>
              <w:rPr>
                <w:color w:val="000000"/>
              </w:rPr>
            </w:pPr>
            <w:r w:rsidRPr="00050679">
              <w:rPr>
                <w:color w:val="000000"/>
              </w:rPr>
              <w:t>0.7062</w:t>
            </w:r>
          </w:p>
        </w:tc>
      </w:tr>
      <w:tr w:rsidR="00050679" w:rsidRPr="00050679" w14:paraId="7338018D"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7F423B6F" w14:textId="77777777" w:rsidR="00050679" w:rsidRPr="00050679" w:rsidRDefault="00102DDD" w:rsidP="00050679">
            <w:pPr>
              <w:rPr>
                <w:color w:val="000000"/>
                <w:sz w:val="26"/>
                <w:szCs w:val="26"/>
              </w:rPr>
            </w:pPr>
            <w:hyperlink r:id="rId22" w:history="1">
              <w:r w:rsidR="00050679" w:rsidRPr="00050679">
                <w:rPr>
                  <w:color w:val="000000"/>
                  <w:sz w:val="26"/>
                  <w:szCs w:val="26"/>
                </w:rPr>
                <w:t>CIMB Bank Berhad</w:t>
              </w:r>
            </w:hyperlink>
          </w:p>
        </w:tc>
        <w:tc>
          <w:tcPr>
            <w:tcW w:w="1276" w:type="dxa"/>
            <w:tcBorders>
              <w:top w:val="nil"/>
              <w:left w:val="nil"/>
              <w:bottom w:val="nil"/>
              <w:right w:val="nil"/>
            </w:tcBorders>
            <w:shd w:val="clear" w:color="000000" w:fill="FFFFFF"/>
            <w:noWrap/>
            <w:vAlign w:val="center"/>
            <w:hideMark/>
          </w:tcPr>
          <w:p w14:paraId="2AEF05D7" w14:textId="77777777" w:rsidR="00050679" w:rsidRPr="00050679" w:rsidRDefault="00050679" w:rsidP="00050679">
            <w:pPr>
              <w:jc w:val="center"/>
              <w:rPr>
                <w:color w:val="000000"/>
              </w:rPr>
            </w:pPr>
            <w:r w:rsidRPr="00050679">
              <w:rPr>
                <w:color w:val="000000"/>
              </w:rPr>
              <w:t>0.9230</w:t>
            </w:r>
          </w:p>
        </w:tc>
        <w:tc>
          <w:tcPr>
            <w:tcW w:w="1470" w:type="dxa"/>
            <w:tcBorders>
              <w:top w:val="nil"/>
              <w:left w:val="nil"/>
              <w:bottom w:val="nil"/>
              <w:right w:val="nil"/>
            </w:tcBorders>
            <w:shd w:val="clear" w:color="000000" w:fill="FFFFFF"/>
            <w:noWrap/>
            <w:vAlign w:val="center"/>
            <w:hideMark/>
          </w:tcPr>
          <w:p w14:paraId="2EBFCDF7" w14:textId="77777777" w:rsidR="00050679" w:rsidRPr="00050679" w:rsidRDefault="00050679" w:rsidP="00050679">
            <w:pPr>
              <w:jc w:val="center"/>
              <w:rPr>
                <w:color w:val="000000"/>
              </w:rPr>
            </w:pPr>
            <w:r w:rsidRPr="00050679">
              <w:rPr>
                <w:color w:val="000000"/>
              </w:rPr>
              <w:t>0.0091</w:t>
            </w:r>
          </w:p>
        </w:tc>
        <w:tc>
          <w:tcPr>
            <w:tcW w:w="996" w:type="dxa"/>
            <w:tcBorders>
              <w:top w:val="nil"/>
              <w:left w:val="nil"/>
              <w:bottom w:val="nil"/>
              <w:right w:val="nil"/>
            </w:tcBorders>
            <w:shd w:val="clear" w:color="000000" w:fill="FFFFFF"/>
            <w:noWrap/>
            <w:vAlign w:val="center"/>
            <w:hideMark/>
          </w:tcPr>
          <w:p w14:paraId="0F4D53CD" w14:textId="77777777" w:rsidR="00050679" w:rsidRPr="00050679" w:rsidRDefault="00050679" w:rsidP="00050679">
            <w:pPr>
              <w:jc w:val="center"/>
              <w:rPr>
                <w:color w:val="000000"/>
              </w:rPr>
            </w:pPr>
            <w:r w:rsidRPr="00050679">
              <w:rPr>
                <w:color w:val="000000"/>
              </w:rPr>
              <w:t>19.9865</w:t>
            </w:r>
          </w:p>
        </w:tc>
        <w:tc>
          <w:tcPr>
            <w:tcW w:w="1219" w:type="dxa"/>
            <w:tcBorders>
              <w:top w:val="nil"/>
              <w:left w:val="nil"/>
              <w:bottom w:val="nil"/>
              <w:right w:val="single" w:sz="4" w:space="0" w:color="auto"/>
            </w:tcBorders>
            <w:shd w:val="clear" w:color="000000" w:fill="FFFFFF"/>
            <w:noWrap/>
            <w:vAlign w:val="center"/>
            <w:hideMark/>
          </w:tcPr>
          <w:p w14:paraId="2494957F" w14:textId="77777777" w:rsidR="00050679" w:rsidRPr="00050679" w:rsidRDefault="00050679" w:rsidP="00050679">
            <w:pPr>
              <w:jc w:val="center"/>
              <w:rPr>
                <w:color w:val="000000"/>
              </w:rPr>
            </w:pPr>
            <w:r w:rsidRPr="00050679">
              <w:rPr>
                <w:color w:val="000000"/>
              </w:rPr>
              <w:t>0.7393</w:t>
            </w:r>
          </w:p>
        </w:tc>
      </w:tr>
      <w:tr w:rsidR="00050679" w:rsidRPr="00050679" w14:paraId="16AF0719"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46A064F3" w14:textId="77777777" w:rsidR="00050679" w:rsidRPr="00050679" w:rsidRDefault="00102DDD" w:rsidP="00050679">
            <w:pPr>
              <w:rPr>
                <w:color w:val="000000"/>
                <w:sz w:val="26"/>
                <w:szCs w:val="26"/>
              </w:rPr>
            </w:pPr>
            <w:hyperlink r:id="rId23" w:history="1">
              <w:r w:rsidR="00050679" w:rsidRPr="00050679">
                <w:rPr>
                  <w:color w:val="000000"/>
                  <w:sz w:val="26"/>
                  <w:szCs w:val="26"/>
                </w:rPr>
                <w:t>Hong Leong Bank Berhad</w:t>
              </w:r>
            </w:hyperlink>
          </w:p>
        </w:tc>
        <w:tc>
          <w:tcPr>
            <w:tcW w:w="1276" w:type="dxa"/>
            <w:tcBorders>
              <w:top w:val="nil"/>
              <w:left w:val="nil"/>
              <w:bottom w:val="nil"/>
              <w:right w:val="nil"/>
            </w:tcBorders>
            <w:shd w:val="clear" w:color="000000" w:fill="FFFFFF"/>
            <w:noWrap/>
            <w:vAlign w:val="center"/>
            <w:hideMark/>
          </w:tcPr>
          <w:p w14:paraId="124D9951" w14:textId="77777777" w:rsidR="00050679" w:rsidRPr="00050679" w:rsidRDefault="00050679" w:rsidP="00050679">
            <w:pPr>
              <w:jc w:val="center"/>
              <w:rPr>
                <w:color w:val="000000"/>
              </w:rPr>
            </w:pPr>
            <w:r w:rsidRPr="00050679">
              <w:rPr>
                <w:color w:val="000000"/>
              </w:rPr>
              <w:t>0.9346</w:t>
            </w:r>
          </w:p>
        </w:tc>
        <w:tc>
          <w:tcPr>
            <w:tcW w:w="1470" w:type="dxa"/>
            <w:tcBorders>
              <w:top w:val="nil"/>
              <w:left w:val="nil"/>
              <w:bottom w:val="nil"/>
              <w:right w:val="nil"/>
            </w:tcBorders>
            <w:shd w:val="clear" w:color="000000" w:fill="FFFFFF"/>
            <w:noWrap/>
            <w:vAlign w:val="center"/>
            <w:hideMark/>
          </w:tcPr>
          <w:p w14:paraId="45FF8680" w14:textId="77777777" w:rsidR="00050679" w:rsidRPr="00050679" w:rsidRDefault="00050679" w:rsidP="00050679">
            <w:pPr>
              <w:jc w:val="center"/>
              <w:rPr>
                <w:color w:val="000000"/>
              </w:rPr>
            </w:pPr>
            <w:r w:rsidRPr="00050679">
              <w:rPr>
                <w:color w:val="000000"/>
              </w:rPr>
              <w:t>0.0230</w:t>
            </w:r>
          </w:p>
        </w:tc>
        <w:tc>
          <w:tcPr>
            <w:tcW w:w="996" w:type="dxa"/>
            <w:tcBorders>
              <w:top w:val="nil"/>
              <w:left w:val="nil"/>
              <w:bottom w:val="nil"/>
              <w:right w:val="nil"/>
            </w:tcBorders>
            <w:shd w:val="clear" w:color="000000" w:fill="FFFFFF"/>
            <w:noWrap/>
            <w:vAlign w:val="center"/>
            <w:hideMark/>
          </w:tcPr>
          <w:p w14:paraId="76D7C0AD" w14:textId="77777777" w:rsidR="00050679" w:rsidRPr="00050679" w:rsidRDefault="00050679" w:rsidP="00050679">
            <w:pPr>
              <w:jc w:val="center"/>
              <w:rPr>
                <w:color w:val="000000"/>
              </w:rPr>
            </w:pPr>
            <w:r w:rsidRPr="00050679">
              <w:rPr>
                <w:color w:val="000000"/>
              </w:rPr>
              <w:t>19.0530</w:t>
            </w:r>
          </w:p>
        </w:tc>
        <w:tc>
          <w:tcPr>
            <w:tcW w:w="1219" w:type="dxa"/>
            <w:tcBorders>
              <w:top w:val="nil"/>
              <w:left w:val="nil"/>
              <w:bottom w:val="nil"/>
              <w:right w:val="single" w:sz="4" w:space="0" w:color="auto"/>
            </w:tcBorders>
            <w:shd w:val="clear" w:color="000000" w:fill="FFFFFF"/>
            <w:noWrap/>
            <w:vAlign w:val="center"/>
            <w:hideMark/>
          </w:tcPr>
          <w:p w14:paraId="4E07A76E" w14:textId="77777777" w:rsidR="00050679" w:rsidRPr="00050679" w:rsidRDefault="00050679" w:rsidP="00050679">
            <w:pPr>
              <w:jc w:val="center"/>
              <w:rPr>
                <w:color w:val="000000"/>
              </w:rPr>
            </w:pPr>
            <w:r w:rsidRPr="00050679">
              <w:rPr>
                <w:color w:val="000000"/>
              </w:rPr>
              <w:t>0.8111</w:t>
            </w:r>
          </w:p>
        </w:tc>
      </w:tr>
      <w:tr w:rsidR="00050679" w:rsidRPr="00050679" w14:paraId="3CE0B964"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53AFFF48" w14:textId="77777777" w:rsidR="00050679" w:rsidRPr="00050679" w:rsidRDefault="00102DDD" w:rsidP="00050679">
            <w:pPr>
              <w:rPr>
                <w:color w:val="000000"/>
                <w:sz w:val="26"/>
                <w:szCs w:val="26"/>
              </w:rPr>
            </w:pPr>
            <w:hyperlink r:id="rId24" w:history="1">
              <w:r w:rsidR="00050679" w:rsidRPr="00050679">
                <w:rPr>
                  <w:color w:val="000000"/>
                  <w:sz w:val="26"/>
                  <w:szCs w:val="26"/>
                </w:rPr>
                <w:t>Maybank Berhad</w:t>
              </w:r>
            </w:hyperlink>
          </w:p>
        </w:tc>
        <w:tc>
          <w:tcPr>
            <w:tcW w:w="1276" w:type="dxa"/>
            <w:tcBorders>
              <w:top w:val="nil"/>
              <w:left w:val="nil"/>
              <w:bottom w:val="nil"/>
              <w:right w:val="nil"/>
            </w:tcBorders>
            <w:shd w:val="clear" w:color="000000" w:fill="FFFFFF"/>
            <w:noWrap/>
            <w:vAlign w:val="center"/>
            <w:hideMark/>
          </w:tcPr>
          <w:p w14:paraId="21E145A6" w14:textId="77777777" w:rsidR="00050679" w:rsidRPr="00050679" w:rsidRDefault="00050679" w:rsidP="00050679">
            <w:pPr>
              <w:jc w:val="center"/>
              <w:rPr>
                <w:color w:val="000000"/>
              </w:rPr>
            </w:pPr>
            <w:r w:rsidRPr="00050679">
              <w:rPr>
                <w:color w:val="000000"/>
              </w:rPr>
              <w:t>0.9444</w:t>
            </w:r>
          </w:p>
        </w:tc>
        <w:tc>
          <w:tcPr>
            <w:tcW w:w="1470" w:type="dxa"/>
            <w:tcBorders>
              <w:top w:val="nil"/>
              <w:left w:val="nil"/>
              <w:bottom w:val="nil"/>
              <w:right w:val="nil"/>
            </w:tcBorders>
            <w:shd w:val="clear" w:color="000000" w:fill="FFFFFF"/>
            <w:noWrap/>
            <w:vAlign w:val="center"/>
            <w:hideMark/>
          </w:tcPr>
          <w:p w14:paraId="5A39B8A3" w14:textId="77777777" w:rsidR="00050679" w:rsidRPr="00050679" w:rsidRDefault="00050679" w:rsidP="00050679">
            <w:pPr>
              <w:jc w:val="center"/>
              <w:rPr>
                <w:color w:val="000000"/>
              </w:rPr>
            </w:pPr>
            <w:r w:rsidRPr="00050679">
              <w:rPr>
                <w:color w:val="000000"/>
              </w:rPr>
              <w:t>0.0297</w:t>
            </w:r>
          </w:p>
        </w:tc>
        <w:tc>
          <w:tcPr>
            <w:tcW w:w="996" w:type="dxa"/>
            <w:tcBorders>
              <w:top w:val="nil"/>
              <w:left w:val="nil"/>
              <w:bottom w:val="nil"/>
              <w:right w:val="nil"/>
            </w:tcBorders>
            <w:shd w:val="clear" w:color="000000" w:fill="FFFFFF"/>
            <w:noWrap/>
            <w:vAlign w:val="center"/>
            <w:hideMark/>
          </w:tcPr>
          <w:p w14:paraId="736D1C0E" w14:textId="77777777" w:rsidR="00050679" w:rsidRPr="00050679" w:rsidRDefault="00050679" w:rsidP="00050679">
            <w:pPr>
              <w:jc w:val="center"/>
              <w:rPr>
                <w:color w:val="000000"/>
              </w:rPr>
            </w:pPr>
            <w:r w:rsidRPr="00050679">
              <w:rPr>
                <w:color w:val="000000"/>
              </w:rPr>
              <w:t>20.4074</w:t>
            </w:r>
          </w:p>
        </w:tc>
        <w:tc>
          <w:tcPr>
            <w:tcW w:w="1219" w:type="dxa"/>
            <w:tcBorders>
              <w:top w:val="nil"/>
              <w:left w:val="nil"/>
              <w:bottom w:val="nil"/>
              <w:right w:val="single" w:sz="4" w:space="0" w:color="auto"/>
            </w:tcBorders>
            <w:shd w:val="clear" w:color="000000" w:fill="FFFFFF"/>
            <w:noWrap/>
            <w:vAlign w:val="center"/>
            <w:hideMark/>
          </w:tcPr>
          <w:p w14:paraId="3BDA32EE" w14:textId="77777777" w:rsidR="00050679" w:rsidRPr="00050679" w:rsidRDefault="00050679" w:rsidP="00050679">
            <w:pPr>
              <w:jc w:val="center"/>
              <w:rPr>
                <w:color w:val="000000"/>
              </w:rPr>
            </w:pPr>
            <w:r w:rsidRPr="00050679">
              <w:rPr>
                <w:color w:val="000000"/>
              </w:rPr>
              <w:t>0.7268</w:t>
            </w:r>
          </w:p>
        </w:tc>
      </w:tr>
      <w:tr w:rsidR="00050679" w:rsidRPr="00050679" w14:paraId="3D62B4A0"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1434FE82" w14:textId="77777777" w:rsidR="00050679" w:rsidRPr="00050679" w:rsidRDefault="00102DDD" w:rsidP="00050679">
            <w:pPr>
              <w:rPr>
                <w:color w:val="000000"/>
                <w:sz w:val="26"/>
                <w:szCs w:val="26"/>
              </w:rPr>
            </w:pPr>
            <w:hyperlink r:id="rId25" w:history="1">
              <w:r w:rsidR="00050679" w:rsidRPr="00050679">
                <w:rPr>
                  <w:color w:val="000000"/>
                  <w:sz w:val="26"/>
                  <w:szCs w:val="26"/>
                </w:rPr>
                <w:t>Public Bank Berhad</w:t>
              </w:r>
            </w:hyperlink>
          </w:p>
        </w:tc>
        <w:tc>
          <w:tcPr>
            <w:tcW w:w="1276" w:type="dxa"/>
            <w:tcBorders>
              <w:top w:val="nil"/>
              <w:left w:val="nil"/>
              <w:bottom w:val="nil"/>
              <w:right w:val="nil"/>
            </w:tcBorders>
            <w:shd w:val="clear" w:color="000000" w:fill="FFFFFF"/>
            <w:noWrap/>
            <w:vAlign w:val="center"/>
            <w:hideMark/>
          </w:tcPr>
          <w:p w14:paraId="50147826" w14:textId="77777777" w:rsidR="00050679" w:rsidRPr="00050679" w:rsidRDefault="00050679" w:rsidP="00050679">
            <w:pPr>
              <w:jc w:val="center"/>
              <w:rPr>
                <w:color w:val="000000"/>
              </w:rPr>
            </w:pPr>
            <w:r w:rsidRPr="00050679">
              <w:rPr>
                <w:color w:val="000000"/>
              </w:rPr>
              <w:t>0.9564</w:t>
            </w:r>
          </w:p>
        </w:tc>
        <w:tc>
          <w:tcPr>
            <w:tcW w:w="1470" w:type="dxa"/>
            <w:tcBorders>
              <w:top w:val="nil"/>
              <w:left w:val="nil"/>
              <w:bottom w:val="nil"/>
              <w:right w:val="nil"/>
            </w:tcBorders>
            <w:shd w:val="clear" w:color="000000" w:fill="FFFFFF"/>
            <w:noWrap/>
            <w:vAlign w:val="center"/>
            <w:hideMark/>
          </w:tcPr>
          <w:p w14:paraId="3C52291D" w14:textId="77777777" w:rsidR="00050679" w:rsidRPr="00050679" w:rsidRDefault="00050679" w:rsidP="00050679">
            <w:pPr>
              <w:jc w:val="center"/>
              <w:rPr>
                <w:color w:val="000000"/>
              </w:rPr>
            </w:pPr>
            <w:r w:rsidRPr="00050679">
              <w:rPr>
                <w:color w:val="000000"/>
              </w:rPr>
              <w:t>0.0261</w:t>
            </w:r>
          </w:p>
        </w:tc>
        <w:tc>
          <w:tcPr>
            <w:tcW w:w="996" w:type="dxa"/>
            <w:tcBorders>
              <w:top w:val="nil"/>
              <w:left w:val="nil"/>
              <w:bottom w:val="nil"/>
              <w:right w:val="nil"/>
            </w:tcBorders>
            <w:shd w:val="clear" w:color="000000" w:fill="FFFFFF"/>
            <w:noWrap/>
            <w:vAlign w:val="center"/>
            <w:hideMark/>
          </w:tcPr>
          <w:p w14:paraId="3700192C" w14:textId="77777777" w:rsidR="00050679" w:rsidRPr="00050679" w:rsidRDefault="00050679" w:rsidP="00050679">
            <w:pPr>
              <w:jc w:val="center"/>
              <w:rPr>
                <w:color w:val="000000"/>
              </w:rPr>
            </w:pPr>
            <w:r w:rsidRPr="00050679">
              <w:rPr>
                <w:color w:val="000000"/>
              </w:rPr>
              <w:t>19.7558</w:t>
            </w:r>
          </w:p>
        </w:tc>
        <w:tc>
          <w:tcPr>
            <w:tcW w:w="1219" w:type="dxa"/>
            <w:tcBorders>
              <w:top w:val="nil"/>
              <w:left w:val="nil"/>
              <w:bottom w:val="nil"/>
              <w:right w:val="single" w:sz="4" w:space="0" w:color="auto"/>
            </w:tcBorders>
            <w:shd w:val="clear" w:color="000000" w:fill="FFFFFF"/>
            <w:noWrap/>
            <w:vAlign w:val="center"/>
            <w:hideMark/>
          </w:tcPr>
          <w:p w14:paraId="19D28C72" w14:textId="77777777" w:rsidR="00050679" w:rsidRPr="00050679" w:rsidRDefault="00050679" w:rsidP="00050679">
            <w:pPr>
              <w:jc w:val="center"/>
              <w:rPr>
                <w:color w:val="000000"/>
              </w:rPr>
            </w:pPr>
            <w:r w:rsidRPr="00050679">
              <w:rPr>
                <w:color w:val="000000"/>
              </w:rPr>
              <w:t>0.8458</w:t>
            </w:r>
          </w:p>
        </w:tc>
      </w:tr>
      <w:tr w:rsidR="00050679" w:rsidRPr="00050679" w14:paraId="21E802F3"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0EB83558" w14:textId="77777777" w:rsidR="00050679" w:rsidRPr="00050679" w:rsidRDefault="00102DDD" w:rsidP="00050679">
            <w:pPr>
              <w:rPr>
                <w:color w:val="000000"/>
                <w:sz w:val="26"/>
                <w:szCs w:val="26"/>
              </w:rPr>
            </w:pPr>
            <w:hyperlink r:id="rId26" w:history="1">
              <w:r w:rsidR="00050679" w:rsidRPr="00050679">
                <w:rPr>
                  <w:color w:val="000000"/>
                  <w:sz w:val="26"/>
                  <w:szCs w:val="26"/>
                </w:rPr>
                <w:t>RHB Bank Berhad</w:t>
              </w:r>
            </w:hyperlink>
          </w:p>
        </w:tc>
        <w:tc>
          <w:tcPr>
            <w:tcW w:w="1276" w:type="dxa"/>
            <w:tcBorders>
              <w:top w:val="nil"/>
              <w:left w:val="nil"/>
              <w:bottom w:val="nil"/>
              <w:right w:val="nil"/>
            </w:tcBorders>
            <w:shd w:val="clear" w:color="000000" w:fill="FFFFFF"/>
            <w:noWrap/>
            <w:vAlign w:val="center"/>
            <w:hideMark/>
          </w:tcPr>
          <w:p w14:paraId="4BE334EE" w14:textId="77777777" w:rsidR="00050679" w:rsidRPr="00050679" w:rsidRDefault="00050679" w:rsidP="00050679">
            <w:pPr>
              <w:jc w:val="center"/>
              <w:rPr>
                <w:color w:val="000000"/>
              </w:rPr>
            </w:pPr>
            <w:r w:rsidRPr="00050679">
              <w:rPr>
                <w:color w:val="000000"/>
              </w:rPr>
              <w:t>0.9460</w:t>
            </w:r>
          </w:p>
        </w:tc>
        <w:tc>
          <w:tcPr>
            <w:tcW w:w="1470" w:type="dxa"/>
            <w:tcBorders>
              <w:top w:val="nil"/>
              <w:left w:val="nil"/>
              <w:bottom w:val="nil"/>
              <w:right w:val="nil"/>
            </w:tcBorders>
            <w:shd w:val="clear" w:color="000000" w:fill="FFFFFF"/>
            <w:noWrap/>
            <w:vAlign w:val="center"/>
            <w:hideMark/>
          </w:tcPr>
          <w:p w14:paraId="66725EA2" w14:textId="77777777" w:rsidR="00050679" w:rsidRPr="00050679" w:rsidRDefault="00050679" w:rsidP="00050679">
            <w:pPr>
              <w:jc w:val="center"/>
              <w:rPr>
                <w:color w:val="000000"/>
              </w:rPr>
            </w:pPr>
            <w:r w:rsidRPr="00050679">
              <w:rPr>
                <w:color w:val="000000"/>
              </w:rPr>
              <w:t>0.0259</w:t>
            </w:r>
          </w:p>
        </w:tc>
        <w:tc>
          <w:tcPr>
            <w:tcW w:w="996" w:type="dxa"/>
            <w:tcBorders>
              <w:top w:val="nil"/>
              <w:left w:val="nil"/>
              <w:bottom w:val="nil"/>
              <w:right w:val="nil"/>
            </w:tcBorders>
            <w:shd w:val="clear" w:color="000000" w:fill="FFFFFF"/>
            <w:noWrap/>
            <w:vAlign w:val="center"/>
            <w:hideMark/>
          </w:tcPr>
          <w:p w14:paraId="4CA55454" w14:textId="77777777" w:rsidR="00050679" w:rsidRPr="00050679" w:rsidRDefault="00050679" w:rsidP="00050679">
            <w:pPr>
              <w:jc w:val="center"/>
              <w:rPr>
                <w:color w:val="000000"/>
              </w:rPr>
            </w:pPr>
            <w:r w:rsidRPr="00050679">
              <w:rPr>
                <w:color w:val="000000"/>
              </w:rPr>
              <w:t>19.2374</w:t>
            </w:r>
          </w:p>
        </w:tc>
        <w:tc>
          <w:tcPr>
            <w:tcW w:w="1219" w:type="dxa"/>
            <w:tcBorders>
              <w:top w:val="nil"/>
              <w:left w:val="nil"/>
              <w:bottom w:val="nil"/>
              <w:right w:val="single" w:sz="4" w:space="0" w:color="auto"/>
            </w:tcBorders>
            <w:shd w:val="clear" w:color="000000" w:fill="FFFFFF"/>
            <w:noWrap/>
            <w:vAlign w:val="center"/>
            <w:hideMark/>
          </w:tcPr>
          <w:p w14:paraId="7DA0EE6F" w14:textId="77777777" w:rsidR="00050679" w:rsidRPr="00050679" w:rsidRDefault="00050679" w:rsidP="00050679">
            <w:pPr>
              <w:jc w:val="center"/>
              <w:rPr>
                <w:color w:val="000000"/>
              </w:rPr>
            </w:pPr>
            <w:r w:rsidRPr="00050679">
              <w:rPr>
                <w:color w:val="000000"/>
              </w:rPr>
              <w:t>0.8167</w:t>
            </w:r>
          </w:p>
        </w:tc>
      </w:tr>
      <w:tr w:rsidR="00050679" w:rsidRPr="00050679" w14:paraId="329C33DA"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5CC5EA09" w14:textId="77777777" w:rsidR="00050679" w:rsidRPr="00050679" w:rsidRDefault="00102DDD" w:rsidP="00050679">
            <w:pPr>
              <w:rPr>
                <w:color w:val="000000"/>
                <w:sz w:val="26"/>
                <w:szCs w:val="26"/>
              </w:rPr>
            </w:pPr>
            <w:hyperlink r:id="rId27" w:history="1">
              <w:r w:rsidR="00050679" w:rsidRPr="00050679">
                <w:rPr>
                  <w:color w:val="000000"/>
                  <w:sz w:val="26"/>
                  <w:szCs w:val="26"/>
                </w:rPr>
                <w:t>Citibank Berhad</w:t>
              </w:r>
            </w:hyperlink>
          </w:p>
        </w:tc>
        <w:tc>
          <w:tcPr>
            <w:tcW w:w="1276" w:type="dxa"/>
            <w:tcBorders>
              <w:top w:val="nil"/>
              <w:left w:val="nil"/>
              <w:bottom w:val="nil"/>
              <w:right w:val="nil"/>
            </w:tcBorders>
            <w:shd w:val="clear" w:color="000000" w:fill="FFFFFF"/>
            <w:noWrap/>
            <w:vAlign w:val="center"/>
            <w:hideMark/>
          </w:tcPr>
          <w:p w14:paraId="2FB0393B" w14:textId="77777777" w:rsidR="00050679" w:rsidRPr="00050679" w:rsidRDefault="00050679" w:rsidP="00050679">
            <w:pPr>
              <w:jc w:val="center"/>
              <w:rPr>
                <w:color w:val="000000"/>
              </w:rPr>
            </w:pPr>
            <w:r w:rsidRPr="00050679">
              <w:rPr>
                <w:color w:val="000000"/>
              </w:rPr>
              <w:t>0.9514</w:t>
            </w:r>
          </w:p>
        </w:tc>
        <w:tc>
          <w:tcPr>
            <w:tcW w:w="1470" w:type="dxa"/>
            <w:tcBorders>
              <w:top w:val="nil"/>
              <w:left w:val="nil"/>
              <w:bottom w:val="nil"/>
              <w:right w:val="nil"/>
            </w:tcBorders>
            <w:shd w:val="clear" w:color="000000" w:fill="FFFFFF"/>
            <w:noWrap/>
            <w:vAlign w:val="center"/>
            <w:hideMark/>
          </w:tcPr>
          <w:p w14:paraId="16905DBC" w14:textId="77777777" w:rsidR="00050679" w:rsidRPr="00050679" w:rsidRDefault="00050679" w:rsidP="00050679">
            <w:pPr>
              <w:jc w:val="center"/>
              <w:rPr>
                <w:color w:val="000000"/>
              </w:rPr>
            </w:pPr>
            <w:r w:rsidRPr="00050679">
              <w:rPr>
                <w:color w:val="000000"/>
              </w:rPr>
              <w:t>0.0166</w:t>
            </w:r>
          </w:p>
        </w:tc>
        <w:tc>
          <w:tcPr>
            <w:tcW w:w="996" w:type="dxa"/>
            <w:tcBorders>
              <w:top w:val="nil"/>
              <w:left w:val="nil"/>
              <w:bottom w:val="nil"/>
              <w:right w:val="nil"/>
            </w:tcBorders>
            <w:shd w:val="clear" w:color="000000" w:fill="FFFFFF"/>
            <w:noWrap/>
            <w:vAlign w:val="center"/>
            <w:hideMark/>
          </w:tcPr>
          <w:p w14:paraId="3B68ABD8" w14:textId="77777777" w:rsidR="00050679" w:rsidRPr="00050679" w:rsidRDefault="00050679" w:rsidP="00050679">
            <w:pPr>
              <w:jc w:val="center"/>
              <w:rPr>
                <w:color w:val="000000"/>
              </w:rPr>
            </w:pPr>
            <w:r w:rsidRPr="00050679">
              <w:rPr>
                <w:color w:val="000000"/>
              </w:rPr>
              <w:t>17.4858</w:t>
            </w:r>
          </w:p>
        </w:tc>
        <w:tc>
          <w:tcPr>
            <w:tcW w:w="1219" w:type="dxa"/>
            <w:tcBorders>
              <w:top w:val="nil"/>
              <w:left w:val="nil"/>
              <w:bottom w:val="nil"/>
              <w:right w:val="single" w:sz="4" w:space="0" w:color="auto"/>
            </w:tcBorders>
            <w:shd w:val="clear" w:color="000000" w:fill="FFFFFF"/>
            <w:noWrap/>
            <w:vAlign w:val="center"/>
            <w:hideMark/>
          </w:tcPr>
          <w:p w14:paraId="3995604D" w14:textId="77777777" w:rsidR="00050679" w:rsidRPr="00050679" w:rsidRDefault="00050679" w:rsidP="00050679">
            <w:pPr>
              <w:jc w:val="center"/>
              <w:rPr>
                <w:color w:val="000000"/>
              </w:rPr>
            </w:pPr>
            <w:r w:rsidRPr="00050679">
              <w:rPr>
                <w:color w:val="000000"/>
              </w:rPr>
              <w:t>0.8213</w:t>
            </w:r>
          </w:p>
        </w:tc>
      </w:tr>
      <w:tr w:rsidR="00050679" w:rsidRPr="00050679" w14:paraId="26FAC6A9"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2D7E0FC8" w14:textId="77777777" w:rsidR="00050679" w:rsidRPr="00050679" w:rsidRDefault="00102DDD" w:rsidP="00050679">
            <w:pPr>
              <w:rPr>
                <w:color w:val="000000"/>
                <w:sz w:val="26"/>
                <w:szCs w:val="26"/>
              </w:rPr>
            </w:pPr>
            <w:hyperlink r:id="rId28" w:history="1">
              <w:r w:rsidR="00050679" w:rsidRPr="00050679">
                <w:rPr>
                  <w:color w:val="000000"/>
                  <w:sz w:val="26"/>
                  <w:szCs w:val="26"/>
                </w:rPr>
                <w:t>Bank of America Malaysia Berhad</w:t>
              </w:r>
            </w:hyperlink>
          </w:p>
        </w:tc>
        <w:tc>
          <w:tcPr>
            <w:tcW w:w="1276" w:type="dxa"/>
            <w:tcBorders>
              <w:top w:val="nil"/>
              <w:left w:val="nil"/>
              <w:bottom w:val="nil"/>
              <w:right w:val="nil"/>
            </w:tcBorders>
            <w:shd w:val="clear" w:color="000000" w:fill="FFFFFF"/>
            <w:noWrap/>
            <w:vAlign w:val="center"/>
            <w:hideMark/>
          </w:tcPr>
          <w:p w14:paraId="58304079" w14:textId="77777777" w:rsidR="00050679" w:rsidRPr="00050679" w:rsidRDefault="00050679" w:rsidP="00050679">
            <w:pPr>
              <w:jc w:val="center"/>
              <w:rPr>
                <w:color w:val="000000"/>
              </w:rPr>
            </w:pPr>
            <w:r w:rsidRPr="00050679">
              <w:rPr>
                <w:color w:val="000000"/>
              </w:rPr>
              <w:t>0.8715</w:t>
            </w:r>
          </w:p>
        </w:tc>
        <w:tc>
          <w:tcPr>
            <w:tcW w:w="1470" w:type="dxa"/>
            <w:tcBorders>
              <w:top w:val="nil"/>
              <w:left w:val="nil"/>
              <w:bottom w:val="nil"/>
              <w:right w:val="nil"/>
            </w:tcBorders>
            <w:shd w:val="clear" w:color="000000" w:fill="FFFFFF"/>
            <w:noWrap/>
            <w:vAlign w:val="center"/>
            <w:hideMark/>
          </w:tcPr>
          <w:p w14:paraId="4E265379" w14:textId="77777777" w:rsidR="00050679" w:rsidRPr="00050679" w:rsidRDefault="00050679" w:rsidP="00050679">
            <w:pPr>
              <w:jc w:val="center"/>
              <w:rPr>
                <w:color w:val="000000"/>
              </w:rPr>
            </w:pPr>
            <w:r w:rsidRPr="00050679">
              <w:rPr>
                <w:color w:val="000000"/>
              </w:rPr>
              <w:t>0.0360</w:t>
            </w:r>
          </w:p>
        </w:tc>
        <w:tc>
          <w:tcPr>
            <w:tcW w:w="996" w:type="dxa"/>
            <w:tcBorders>
              <w:top w:val="nil"/>
              <w:left w:val="nil"/>
              <w:bottom w:val="nil"/>
              <w:right w:val="nil"/>
            </w:tcBorders>
            <w:shd w:val="clear" w:color="000000" w:fill="FFFFFF"/>
            <w:noWrap/>
            <w:vAlign w:val="center"/>
            <w:hideMark/>
          </w:tcPr>
          <w:p w14:paraId="2F5D29EA" w14:textId="77777777" w:rsidR="00050679" w:rsidRPr="00050679" w:rsidRDefault="00050679" w:rsidP="00050679">
            <w:pPr>
              <w:jc w:val="center"/>
              <w:rPr>
                <w:color w:val="000000"/>
              </w:rPr>
            </w:pPr>
            <w:r w:rsidRPr="00050679">
              <w:rPr>
                <w:color w:val="000000"/>
              </w:rPr>
              <w:t>14.9590</w:t>
            </w:r>
          </w:p>
        </w:tc>
        <w:tc>
          <w:tcPr>
            <w:tcW w:w="1219" w:type="dxa"/>
            <w:tcBorders>
              <w:top w:val="nil"/>
              <w:left w:val="nil"/>
              <w:bottom w:val="nil"/>
              <w:right w:val="single" w:sz="4" w:space="0" w:color="auto"/>
            </w:tcBorders>
            <w:shd w:val="clear" w:color="000000" w:fill="FFFFFF"/>
            <w:noWrap/>
            <w:vAlign w:val="center"/>
            <w:hideMark/>
          </w:tcPr>
          <w:p w14:paraId="241DD17F" w14:textId="77777777" w:rsidR="00050679" w:rsidRPr="00050679" w:rsidRDefault="00050679" w:rsidP="00050679">
            <w:pPr>
              <w:jc w:val="center"/>
              <w:rPr>
                <w:color w:val="000000"/>
              </w:rPr>
            </w:pPr>
            <w:r w:rsidRPr="00050679">
              <w:rPr>
                <w:color w:val="000000"/>
              </w:rPr>
              <w:t>0.7238</w:t>
            </w:r>
          </w:p>
        </w:tc>
      </w:tr>
      <w:tr w:rsidR="00050679" w:rsidRPr="00050679" w14:paraId="2AFD6DAA"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7DA40CD8" w14:textId="77777777" w:rsidR="00050679" w:rsidRPr="00050679" w:rsidRDefault="00050679" w:rsidP="00050679">
            <w:pPr>
              <w:rPr>
                <w:color w:val="000000"/>
                <w:sz w:val="26"/>
                <w:szCs w:val="26"/>
              </w:rPr>
            </w:pPr>
            <w:r w:rsidRPr="00050679">
              <w:rPr>
                <w:color w:val="000000"/>
                <w:sz w:val="26"/>
                <w:szCs w:val="26"/>
              </w:rPr>
              <w:t>China Construction Bank (Malaysia) Berhad</w:t>
            </w:r>
          </w:p>
        </w:tc>
        <w:tc>
          <w:tcPr>
            <w:tcW w:w="1276" w:type="dxa"/>
            <w:tcBorders>
              <w:top w:val="nil"/>
              <w:left w:val="nil"/>
              <w:bottom w:val="nil"/>
              <w:right w:val="nil"/>
            </w:tcBorders>
            <w:shd w:val="clear" w:color="000000" w:fill="FFFFFF"/>
            <w:noWrap/>
            <w:vAlign w:val="center"/>
            <w:hideMark/>
          </w:tcPr>
          <w:p w14:paraId="198DB74D" w14:textId="77777777" w:rsidR="00050679" w:rsidRPr="00050679" w:rsidRDefault="00050679" w:rsidP="00050679">
            <w:pPr>
              <w:jc w:val="center"/>
              <w:rPr>
                <w:color w:val="000000"/>
              </w:rPr>
            </w:pPr>
            <w:r w:rsidRPr="00050679">
              <w:rPr>
                <w:color w:val="000000"/>
              </w:rPr>
              <w:t>0.9843</w:t>
            </w:r>
          </w:p>
        </w:tc>
        <w:tc>
          <w:tcPr>
            <w:tcW w:w="1470" w:type="dxa"/>
            <w:tcBorders>
              <w:top w:val="nil"/>
              <w:left w:val="nil"/>
              <w:bottom w:val="nil"/>
              <w:right w:val="nil"/>
            </w:tcBorders>
            <w:shd w:val="clear" w:color="000000" w:fill="FFFFFF"/>
            <w:noWrap/>
            <w:vAlign w:val="center"/>
            <w:hideMark/>
          </w:tcPr>
          <w:p w14:paraId="6CBDD020" w14:textId="77777777" w:rsidR="00050679" w:rsidRPr="00050679" w:rsidRDefault="00050679" w:rsidP="00050679">
            <w:pPr>
              <w:jc w:val="center"/>
              <w:rPr>
                <w:color w:val="000000"/>
              </w:rPr>
            </w:pPr>
            <w:r w:rsidRPr="00050679">
              <w:rPr>
                <w:color w:val="000000"/>
              </w:rPr>
              <w:t>0.0296</w:t>
            </w:r>
          </w:p>
        </w:tc>
        <w:tc>
          <w:tcPr>
            <w:tcW w:w="996" w:type="dxa"/>
            <w:tcBorders>
              <w:top w:val="nil"/>
              <w:left w:val="nil"/>
              <w:bottom w:val="nil"/>
              <w:right w:val="nil"/>
            </w:tcBorders>
            <w:shd w:val="clear" w:color="000000" w:fill="FFFFFF"/>
            <w:noWrap/>
            <w:vAlign w:val="center"/>
            <w:hideMark/>
          </w:tcPr>
          <w:p w14:paraId="48E63C95" w14:textId="77777777" w:rsidR="00050679" w:rsidRPr="00050679" w:rsidRDefault="00050679" w:rsidP="00050679">
            <w:pPr>
              <w:jc w:val="center"/>
              <w:rPr>
                <w:color w:val="000000"/>
              </w:rPr>
            </w:pPr>
            <w:r w:rsidRPr="00050679">
              <w:rPr>
                <w:color w:val="000000"/>
              </w:rPr>
              <w:t>16.8078</w:t>
            </w:r>
          </w:p>
        </w:tc>
        <w:tc>
          <w:tcPr>
            <w:tcW w:w="1219" w:type="dxa"/>
            <w:tcBorders>
              <w:top w:val="nil"/>
              <w:left w:val="nil"/>
              <w:bottom w:val="nil"/>
              <w:right w:val="single" w:sz="4" w:space="0" w:color="auto"/>
            </w:tcBorders>
            <w:shd w:val="clear" w:color="000000" w:fill="FFFFFF"/>
            <w:noWrap/>
            <w:vAlign w:val="center"/>
            <w:hideMark/>
          </w:tcPr>
          <w:p w14:paraId="43AEFBC4" w14:textId="77777777" w:rsidR="00050679" w:rsidRPr="00050679" w:rsidRDefault="00050679" w:rsidP="00050679">
            <w:pPr>
              <w:jc w:val="center"/>
              <w:rPr>
                <w:color w:val="000000"/>
              </w:rPr>
            </w:pPr>
            <w:r w:rsidRPr="00050679">
              <w:rPr>
                <w:color w:val="000000"/>
              </w:rPr>
              <w:t>0.8153</w:t>
            </w:r>
          </w:p>
        </w:tc>
      </w:tr>
      <w:tr w:rsidR="00050679" w:rsidRPr="00050679" w14:paraId="23E66CE8"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5764D5F8" w14:textId="77777777" w:rsidR="00050679" w:rsidRPr="00050679" w:rsidRDefault="00050679" w:rsidP="00050679">
            <w:pPr>
              <w:rPr>
                <w:color w:val="000000"/>
                <w:sz w:val="26"/>
                <w:szCs w:val="26"/>
              </w:rPr>
            </w:pPr>
            <w:r w:rsidRPr="00050679">
              <w:rPr>
                <w:color w:val="000000"/>
                <w:sz w:val="26"/>
                <w:szCs w:val="26"/>
              </w:rPr>
              <w:t>Bank of China (Malaysia) Berhad</w:t>
            </w:r>
          </w:p>
        </w:tc>
        <w:tc>
          <w:tcPr>
            <w:tcW w:w="1276" w:type="dxa"/>
            <w:tcBorders>
              <w:top w:val="nil"/>
              <w:left w:val="nil"/>
              <w:bottom w:val="nil"/>
              <w:right w:val="nil"/>
            </w:tcBorders>
            <w:shd w:val="clear" w:color="000000" w:fill="FFFFFF"/>
            <w:noWrap/>
            <w:vAlign w:val="center"/>
            <w:hideMark/>
          </w:tcPr>
          <w:p w14:paraId="5271624F" w14:textId="77777777" w:rsidR="00050679" w:rsidRPr="00050679" w:rsidRDefault="00050679" w:rsidP="00050679">
            <w:pPr>
              <w:jc w:val="center"/>
              <w:rPr>
                <w:color w:val="000000"/>
              </w:rPr>
            </w:pPr>
            <w:r w:rsidRPr="00050679">
              <w:rPr>
                <w:color w:val="000000"/>
              </w:rPr>
              <w:t>0.9833</w:t>
            </w:r>
          </w:p>
        </w:tc>
        <w:tc>
          <w:tcPr>
            <w:tcW w:w="1470" w:type="dxa"/>
            <w:tcBorders>
              <w:top w:val="nil"/>
              <w:left w:val="nil"/>
              <w:bottom w:val="nil"/>
              <w:right w:val="nil"/>
            </w:tcBorders>
            <w:shd w:val="clear" w:color="000000" w:fill="FFFFFF"/>
            <w:noWrap/>
            <w:vAlign w:val="center"/>
            <w:hideMark/>
          </w:tcPr>
          <w:p w14:paraId="62D55B05" w14:textId="77777777" w:rsidR="00050679" w:rsidRPr="00050679" w:rsidRDefault="00050679" w:rsidP="00050679">
            <w:pPr>
              <w:jc w:val="center"/>
              <w:rPr>
                <w:color w:val="000000"/>
              </w:rPr>
            </w:pPr>
            <w:r w:rsidRPr="00050679">
              <w:rPr>
                <w:color w:val="000000"/>
              </w:rPr>
              <w:t>0.0138</w:t>
            </w:r>
          </w:p>
        </w:tc>
        <w:tc>
          <w:tcPr>
            <w:tcW w:w="996" w:type="dxa"/>
            <w:tcBorders>
              <w:top w:val="nil"/>
              <w:left w:val="nil"/>
              <w:bottom w:val="nil"/>
              <w:right w:val="nil"/>
            </w:tcBorders>
            <w:shd w:val="clear" w:color="000000" w:fill="FFFFFF"/>
            <w:noWrap/>
            <w:vAlign w:val="center"/>
            <w:hideMark/>
          </w:tcPr>
          <w:p w14:paraId="2E11C55B" w14:textId="77777777" w:rsidR="00050679" w:rsidRPr="00050679" w:rsidRDefault="00050679" w:rsidP="00050679">
            <w:pPr>
              <w:jc w:val="center"/>
              <w:rPr>
                <w:color w:val="000000"/>
              </w:rPr>
            </w:pPr>
            <w:r w:rsidRPr="00050679">
              <w:rPr>
                <w:color w:val="000000"/>
              </w:rPr>
              <w:t>16.1688</w:t>
            </w:r>
          </w:p>
        </w:tc>
        <w:tc>
          <w:tcPr>
            <w:tcW w:w="1219" w:type="dxa"/>
            <w:tcBorders>
              <w:top w:val="nil"/>
              <w:left w:val="nil"/>
              <w:bottom w:val="nil"/>
              <w:right w:val="single" w:sz="4" w:space="0" w:color="auto"/>
            </w:tcBorders>
            <w:shd w:val="clear" w:color="000000" w:fill="FFFFFF"/>
            <w:noWrap/>
            <w:vAlign w:val="center"/>
            <w:hideMark/>
          </w:tcPr>
          <w:p w14:paraId="7ACCF52B" w14:textId="77777777" w:rsidR="00050679" w:rsidRPr="00050679" w:rsidRDefault="00050679" w:rsidP="00050679">
            <w:pPr>
              <w:jc w:val="center"/>
              <w:rPr>
                <w:color w:val="000000"/>
              </w:rPr>
            </w:pPr>
            <w:r w:rsidRPr="00050679">
              <w:rPr>
                <w:color w:val="000000"/>
              </w:rPr>
              <w:t>0.8227</w:t>
            </w:r>
          </w:p>
        </w:tc>
      </w:tr>
      <w:tr w:rsidR="00050679" w:rsidRPr="00050679" w14:paraId="291DCC8B"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59ECC48A" w14:textId="77777777" w:rsidR="00050679" w:rsidRPr="00050679" w:rsidRDefault="00050679" w:rsidP="00050679">
            <w:pPr>
              <w:rPr>
                <w:color w:val="000000"/>
                <w:sz w:val="26"/>
                <w:szCs w:val="26"/>
              </w:rPr>
            </w:pPr>
            <w:r w:rsidRPr="00050679">
              <w:rPr>
                <w:color w:val="000000"/>
                <w:sz w:val="26"/>
                <w:szCs w:val="26"/>
              </w:rPr>
              <w:t>Bangkok Bank Berhad</w:t>
            </w:r>
          </w:p>
        </w:tc>
        <w:tc>
          <w:tcPr>
            <w:tcW w:w="1276" w:type="dxa"/>
            <w:tcBorders>
              <w:top w:val="nil"/>
              <w:left w:val="nil"/>
              <w:bottom w:val="nil"/>
              <w:right w:val="nil"/>
            </w:tcBorders>
            <w:shd w:val="clear" w:color="000000" w:fill="FFFFFF"/>
            <w:noWrap/>
            <w:vAlign w:val="center"/>
            <w:hideMark/>
          </w:tcPr>
          <w:p w14:paraId="6B3CCE2D" w14:textId="77777777" w:rsidR="00050679" w:rsidRPr="00050679" w:rsidRDefault="00050679" w:rsidP="00050679">
            <w:pPr>
              <w:jc w:val="center"/>
              <w:rPr>
                <w:color w:val="000000"/>
              </w:rPr>
            </w:pPr>
            <w:r w:rsidRPr="00050679">
              <w:rPr>
                <w:color w:val="000000"/>
              </w:rPr>
              <w:t>0.9446</w:t>
            </w:r>
          </w:p>
        </w:tc>
        <w:tc>
          <w:tcPr>
            <w:tcW w:w="1470" w:type="dxa"/>
            <w:tcBorders>
              <w:top w:val="nil"/>
              <w:left w:val="nil"/>
              <w:bottom w:val="nil"/>
              <w:right w:val="nil"/>
            </w:tcBorders>
            <w:shd w:val="clear" w:color="000000" w:fill="FFFFFF"/>
            <w:noWrap/>
            <w:vAlign w:val="center"/>
            <w:hideMark/>
          </w:tcPr>
          <w:p w14:paraId="16BE91B5" w14:textId="77777777" w:rsidR="00050679" w:rsidRPr="00050679" w:rsidRDefault="00050679" w:rsidP="00050679">
            <w:pPr>
              <w:jc w:val="center"/>
              <w:rPr>
                <w:color w:val="000000"/>
              </w:rPr>
            </w:pPr>
            <w:r w:rsidRPr="00050679">
              <w:rPr>
                <w:color w:val="000000"/>
              </w:rPr>
              <w:t>0.0202</w:t>
            </w:r>
          </w:p>
        </w:tc>
        <w:tc>
          <w:tcPr>
            <w:tcW w:w="996" w:type="dxa"/>
            <w:tcBorders>
              <w:top w:val="nil"/>
              <w:left w:val="nil"/>
              <w:bottom w:val="nil"/>
              <w:right w:val="nil"/>
            </w:tcBorders>
            <w:shd w:val="clear" w:color="000000" w:fill="FFFFFF"/>
            <w:noWrap/>
            <w:vAlign w:val="center"/>
            <w:hideMark/>
          </w:tcPr>
          <w:p w14:paraId="27E87BE3" w14:textId="77777777" w:rsidR="00050679" w:rsidRPr="00050679" w:rsidRDefault="00050679" w:rsidP="00050679">
            <w:pPr>
              <w:jc w:val="center"/>
              <w:rPr>
                <w:color w:val="000000"/>
              </w:rPr>
            </w:pPr>
            <w:r w:rsidRPr="00050679">
              <w:rPr>
                <w:color w:val="000000"/>
              </w:rPr>
              <w:t>15.3687</w:t>
            </w:r>
          </w:p>
        </w:tc>
        <w:tc>
          <w:tcPr>
            <w:tcW w:w="1219" w:type="dxa"/>
            <w:tcBorders>
              <w:top w:val="nil"/>
              <w:left w:val="nil"/>
              <w:bottom w:val="nil"/>
              <w:right w:val="single" w:sz="4" w:space="0" w:color="auto"/>
            </w:tcBorders>
            <w:shd w:val="clear" w:color="000000" w:fill="FFFFFF"/>
            <w:noWrap/>
            <w:vAlign w:val="center"/>
            <w:hideMark/>
          </w:tcPr>
          <w:p w14:paraId="1CE5709C" w14:textId="77777777" w:rsidR="00050679" w:rsidRPr="00050679" w:rsidRDefault="00050679" w:rsidP="00050679">
            <w:pPr>
              <w:jc w:val="center"/>
              <w:rPr>
                <w:color w:val="000000"/>
              </w:rPr>
            </w:pPr>
            <w:r w:rsidRPr="00050679">
              <w:rPr>
                <w:color w:val="000000"/>
              </w:rPr>
              <w:t>0.7861</w:t>
            </w:r>
          </w:p>
        </w:tc>
      </w:tr>
      <w:tr w:rsidR="00050679" w:rsidRPr="00050679" w14:paraId="597EDB59" w14:textId="77777777" w:rsidTr="00C7065C">
        <w:trPr>
          <w:trHeight w:val="340"/>
        </w:trPr>
        <w:tc>
          <w:tcPr>
            <w:tcW w:w="4106" w:type="dxa"/>
            <w:tcBorders>
              <w:top w:val="nil"/>
              <w:left w:val="single" w:sz="4" w:space="0" w:color="auto"/>
              <w:bottom w:val="nil"/>
              <w:right w:val="single" w:sz="4" w:space="0" w:color="auto"/>
            </w:tcBorders>
            <w:shd w:val="clear" w:color="000000" w:fill="FFFFFF"/>
            <w:noWrap/>
            <w:vAlign w:val="center"/>
            <w:hideMark/>
          </w:tcPr>
          <w:p w14:paraId="773CA8FD" w14:textId="77777777" w:rsidR="00050679" w:rsidRPr="00050679" w:rsidRDefault="00050679" w:rsidP="00050679">
            <w:pPr>
              <w:rPr>
                <w:color w:val="000000"/>
                <w:sz w:val="26"/>
                <w:szCs w:val="26"/>
              </w:rPr>
            </w:pPr>
            <w:r w:rsidRPr="00050679">
              <w:rPr>
                <w:color w:val="000000"/>
                <w:sz w:val="26"/>
                <w:szCs w:val="26"/>
              </w:rPr>
              <w:t>India International Bank (Malaysia) Berhad</w:t>
            </w:r>
          </w:p>
        </w:tc>
        <w:tc>
          <w:tcPr>
            <w:tcW w:w="1276" w:type="dxa"/>
            <w:tcBorders>
              <w:top w:val="nil"/>
              <w:left w:val="nil"/>
              <w:bottom w:val="nil"/>
              <w:right w:val="nil"/>
            </w:tcBorders>
            <w:shd w:val="clear" w:color="000000" w:fill="FFFFFF"/>
            <w:noWrap/>
            <w:vAlign w:val="center"/>
            <w:hideMark/>
          </w:tcPr>
          <w:p w14:paraId="6D2BF076" w14:textId="77777777" w:rsidR="00050679" w:rsidRPr="00050679" w:rsidRDefault="00050679" w:rsidP="00050679">
            <w:pPr>
              <w:jc w:val="center"/>
              <w:rPr>
                <w:color w:val="000000"/>
              </w:rPr>
            </w:pPr>
            <w:r w:rsidRPr="00050679">
              <w:rPr>
                <w:color w:val="000000"/>
              </w:rPr>
              <w:t>0.9888</w:t>
            </w:r>
          </w:p>
        </w:tc>
        <w:tc>
          <w:tcPr>
            <w:tcW w:w="1470" w:type="dxa"/>
            <w:tcBorders>
              <w:top w:val="nil"/>
              <w:left w:val="nil"/>
              <w:bottom w:val="nil"/>
              <w:right w:val="nil"/>
            </w:tcBorders>
            <w:shd w:val="clear" w:color="000000" w:fill="FFFFFF"/>
            <w:noWrap/>
            <w:vAlign w:val="center"/>
            <w:hideMark/>
          </w:tcPr>
          <w:p w14:paraId="49B4D720" w14:textId="77777777" w:rsidR="00050679" w:rsidRPr="00050679" w:rsidRDefault="00050679" w:rsidP="00050679">
            <w:pPr>
              <w:jc w:val="center"/>
              <w:rPr>
                <w:color w:val="000000"/>
              </w:rPr>
            </w:pPr>
            <w:r w:rsidRPr="00050679">
              <w:rPr>
                <w:color w:val="000000"/>
              </w:rPr>
              <w:t>0.0317</w:t>
            </w:r>
          </w:p>
        </w:tc>
        <w:tc>
          <w:tcPr>
            <w:tcW w:w="996" w:type="dxa"/>
            <w:tcBorders>
              <w:top w:val="nil"/>
              <w:left w:val="nil"/>
              <w:bottom w:val="nil"/>
              <w:right w:val="nil"/>
            </w:tcBorders>
            <w:shd w:val="clear" w:color="000000" w:fill="FFFFFF"/>
            <w:noWrap/>
            <w:vAlign w:val="center"/>
            <w:hideMark/>
          </w:tcPr>
          <w:p w14:paraId="39ADD4FF" w14:textId="77777777" w:rsidR="00050679" w:rsidRPr="00050679" w:rsidRDefault="00050679" w:rsidP="00050679">
            <w:pPr>
              <w:jc w:val="center"/>
              <w:rPr>
                <w:color w:val="000000"/>
              </w:rPr>
            </w:pPr>
            <w:r w:rsidRPr="00050679">
              <w:rPr>
                <w:color w:val="000000"/>
              </w:rPr>
              <w:t>13.0418</w:t>
            </w:r>
          </w:p>
        </w:tc>
        <w:tc>
          <w:tcPr>
            <w:tcW w:w="1219" w:type="dxa"/>
            <w:tcBorders>
              <w:top w:val="nil"/>
              <w:left w:val="nil"/>
              <w:bottom w:val="nil"/>
              <w:right w:val="single" w:sz="4" w:space="0" w:color="auto"/>
            </w:tcBorders>
            <w:shd w:val="clear" w:color="000000" w:fill="FFFFFF"/>
            <w:noWrap/>
            <w:vAlign w:val="center"/>
            <w:hideMark/>
          </w:tcPr>
          <w:p w14:paraId="5CD10377" w14:textId="77777777" w:rsidR="00050679" w:rsidRPr="00050679" w:rsidRDefault="00050679" w:rsidP="00050679">
            <w:pPr>
              <w:jc w:val="center"/>
              <w:rPr>
                <w:color w:val="000000"/>
              </w:rPr>
            </w:pPr>
            <w:r w:rsidRPr="00050679">
              <w:rPr>
                <w:color w:val="000000"/>
              </w:rPr>
              <w:t>0.3002</w:t>
            </w:r>
          </w:p>
        </w:tc>
      </w:tr>
      <w:tr w:rsidR="00050679" w:rsidRPr="00050679" w14:paraId="37CE7C13" w14:textId="77777777" w:rsidTr="00C7065C">
        <w:trPr>
          <w:trHeight w:val="34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72B1CD7B" w14:textId="77777777" w:rsidR="00050679" w:rsidRPr="00050679" w:rsidRDefault="00050679" w:rsidP="00050679">
            <w:pPr>
              <w:rPr>
                <w:color w:val="000000"/>
                <w:sz w:val="26"/>
                <w:szCs w:val="26"/>
              </w:rPr>
            </w:pPr>
            <w:r w:rsidRPr="00050679">
              <w:rPr>
                <w:color w:val="000000"/>
                <w:sz w:val="26"/>
                <w:szCs w:val="26"/>
              </w:rPr>
              <w:t>Standard Chartered Bank Malaysia Berhad</w:t>
            </w:r>
          </w:p>
        </w:tc>
        <w:tc>
          <w:tcPr>
            <w:tcW w:w="1276" w:type="dxa"/>
            <w:tcBorders>
              <w:top w:val="nil"/>
              <w:left w:val="nil"/>
              <w:bottom w:val="single" w:sz="4" w:space="0" w:color="auto"/>
              <w:right w:val="nil"/>
            </w:tcBorders>
            <w:shd w:val="clear" w:color="000000" w:fill="FFFFFF"/>
            <w:noWrap/>
            <w:vAlign w:val="center"/>
            <w:hideMark/>
          </w:tcPr>
          <w:p w14:paraId="2A24D3F5" w14:textId="77777777" w:rsidR="00050679" w:rsidRPr="00050679" w:rsidRDefault="00050679" w:rsidP="00050679">
            <w:pPr>
              <w:jc w:val="center"/>
              <w:rPr>
                <w:color w:val="000000"/>
              </w:rPr>
            </w:pPr>
            <w:r w:rsidRPr="00050679">
              <w:rPr>
                <w:color w:val="000000"/>
              </w:rPr>
              <w:t>0.9654</w:t>
            </w:r>
          </w:p>
        </w:tc>
        <w:tc>
          <w:tcPr>
            <w:tcW w:w="1470" w:type="dxa"/>
            <w:tcBorders>
              <w:top w:val="nil"/>
              <w:left w:val="nil"/>
              <w:bottom w:val="single" w:sz="4" w:space="0" w:color="auto"/>
              <w:right w:val="nil"/>
            </w:tcBorders>
            <w:shd w:val="clear" w:color="000000" w:fill="FFFFFF"/>
            <w:noWrap/>
            <w:vAlign w:val="center"/>
            <w:hideMark/>
          </w:tcPr>
          <w:p w14:paraId="61E4239C" w14:textId="77777777" w:rsidR="00050679" w:rsidRPr="00050679" w:rsidRDefault="00050679" w:rsidP="00050679">
            <w:pPr>
              <w:jc w:val="center"/>
              <w:rPr>
                <w:color w:val="000000"/>
              </w:rPr>
            </w:pPr>
            <w:r w:rsidRPr="00050679">
              <w:rPr>
                <w:color w:val="000000"/>
              </w:rPr>
              <w:t>0.0372</w:t>
            </w:r>
          </w:p>
        </w:tc>
        <w:tc>
          <w:tcPr>
            <w:tcW w:w="996" w:type="dxa"/>
            <w:tcBorders>
              <w:top w:val="nil"/>
              <w:left w:val="nil"/>
              <w:bottom w:val="single" w:sz="4" w:space="0" w:color="auto"/>
              <w:right w:val="nil"/>
            </w:tcBorders>
            <w:shd w:val="clear" w:color="000000" w:fill="FFFFFF"/>
            <w:noWrap/>
            <w:vAlign w:val="center"/>
            <w:hideMark/>
          </w:tcPr>
          <w:p w14:paraId="08370E10" w14:textId="77777777" w:rsidR="00050679" w:rsidRPr="00050679" w:rsidRDefault="00050679" w:rsidP="00050679">
            <w:pPr>
              <w:jc w:val="center"/>
              <w:rPr>
                <w:color w:val="000000"/>
              </w:rPr>
            </w:pPr>
            <w:r w:rsidRPr="00050679">
              <w:rPr>
                <w:color w:val="000000"/>
              </w:rPr>
              <w:t>17.6814</w:t>
            </w:r>
          </w:p>
        </w:tc>
        <w:tc>
          <w:tcPr>
            <w:tcW w:w="1219" w:type="dxa"/>
            <w:tcBorders>
              <w:top w:val="nil"/>
              <w:left w:val="nil"/>
              <w:bottom w:val="single" w:sz="4" w:space="0" w:color="auto"/>
              <w:right w:val="single" w:sz="4" w:space="0" w:color="auto"/>
            </w:tcBorders>
            <w:shd w:val="clear" w:color="000000" w:fill="FFFFFF"/>
            <w:noWrap/>
            <w:vAlign w:val="center"/>
            <w:hideMark/>
          </w:tcPr>
          <w:p w14:paraId="43232EFD" w14:textId="77777777" w:rsidR="00050679" w:rsidRPr="00050679" w:rsidRDefault="00050679" w:rsidP="00050679">
            <w:pPr>
              <w:jc w:val="center"/>
              <w:rPr>
                <w:color w:val="000000"/>
              </w:rPr>
            </w:pPr>
            <w:r w:rsidRPr="00050679">
              <w:rPr>
                <w:color w:val="000000"/>
              </w:rPr>
              <w:t>0.7697</w:t>
            </w:r>
          </w:p>
        </w:tc>
      </w:tr>
    </w:tbl>
    <w:p w14:paraId="39FA7694" w14:textId="31741BD2" w:rsidR="00050679" w:rsidRDefault="00C7065C" w:rsidP="00C7065C">
      <w:pPr>
        <w:spacing w:after="480" w:line="360" w:lineRule="auto"/>
        <w:jc w:val="both"/>
        <w:rPr>
          <w:rFonts w:ascii="Arial" w:hAnsi="Arial" w:cs="Arial"/>
        </w:rPr>
      </w:pPr>
      <w:r w:rsidRPr="00C7065C">
        <w:rPr>
          <w:rFonts w:ascii="Arial" w:hAnsi="Arial" w:cs="Arial"/>
        </w:rPr>
        <w:t>conventional banks. Moreover, Alliance Bank Malaysia Berhad had the highest demand for deposits from 2014 to 2018. India International Bank (Malaysia) Berhad had the lowest demand on deposits which was a big difference compare to other banks.</w:t>
      </w:r>
    </w:p>
    <w:p w14:paraId="6C55C504" w14:textId="46C2C95C" w:rsidR="00B02CF5" w:rsidRPr="00E06574" w:rsidRDefault="00B02CF5" w:rsidP="00C7065C">
      <w:pPr>
        <w:spacing w:after="480" w:line="360" w:lineRule="auto"/>
        <w:jc w:val="both"/>
        <w:rPr>
          <w:rFonts w:ascii="Arial" w:hAnsi="Arial" w:cs="Arial"/>
          <w:lang w:val="en-US"/>
        </w:rPr>
      </w:pPr>
      <w:r>
        <w:rPr>
          <w:rFonts w:ascii="Arial" w:hAnsi="Arial" w:cs="Arial"/>
        </w:rPr>
        <w:t xml:space="preserve">     </w:t>
      </w:r>
      <w:r w:rsidR="00E06574">
        <w:rPr>
          <w:rFonts w:ascii="Arial" w:hAnsi="Arial" w:cs="Arial"/>
        </w:rPr>
        <w:t xml:space="preserve">Table </w:t>
      </w:r>
      <w:r w:rsidR="00E06574" w:rsidRPr="0000782B">
        <w:rPr>
          <w:rFonts w:ascii="Arial" w:hAnsi="Arial" w:cs="Arial"/>
        </w:rPr>
        <w:t xml:space="preserve">4.1 shows the 15 Islamic banks' average ratios from 2014 to 2018. As we can see all the Islamic banks’ liquidity ratios were similar and all above 0.9100. </w:t>
      </w:r>
      <w:r w:rsidR="00E06574" w:rsidRPr="0000782B">
        <w:rPr>
          <w:rFonts w:ascii="Arial" w:hAnsi="Arial" w:cs="Arial"/>
        </w:rPr>
        <w:lastRenderedPageBreak/>
        <w:t>It indicated all the Islamic banks had a similar ability to convert assets into cash quickly. MBSB Bank Berhad had the highest ROA which had the highest profitability compare to other Islamic banks. RHB Islamic Bank Berhad had the lowest profitability among these 15 Islamic banks. Maybank Islamic Berhad had the larger bank size and Corporation (Malaysia) Berhad had the smallest bank size among all Islamic banks form 2014 to 2018. The deposits for Maybank Islamic Berhad were 0.9169 which was the highest</w:t>
      </w:r>
      <w:r w:rsidR="00E06574" w:rsidRPr="00E06574">
        <w:rPr>
          <w:color w:val="222222"/>
          <w:sz w:val="26"/>
          <w:szCs w:val="26"/>
        </w:rPr>
        <w:t xml:space="preserve"> </w:t>
      </w:r>
      <w:r w:rsidR="00E06574" w:rsidRPr="0000782B">
        <w:rPr>
          <w:rFonts w:ascii="Arial" w:hAnsi="Arial" w:cs="Arial"/>
        </w:rPr>
        <w:t>demand on the banks’ deposit. Standard Chartered Saadiq Berhad had the lowest demand on bank deposits from 2014 to 2018 in all the Islamic banks.</w:t>
      </w:r>
    </w:p>
    <w:p w14:paraId="2C897A24" w14:textId="58A0EE90" w:rsidR="00C7065C" w:rsidRPr="00F25D65" w:rsidRDefault="00C7065C" w:rsidP="00F25D65">
      <w:pPr>
        <w:spacing w:after="480" w:line="360" w:lineRule="auto"/>
        <w:jc w:val="center"/>
        <w:rPr>
          <w:rFonts w:ascii="Arial" w:hAnsi="Arial" w:cs="Arial"/>
          <w:b/>
          <w:bCs/>
        </w:rPr>
      </w:pPr>
      <w:r w:rsidRPr="00F25D65">
        <w:rPr>
          <w:rFonts w:ascii="Arial" w:hAnsi="Arial" w:cs="Arial"/>
          <w:b/>
          <w:bCs/>
        </w:rPr>
        <w:t xml:space="preserve">Table 4.1: </w:t>
      </w:r>
      <w:r w:rsidR="00F25D65" w:rsidRPr="00F25D65">
        <w:rPr>
          <w:rFonts w:ascii="Arial" w:hAnsi="Arial" w:cs="Arial"/>
          <w:b/>
          <w:bCs/>
        </w:rPr>
        <w:t xml:space="preserve">Summary of  the </w:t>
      </w:r>
      <w:r w:rsidRPr="00F25D65">
        <w:rPr>
          <w:rFonts w:ascii="Arial" w:hAnsi="Arial" w:cs="Arial"/>
          <w:b/>
          <w:bCs/>
        </w:rPr>
        <w:t>Ratios of Islamic Banks</w:t>
      </w:r>
    </w:p>
    <w:tbl>
      <w:tblPr>
        <w:tblW w:w="8749" w:type="dxa"/>
        <w:tblLook w:val="04A0" w:firstRow="1" w:lastRow="0" w:firstColumn="1" w:lastColumn="0" w:noHBand="0" w:noVBand="1"/>
      </w:tblPr>
      <w:tblGrid>
        <w:gridCol w:w="3991"/>
        <w:gridCol w:w="1185"/>
        <w:gridCol w:w="1480"/>
        <w:gridCol w:w="1002"/>
        <w:gridCol w:w="1091"/>
      </w:tblGrid>
      <w:tr w:rsidR="00C7065C" w:rsidRPr="00C7065C" w14:paraId="3601897E" w14:textId="77777777" w:rsidTr="00C7065C">
        <w:trPr>
          <w:trHeight w:val="362"/>
        </w:trPr>
        <w:tc>
          <w:tcPr>
            <w:tcW w:w="8749" w:type="dxa"/>
            <w:gridSpan w:val="5"/>
            <w:tcBorders>
              <w:top w:val="single" w:sz="4" w:space="0" w:color="auto"/>
              <w:left w:val="single" w:sz="4" w:space="0" w:color="auto"/>
              <w:bottom w:val="nil"/>
              <w:right w:val="single" w:sz="4" w:space="0" w:color="000000"/>
            </w:tcBorders>
            <w:shd w:val="clear" w:color="000000" w:fill="FFFFFF"/>
            <w:noWrap/>
            <w:vAlign w:val="bottom"/>
            <w:hideMark/>
          </w:tcPr>
          <w:p w14:paraId="14024443" w14:textId="77777777" w:rsidR="00C7065C" w:rsidRPr="00C7065C" w:rsidRDefault="00C7065C" w:rsidP="00C7065C">
            <w:pPr>
              <w:jc w:val="center"/>
              <w:rPr>
                <w:b/>
                <w:bCs/>
                <w:color w:val="000000"/>
                <w:sz w:val="28"/>
                <w:szCs w:val="28"/>
              </w:rPr>
            </w:pPr>
            <w:r w:rsidRPr="00C7065C">
              <w:rPr>
                <w:b/>
                <w:bCs/>
                <w:color w:val="000000"/>
                <w:sz w:val="28"/>
                <w:szCs w:val="28"/>
              </w:rPr>
              <w:t>Islamic Banks</w:t>
            </w:r>
          </w:p>
        </w:tc>
      </w:tr>
      <w:tr w:rsidR="00C7065C" w:rsidRPr="00C7065C" w14:paraId="2B35E08F" w14:textId="77777777" w:rsidTr="00C7065C">
        <w:trPr>
          <w:trHeight w:val="342"/>
        </w:trPr>
        <w:tc>
          <w:tcPr>
            <w:tcW w:w="3991" w:type="dxa"/>
            <w:tcBorders>
              <w:top w:val="nil"/>
              <w:left w:val="single" w:sz="4" w:space="0" w:color="auto"/>
              <w:bottom w:val="single" w:sz="8" w:space="0" w:color="auto"/>
              <w:right w:val="nil"/>
            </w:tcBorders>
            <w:shd w:val="clear" w:color="000000" w:fill="FFFFFF"/>
            <w:noWrap/>
            <w:vAlign w:val="center"/>
            <w:hideMark/>
          </w:tcPr>
          <w:p w14:paraId="740487BA" w14:textId="77777777" w:rsidR="00C7065C" w:rsidRPr="00C7065C" w:rsidRDefault="00C7065C" w:rsidP="00C7065C">
            <w:pPr>
              <w:jc w:val="center"/>
              <w:rPr>
                <w:b/>
                <w:bCs/>
                <w:color w:val="000000"/>
              </w:rPr>
            </w:pPr>
            <w:r w:rsidRPr="00C7065C">
              <w:rPr>
                <w:b/>
                <w:bCs/>
                <w:color w:val="000000"/>
              </w:rPr>
              <w:t>Banks</w:t>
            </w:r>
          </w:p>
        </w:tc>
        <w:tc>
          <w:tcPr>
            <w:tcW w:w="1185" w:type="dxa"/>
            <w:tcBorders>
              <w:top w:val="nil"/>
              <w:left w:val="nil"/>
              <w:bottom w:val="single" w:sz="8" w:space="0" w:color="auto"/>
              <w:right w:val="nil"/>
            </w:tcBorders>
            <w:shd w:val="clear" w:color="000000" w:fill="FFFFFF"/>
            <w:noWrap/>
            <w:vAlign w:val="center"/>
            <w:hideMark/>
          </w:tcPr>
          <w:p w14:paraId="6CD7EC6B" w14:textId="77777777" w:rsidR="00C7065C" w:rsidRPr="00C7065C" w:rsidRDefault="00C7065C" w:rsidP="00C7065C">
            <w:pPr>
              <w:jc w:val="center"/>
              <w:rPr>
                <w:b/>
                <w:bCs/>
                <w:color w:val="000000"/>
              </w:rPr>
            </w:pPr>
            <w:r w:rsidRPr="00C7065C">
              <w:rPr>
                <w:b/>
                <w:bCs/>
                <w:color w:val="000000"/>
              </w:rPr>
              <w:t>Liquidity</w:t>
            </w:r>
          </w:p>
        </w:tc>
        <w:tc>
          <w:tcPr>
            <w:tcW w:w="1480" w:type="dxa"/>
            <w:tcBorders>
              <w:top w:val="nil"/>
              <w:left w:val="nil"/>
              <w:bottom w:val="single" w:sz="8" w:space="0" w:color="auto"/>
              <w:right w:val="nil"/>
            </w:tcBorders>
            <w:shd w:val="clear" w:color="000000" w:fill="FFFFFF"/>
            <w:noWrap/>
            <w:vAlign w:val="center"/>
            <w:hideMark/>
          </w:tcPr>
          <w:p w14:paraId="3295BCD5" w14:textId="5F0F1382" w:rsidR="00C7065C" w:rsidRPr="00C7065C" w:rsidRDefault="00C7065C" w:rsidP="00C7065C">
            <w:pPr>
              <w:jc w:val="center"/>
              <w:rPr>
                <w:b/>
                <w:bCs/>
                <w:color w:val="000000"/>
              </w:rPr>
            </w:pPr>
            <w:r w:rsidRPr="00C7065C">
              <w:rPr>
                <w:b/>
                <w:bCs/>
                <w:color w:val="000000"/>
              </w:rPr>
              <w:t>Profitability</w:t>
            </w:r>
          </w:p>
        </w:tc>
        <w:tc>
          <w:tcPr>
            <w:tcW w:w="1002" w:type="dxa"/>
            <w:tcBorders>
              <w:top w:val="nil"/>
              <w:left w:val="nil"/>
              <w:bottom w:val="single" w:sz="8" w:space="0" w:color="auto"/>
              <w:right w:val="nil"/>
            </w:tcBorders>
            <w:shd w:val="clear" w:color="000000" w:fill="FFFFFF"/>
            <w:noWrap/>
            <w:vAlign w:val="center"/>
            <w:hideMark/>
          </w:tcPr>
          <w:p w14:paraId="357A09E0" w14:textId="77777777" w:rsidR="00C7065C" w:rsidRPr="00C7065C" w:rsidRDefault="00C7065C" w:rsidP="00C7065C">
            <w:pPr>
              <w:jc w:val="center"/>
              <w:rPr>
                <w:b/>
                <w:bCs/>
                <w:color w:val="000000"/>
              </w:rPr>
            </w:pPr>
            <w:r w:rsidRPr="00C7065C">
              <w:rPr>
                <w:b/>
                <w:bCs/>
                <w:color w:val="000000"/>
              </w:rPr>
              <w:t>Bank size</w:t>
            </w:r>
          </w:p>
        </w:tc>
        <w:tc>
          <w:tcPr>
            <w:tcW w:w="1090" w:type="dxa"/>
            <w:tcBorders>
              <w:top w:val="nil"/>
              <w:left w:val="nil"/>
              <w:bottom w:val="single" w:sz="8" w:space="0" w:color="auto"/>
              <w:right w:val="single" w:sz="4" w:space="0" w:color="auto"/>
            </w:tcBorders>
            <w:shd w:val="clear" w:color="000000" w:fill="FFFFFF"/>
            <w:noWrap/>
            <w:vAlign w:val="center"/>
            <w:hideMark/>
          </w:tcPr>
          <w:p w14:paraId="25D9AFB1" w14:textId="77777777" w:rsidR="00C7065C" w:rsidRPr="00C7065C" w:rsidRDefault="00C7065C" w:rsidP="00C7065C">
            <w:pPr>
              <w:jc w:val="center"/>
              <w:rPr>
                <w:b/>
                <w:bCs/>
                <w:color w:val="000000"/>
              </w:rPr>
            </w:pPr>
            <w:r w:rsidRPr="00C7065C">
              <w:rPr>
                <w:b/>
                <w:bCs/>
                <w:color w:val="000000"/>
              </w:rPr>
              <w:t>Deposits</w:t>
            </w:r>
          </w:p>
        </w:tc>
      </w:tr>
      <w:tr w:rsidR="00C7065C" w:rsidRPr="00C7065C" w14:paraId="7F3EE074"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4CF49DD3" w14:textId="77777777" w:rsidR="00C7065C" w:rsidRPr="00C7065C" w:rsidRDefault="00C7065C" w:rsidP="00C7065C">
            <w:pPr>
              <w:rPr>
                <w:color w:val="222222"/>
                <w:sz w:val="26"/>
                <w:szCs w:val="26"/>
              </w:rPr>
            </w:pPr>
            <w:r w:rsidRPr="00C7065C">
              <w:rPr>
                <w:color w:val="222222"/>
                <w:sz w:val="26"/>
                <w:szCs w:val="26"/>
              </w:rPr>
              <w:t>MBSB Bank Berhad</w:t>
            </w:r>
          </w:p>
        </w:tc>
        <w:tc>
          <w:tcPr>
            <w:tcW w:w="1185" w:type="dxa"/>
            <w:tcBorders>
              <w:top w:val="nil"/>
              <w:left w:val="nil"/>
              <w:bottom w:val="nil"/>
              <w:right w:val="nil"/>
            </w:tcBorders>
            <w:shd w:val="clear" w:color="000000" w:fill="FFFFFF"/>
            <w:noWrap/>
            <w:vAlign w:val="bottom"/>
            <w:hideMark/>
          </w:tcPr>
          <w:p w14:paraId="5F577341" w14:textId="77777777" w:rsidR="00C7065C" w:rsidRPr="00C7065C" w:rsidRDefault="00C7065C" w:rsidP="00C7065C">
            <w:pPr>
              <w:jc w:val="center"/>
              <w:rPr>
                <w:color w:val="000000"/>
              </w:rPr>
            </w:pPr>
            <w:r w:rsidRPr="00C7065C">
              <w:rPr>
                <w:color w:val="000000"/>
              </w:rPr>
              <w:t>0.9653</w:t>
            </w:r>
          </w:p>
        </w:tc>
        <w:tc>
          <w:tcPr>
            <w:tcW w:w="1480" w:type="dxa"/>
            <w:tcBorders>
              <w:top w:val="nil"/>
              <w:left w:val="nil"/>
              <w:bottom w:val="nil"/>
              <w:right w:val="nil"/>
            </w:tcBorders>
            <w:shd w:val="clear" w:color="000000" w:fill="FFFFFF"/>
            <w:noWrap/>
            <w:vAlign w:val="bottom"/>
            <w:hideMark/>
          </w:tcPr>
          <w:p w14:paraId="38ED6905" w14:textId="77777777" w:rsidR="00C7065C" w:rsidRPr="00C7065C" w:rsidRDefault="00C7065C" w:rsidP="00C7065C">
            <w:pPr>
              <w:jc w:val="center"/>
              <w:rPr>
                <w:color w:val="000000"/>
              </w:rPr>
            </w:pPr>
            <w:r w:rsidRPr="00C7065C">
              <w:rPr>
                <w:color w:val="000000"/>
              </w:rPr>
              <w:t>0.0328</w:t>
            </w:r>
          </w:p>
        </w:tc>
        <w:tc>
          <w:tcPr>
            <w:tcW w:w="1002" w:type="dxa"/>
            <w:tcBorders>
              <w:top w:val="nil"/>
              <w:left w:val="nil"/>
              <w:bottom w:val="nil"/>
              <w:right w:val="nil"/>
            </w:tcBorders>
            <w:shd w:val="clear" w:color="000000" w:fill="FFFFFF"/>
            <w:noWrap/>
            <w:vAlign w:val="bottom"/>
            <w:hideMark/>
          </w:tcPr>
          <w:p w14:paraId="06E2A795" w14:textId="77777777" w:rsidR="00C7065C" w:rsidRPr="00C7065C" w:rsidRDefault="00C7065C" w:rsidP="00C7065C">
            <w:pPr>
              <w:jc w:val="center"/>
              <w:rPr>
                <w:color w:val="000000"/>
              </w:rPr>
            </w:pPr>
            <w:r w:rsidRPr="00C7065C">
              <w:rPr>
                <w:color w:val="000000"/>
              </w:rPr>
              <w:t>17.5616</w:t>
            </w:r>
          </w:p>
        </w:tc>
        <w:tc>
          <w:tcPr>
            <w:tcW w:w="1090" w:type="dxa"/>
            <w:tcBorders>
              <w:top w:val="nil"/>
              <w:left w:val="nil"/>
              <w:bottom w:val="nil"/>
              <w:right w:val="single" w:sz="4" w:space="0" w:color="auto"/>
            </w:tcBorders>
            <w:shd w:val="clear" w:color="000000" w:fill="FFFFFF"/>
            <w:noWrap/>
            <w:vAlign w:val="bottom"/>
            <w:hideMark/>
          </w:tcPr>
          <w:p w14:paraId="4043AC89" w14:textId="77777777" w:rsidR="00C7065C" w:rsidRPr="00C7065C" w:rsidRDefault="00C7065C" w:rsidP="00C7065C">
            <w:pPr>
              <w:jc w:val="right"/>
              <w:rPr>
                <w:color w:val="000000"/>
              </w:rPr>
            </w:pPr>
            <w:r w:rsidRPr="00C7065C">
              <w:rPr>
                <w:color w:val="000000"/>
              </w:rPr>
              <w:t>0.7174</w:t>
            </w:r>
          </w:p>
        </w:tc>
      </w:tr>
      <w:tr w:rsidR="00C7065C" w:rsidRPr="00C7065C" w14:paraId="6425F259"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2A35B66E" w14:textId="77777777" w:rsidR="00C7065C" w:rsidRPr="00C7065C" w:rsidRDefault="00C7065C" w:rsidP="00C7065C">
            <w:pPr>
              <w:rPr>
                <w:color w:val="222222"/>
                <w:sz w:val="26"/>
                <w:szCs w:val="26"/>
              </w:rPr>
            </w:pPr>
            <w:r w:rsidRPr="00C7065C">
              <w:rPr>
                <w:color w:val="222222"/>
                <w:sz w:val="26"/>
                <w:szCs w:val="26"/>
              </w:rPr>
              <w:t>OCBC Al-Amin Bank Berhad</w:t>
            </w:r>
          </w:p>
        </w:tc>
        <w:tc>
          <w:tcPr>
            <w:tcW w:w="1185" w:type="dxa"/>
            <w:tcBorders>
              <w:top w:val="nil"/>
              <w:left w:val="nil"/>
              <w:bottom w:val="nil"/>
              <w:right w:val="nil"/>
            </w:tcBorders>
            <w:shd w:val="clear" w:color="000000" w:fill="FFFFFF"/>
            <w:noWrap/>
            <w:vAlign w:val="bottom"/>
            <w:hideMark/>
          </w:tcPr>
          <w:p w14:paraId="69A47034" w14:textId="77777777" w:rsidR="00C7065C" w:rsidRPr="00C7065C" w:rsidRDefault="00C7065C" w:rsidP="00C7065C">
            <w:pPr>
              <w:jc w:val="center"/>
              <w:rPr>
                <w:color w:val="000000"/>
              </w:rPr>
            </w:pPr>
            <w:r w:rsidRPr="00C7065C">
              <w:rPr>
                <w:color w:val="000000"/>
              </w:rPr>
              <w:t>0.9704</w:t>
            </w:r>
          </w:p>
        </w:tc>
        <w:tc>
          <w:tcPr>
            <w:tcW w:w="1480" w:type="dxa"/>
            <w:tcBorders>
              <w:top w:val="nil"/>
              <w:left w:val="nil"/>
              <w:bottom w:val="nil"/>
              <w:right w:val="nil"/>
            </w:tcBorders>
            <w:shd w:val="clear" w:color="000000" w:fill="FFFFFF"/>
            <w:noWrap/>
            <w:vAlign w:val="bottom"/>
            <w:hideMark/>
          </w:tcPr>
          <w:p w14:paraId="6471575A" w14:textId="77777777" w:rsidR="00C7065C" w:rsidRPr="00C7065C" w:rsidRDefault="00C7065C" w:rsidP="00C7065C">
            <w:pPr>
              <w:jc w:val="center"/>
              <w:rPr>
                <w:color w:val="000000"/>
              </w:rPr>
            </w:pPr>
            <w:r w:rsidRPr="00C7065C">
              <w:rPr>
                <w:color w:val="000000"/>
              </w:rPr>
              <w:t>0.0216</w:t>
            </w:r>
          </w:p>
        </w:tc>
        <w:tc>
          <w:tcPr>
            <w:tcW w:w="1002" w:type="dxa"/>
            <w:tcBorders>
              <w:top w:val="nil"/>
              <w:left w:val="nil"/>
              <w:bottom w:val="nil"/>
              <w:right w:val="nil"/>
            </w:tcBorders>
            <w:shd w:val="clear" w:color="000000" w:fill="FFFFFF"/>
            <w:noWrap/>
            <w:vAlign w:val="bottom"/>
            <w:hideMark/>
          </w:tcPr>
          <w:p w14:paraId="6B30F714" w14:textId="77777777" w:rsidR="00C7065C" w:rsidRPr="00C7065C" w:rsidRDefault="00C7065C" w:rsidP="00C7065C">
            <w:pPr>
              <w:jc w:val="center"/>
              <w:rPr>
                <w:color w:val="000000"/>
              </w:rPr>
            </w:pPr>
            <w:r w:rsidRPr="00C7065C">
              <w:rPr>
                <w:color w:val="000000"/>
              </w:rPr>
              <w:t>16.5277</w:t>
            </w:r>
          </w:p>
        </w:tc>
        <w:tc>
          <w:tcPr>
            <w:tcW w:w="1090" w:type="dxa"/>
            <w:tcBorders>
              <w:top w:val="nil"/>
              <w:left w:val="nil"/>
              <w:bottom w:val="nil"/>
              <w:right w:val="single" w:sz="4" w:space="0" w:color="auto"/>
            </w:tcBorders>
            <w:shd w:val="clear" w:color="000000" w:fill="FFFFFF"/>
            <w:noWrap/>
            <w:vAlign w:val="bottom"/>
            <w:hideMark/>
          </w:tcPr>
          <w:p w14:paraId="50839CDF" w14:textId="77777777" w:rsidR="00C7065C" w:rsidRPr="00C7065C" w:rsidRDefault="00C7065C" w:rsidP="00C7065C">
            <w:pPr>
              <w:jc w:val="right"/>
              <w:rPr>
                <w:color w:val="000000"/>
              </w:rPr>
            </w:pPr>
            <w:r w:rsidRPr="00C7065C">
              <w:rPr>
                <w:color w:val="000000"/>
              </w:rPr>
              <w:t>0.8405</w:t>
            </w:r>
          </w:p>
        </w:tc>
      </w:tr>
      <w:tr w:rsidR="00C7065C" w:rsidRPr="00C7065C" w14:paraId="3E1C907F"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1ECF2A48" w14:textId="77777777" w:rsidR="00C7065C" w:rsidRPr="00C7065C" w:rsidRDefault="00C7065C" w:rsidP="00C7065C">
            <w:pPr>
              <w:rPr>
                <w:color w:val="222222"/>
                <w:sz w:val="26"/>
                <w:szCs w:val="26"/>
              </w:rPr>
            </w:pPr>
            <w:r w:rsidRPr="00C7065C">
              <w:rPr>
                <w:color w:val="222222"/>
                <w:sz w:val="26"/>
                <w:szCs w:val="26"/>
              </w:rPr>
              <w:t>Bank Islam Malaysia Berhad</w:t>
            </w:r>
          </w:p>
        </w:tc>
        <w:tc>
          <w:tcPr>
            <w:tcW w:w="1185" w:type="dxa"/>
            <w:tcBorders>
              <w:top w:val="nil"/>
              <w:left w:val="nil"/>
              <w:bottom w:val="nil"/>
              <w:right w:val="nil"/>
            </w:tcBorders>
            <w:shd w:val="clear" w:color="000000" w:fill="FFFFFF"/>
            <w:noWrap/>
            <w:vAlign w:val="bottom"/>
            <w:hideMark/>
          </w:tcPr>
          <w:p w14:paraId="0C95DFDB" w14:textId="77777777" w:rsidR="00C7065C" w:rsidRPr="00C7065C" w:rsidRDefault="00C7065C" w:rsidP="00C7065C">
            <w:pPr>
              <w:jc w:val="center"/>
              <w:rPr>
                <w:color w:val="000000"/>
              </w:rPr>
            </w:pPr>
            <w:r w:rsidRPr="00C7065C">
              <w:rPr>
                <w:color w:val="000000"/>
              </w:rPr>
              <w:t>0.9662</w:t>
            </w:r>
          </w:p>
        </w:tc>
        <w:tc>
          <w:tcPr>
            <w:tcW w:w="1480" w:type="dxa"/>
            <w:tcBorders>
              <w:top w:val="nil"/>
              <w:left w:val="nil"/>
              <w:bottom w:val="nil"/>
              <w:right w:val="nil"/>
            </w:tcBorders>
            <w:shd w:val="clear" w:color="000000" w:fill="FFFFFF"/>
            <w:noWrap/>
            <w:vAlign w:val="bottom"/>
            <w:hideMark/>
          </w:tcPr>
          <w:p w14:paraId="6CB983E9" w14:textId="77777777" w:rsidR="00C7065C" w:rsidRPr="00C7065C" w:rsidRDefault="00C7065C" w:rsidP="00C7065C">
            <w:pPr>
              <w:jc w:val="center"/>
              <w:rPr>
                <w:color w:val="000000"/>
              </w:rPr>
            </w:pPr>
            <w:r w:rsidRPr="00C7065C">
              <w:rPr>
                <w:color w:val="000000"/>
              </w:rPr>
              <w:t>0.0307</w:t>
            </w:r>
          </w:p>
        </w:tc>
        <w:tc>
          <w:tcPr>
            <w:tcW w:w="1002" w:type="dxa"/>
            <w:tcBorders>
              <w:top w:val="nil"/>
              <w:left w:val="nil"/>
              <w:bottom w:val="nil"/>
              <w:right w:val="nil"/>
            </w:tcBorders>
            <w:shd w:val="clear" w:color="000000" w:fill="FFFFFF"/>
            <w:noWrap/>
            <w:vAlign w:val="bottom"/>
            <w:hideMark/>
          </w:tcPr>
          <w:p w14:paraId="24067A0E" w14:textId="77777777" w:rsidR="00C7065C" w:rsidRPr="00C7065C" w:rsidRDefault="00C7065C" w:rsidP="00C7065C">
            <w:pPr>
              <w:jc w:val="center"/>
              <w:rPr>
                <w:color w:val="000000"/>
              </w:rPr>
            </w:pPr>
            <w:r w:rsidRPr="00C7065C">
              <w:rPr>
                <w:color w:val="000000"/>
              </w:rPr>
              <w:t>17.8086</w:t>
            </w:r>
          </w:p>
        </w:tc>
        <w:tc>
          <w:tcPr>
            <w:tcW w:w="1090" w:type="dxa"/>
            <w:tcBorders>
              <w:top w:val="nil"/>
              <w:left w:val="nil"/>
              <w:bottom w:val="nil"/>
              <w:right w:val="single" w:sz="4" w:space="0" w:color="auto"/>
            </w:tcBorders>
            <w:shd w:val="clear" w:color="000000" w:fill="FFFFFF"/>
            <w:noWrap/>
            <w:vAlign w:val="bottom"/>
            <w:hideMark/>
          </w:tcPr>
          <w:p w14:paraId="27854108" w14:textId="77777777" w:rsidR="00C7065C" w:rsidRPr="00C7065C" w:rsidRDefault="00C7065C" w:rsidP="00C7065C">
            <w:pPr>
              <w:jc w:val="right"/>
              <w:rPr>
                <w:color w:val="000000"/>
              </w:rPr>
            </w:pPr>
            <w:r w:rsidRPr="00C7065C">
              <w:rPr>
                <w:color w:val="000000"/>
              </w:rPr>
              <w:t>0.8366</w:t>
            </w:r>
          </w:p>
        </w:tc>
      </w:tr>
      <w:tr w:rsidR="00C7065C" w:rsidRPr="00C7065C" w14:paraId="52BE219B"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68E021A4" w14:textId="77777777" w:rsidR="00C7065C" w:rsidRPr="00C7065C" w:rsidRDefault="00C7065C" w:rsidP="00C7065C">
            <w:pPr>
              <w:rPr>
                <w:color w:val="222222"/>
                <w:sz w:val="26"/>
                <w:szCs w:val="26"/>
              </w:rPr>
            </w:pPr>
            <w:r w:rsidRPr="00C7065C">
              <w:rPr>
                <w:color w:val="222222"/>
                <w:sz w:val="26"/>
                <w:szCs w:val="26"/>
              </w:rPr>
              <w:t>Bank Muamalat Malaysia Berhad</w:t>
            </w:r>
          </w:p>
        </w:tc>
        <w:tc>
          <w:tcPr>
            <w:tcW w:w="1185" w:type="dxa"/>
            <w:tcBorders>
              <w:top w:val="nil"/>
              <w:left w:val="nil"/>
              <w:bottom w:val="nil"/>
              <w:right w:val="nil"/>
            </w:tcBorders>
            <w:shd w:val="clear" w:color="000000" w:fill="FFFFFF"/>
            <w:noWrap/>
            <w:vAlign w:val="bottom"/>
            <w:hideMark/>
          </w:tcPr>
          <w:p w14:paraId="797771AF" w14:textId="77777777" w:rsidR="00C7065C" w:rsidRPr="00C7065C" w:rsidRDefault="00C7065C" w:rsidP="00C7065C">
            <w:pPr>
              <w:jc w:val="center"/>
              <w:rPr>
                <w:color w:val="000000"/>
              </w:rPr>
            </w:pPr>
            <w:r w:rsidRPr="00C7065C">
              <w:rPr>
                <w:color w:val="000000"/>
              </w:rPr>
              <w:t>0.9561</w:t>
            </w:r>
          </w:p>
        </w:tc>
        <w:tc>
          <w:tcPr>
            <w:tcW w:w="1480" w:type="dxa"/>
            <w:tcBorders>
              <w:top w:val="nil"/>
              <w:left w:val="nil"/>
              <w:bottom w:val="nil"/>
              <w:right w:val="nil"/>
            </w:tcBorders>
            <w:shd w:val="clear" w:color="000000" w:fill="FFFFFF"/>
            <w:noWrap/>
            <w:vAlign w:val="bottom"/>
            <w:hideMark/>
          </w:tcPr>
          <w:p w14:paraId="76512FFF" w14:textId="77777777" w:rsidR="00C7065C" w:rsidRPr="00C7065C" w:rsidRDefault="00C7065C" w:rsidP="00C7065C">
            <w:pPr>
              <w:jc w:val="center"/>
              <w:rPr>
                <w:color w:val="000000"/>
              </w:rPr>
            </w:pPr>
            <w:r w:rsidRPr="00C7065C">
              <w:rPr>
                <w:color w:val="000000"/>
              </w:rPr>
              <w:t>0.0258</w:t>
            </w:r>
          </w:p>
        </w:tc>
        <w:tc>
          <w:tcPr>
            <w:tcW w:w="1002" w:type="dxa"/>
            <w:tcBorders>
              <w:top w:val="nil"/>
              <w:left w:val="nil"/>
              <w:bottom w:val="nil"/>
              <w:right w:val="nil"/>
            </w:tcBorders>
            <w:shd w:val="clear" w:color="000000" w:fill="FFFFFF"/>
            <w:noWrap/>
            <w:vAlign w:val="bottom"/>
            <w:hideMark/>
          </w:tcPr>
          <w:p w14:paraId="23AB395B" w14:textId="77777777" w:rsidR="00C7065C" w:rsidRPr="00C7065C" w:rsidRDefault="00C7065C" w:rsidP="00C7065C">
            <w:pPr>
              <w:jc w:val="center"/>
              <w:rPr>
                <w:color w:val="000000"/>
              </w:rPr>
            </w:pPr>
            <w:r w:rsidRPr="00C7065C">
              <w:rPr>
                <w:color w:val="000000"/>
              </w:rPr>
              <w:t>16.9281</w:t>
            </w:r>
          </w:p>
        </w:tc>
        <w:tc>
          <w:tcPr>
            <w:tcW w:w="1090" w:type="dxa"/>
            <w:tcBorders>
              <w:top w:val="nil"/>
              <w:left w:val="nil"/>
              <w:bottom w:val="nil"/>
              <w:right w:val="single" w:sz="4" w:space="0" w:color="auto"/>
            </w:tcBorders>
            <w:shd w:val="clear" w:color="000000" w:fill="FFFFFF"/>
            <w:noWrap/>
            <w:vAlign w:val="bottom"/>
            <w:hideMark/>
          </w:tcPr>
          <w:p w14:paraId="7AC42B4D" w14:textId="77777777" w:rsidR="00C7065C" w:rsidRPr="00C7065C" w:rsidRDefault="00C7065C" w:rsidP="00C7065C">
            <w:pPr>
              <w:jc w:val="right"/>
              <w:rPr>
                <w:color w:val="000000"/>
              </w:rPr>
            </w:pPr>
            <w:r w:rsidRPr="00C7065C">
              <w:rPr>
                <w:color w:val="000000"/>
              </w:rPr>
              <w:t>0.8747</w:t>
            </w:r>
          </w:p>
        </w:tc>
      </w:tr>
      <w:tr w:rsidR="00C7065C" w:rsidRPr="00C7065C" w14:paraId="03D753DB"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631C223B" w14:textId="77777777" w:rsidR="00C7065C" w:rsidRPr="00C7065C" w:rsidRDefault="00C7065C" w:rsidP="00C7065C">
            <w:pPr>
              <w:rPr>
                <w:color w:val="222222"/>
                <w:sz w:val="26"/>
                <w:szCs w:val="26"/>
              </w:rPr>
            </w:pPr>
            <w:r w:rsidRPr="00C7065C">
              <w:rPr>
                <w:color w:val="222222"/>
                <w:sz w:val="26"/>
                <w:szCs w:val="26"/>
              </w:rPr>
              <w:t>CIMB Islamic Bank Berhad</w:t>
            </w:r>
          </w:p>
        </w:tc>
        <w:tc>
          <w:tcPr>
            <w:tcW w:w="1185" w:type="dxa"/>
            <w:tcBorders>
              <w:top w:val="nil"/>
              <w:left w:val="nil"/>
              <w:bottom w:val="nil"/>
              <w:right w:val="nil"/>
            </w:tcBorders>
            <w:shd w:val="clear" w:color="000000" w:fill="FFFFFF"/>
            <w:noWrap/>
            <w:vAlign w:val="bottom"/>
            <w:hideMark/>
          </w:tcPr>
          <w:p w14:paraId="495A12FD" w14:textId="77777777" w:rsidR="00C7065C" w:rsidRPr="00C7065C" w:rsidRDefault="00C7065C" w:rsidP="00C7065C">
            <w:pPr>
              <w:jc w:val="center"/>
              <w:rPr>
                <w:color w:val="000000"/>
              </w:rPr>
            </w:pPr>
            <w:r w:rsidRPr="00C7065C">
              <w:rPr>
                <w:color w:val="000000"/>
              </w:rPr>
              <w:t>0.9670</w:t>
            </w:r>
          </w:p>
        </w:tc>
        <w:tc>
          <w:tcPr>
            <w:tcW w:w="1480" w:type="dxa"/>
            <w:tcBorders>
              <w:top w:val="nil"/>
              <w:left w:val="nil"/>
              <w:bottom w:val="nil"/>
              <w:right w:val="nil"/>
            </w:tcBorders>
            <w:shd w:val="clear" w:color="000000" w:fill="FFFFFF"/>
            <w:noWrap/>
            <w:vAlign w:val="bottom"/>
            <w:hideMark/>
          </w:tcPr>
          <w:p w14:paraId="1F9760C9" w14:textId="77777777" w:rsidR="00C7065C" w:rsidRPr="00C7065C" w:rsidRDefault="00C7065C" w:rsidP="00C7065C">
            <w:pPr>
              <w:jc w:val="center"/>
              <w:rPr>
                <w:color w:val="000000"/>
              </w:rPr>
            </w:pPr>
            <w:r w:rsidRPr="00C7065C">
              <w:rPr>
                <w:color w:val="000000"/>
              </w:rPr>
              <w:t>0.0181</w:t>
            </w:r>
          </w:p>
        </w:tc>
        <w:tc>
          <w:tcPr>
            <w:tcW w:w="1002" w:type="dxa"/>
            <w:tcBorders>
              <w:top w:val="nil"/>
              <w:left w:val="nil"/>
              <w:bottom w:val="nil"/>
              <w:right w:val="nil"/>
            </w:tcBorders>
            <w:shd w:val="clear" w:color="000000" w:fill="FFFFFF"/>
            <w:noWrap/>
            <w:vAlign w:val="bottom"/>
            <w:hideMark/>
          </w:tcPr>
          <w:p w14:paraId="0D68AF94" w14:textId="77777777" w:rsidR="00C7065C" w:rsidRPr="00C7065C" w:rsidRDefault="00C7065C" w:rsidP="00C7065C">
            <w:pPr>
              <w:jc w:val="center"/>
              <w:rPr>
                <w:color w:val="000000"/>
              </w:rPr>
            </w:pPr>
            <w:r w:rsidRPr="00C7065C">
              <w:rPr>
                <w:color w:val="000000"/>
              </w:rPr>
              <w:t>18.0423</w:t>
            </w:r>
          </w:p>
        </w:tc>
        <w:tc>
          <w:tcPr>
            <w:tcW w:w="1090" w:type="dxa"/>
            <w:tcBorders>
              <w:top w:val="nil"/>
              <w:left w:val="nil"/>
              <w:bottom w:val="nil"/>
              <w:right w:val="single" w:sz="4" w:space="0" w:color="auto"/>
            </w:tcBorders>
            <w:shd w:val="clear" w:color="000000" w:fill="FFFFFF"/>
            <w:noWrap/>
            <w:vAlign w:val="bottom"/>
            <w:hideMark/>
          </w:tcPr>
          <w:p w14:paraId="042468DB" w14:textId="77777777" w:rsidR="00C7065C" w:rsidRPr="00C7065C" w:rsidRDefault="00C7065C" w:rsidP="00C7065C">
            <w:pPr>
              <w:jc w:val="right"/>
              <w:rPr>
                <w:color w:val="000000"/>
              </w:rPr>
            </w:pPr>
            <w:r w:rsidRPr="00C7065C">
              <w:rPr>
                <w:color w:val="000000"/>
              </w:rPr>
              <w:t>0.8241</w:t>
            </w:r>
          </w:p>
        </w:tc>
      </w:tr>
      <w:tr w:rsidR="00C7065C" w:rsidRPr="00C7065C" w14:paraId="6C7E2C2D"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76B8B82B" w14:textId="77777777" w:rsidR="00C7065C" w:rsidRPr="00C7065C" w:rsidRDefault="00C7065C" w:rsidP="00C7065C">
            <w:pPr>
              <w:rPr>
                <w:color w:val="222222"/>
                <w:sz w:val="26"/>
                <w:szCs w:val="26"/>
              </w:rPr>
            </w:pPr>
            <w:r w:rsidRPr="00C7065C">
              <w:rPr>
                <w:color w:val="222222"/>
                <w:sz w:val="26"/>
                <w:szCs w:val="26"/>
              </w:rPr>
              <w:t>Hong Leong Islamic Bank Berhad</w:t>
            </w:r>
          </w:p>
        </w:tc>
        <w:tc>
          <w:tcPr>
            <w:tcW w:w="1185" w:type="dxa"/>
            <w:tcBorders>
              <w:top w:val="nil"/>
              <w:left w:val="nil"/>
              <w:bottom w:val="nil"/>
              <w:right w:val="nil"/>
            </w:tcBorders>
            <w:shd w:val="clear" w:color="000000" w:fill="FFFFFF"/>
            <w:noWrap/>
            <w:vAlign w:val="bottom"/>
            <w:hideMark/>
          </w:tcPr>
          <w:p w14:paraId="277E51FE" w14:textId="77777777" w:rsidR="00C7065C" w:rsidRPr="00C7065C" w:rsidRDefault="00C7065C" w:rsidP="00C7065C">
            <w:pPr>
              <w:jc w:val="center"/>
              <w:rPr>
                <w:color w:val="000000"/>
              </w:rPr>
            </w:pPr>
            <w:r w:rsidRPr="00C7065C">
              <w:rPr>
                <w:color w:val="000000"/>
              </w:rPr>
              <w:t>0.9687</w:t>
            </w:r>
          </w:p>
        </w:tc>
        <w:tc>
          <w:tcPr>
            <w:tcW w:w="1480" w:type="dxa"/>
            <w:tcBorders>
              <w:top w:val="nil"/>
              <w:left w:val="nil"/>
              <w:bottom w:val="nil"/>
              <w:right w:val="nil"/>
            </w:tcBorders>
            <w:shd w:val="clear" w:color="000000" w:fill="FFFFFF"/>
            <w:noWrap/>
            <w:vAlign w:val="bottom"/>
            <w:hideMark/>
          </w:tcPr>
          <w:p w14:paraId="341C473B" w14:textId="77777777" w:rsidR="00C7065C" w:rsidRPr="00C7065C" w:rsidRDefault="00C7065C" w:rsidP="00C7065C">
            <w:pPr>
              <w:jc w:val="center"/>
              <w:rPr>
                <w:color w:val="000000"/>
              </w:rPr>
            </w:pPr>
            <w:r w:rsidRPr="00C7065C">
              <w:rPr>
                <w:color w:val="000000"/>
              </w:rPr>
              <w:t>0.0189</w:t>
            </w:r>
          </w:p>
        </w:tc>
        <w:tc>
          <w:tcPr>
            <w:tcW w:w="1002" w:type="dxa"/>
            <w:tcBorders>
              <w:top w:val="nil"/>
              <w:left w:val="nil"/>
              <w:bottom w:val="nil"/>
              <w:right w:val="nil"/>
            </w:tcBorders>
            <w:shd w:val="clear" w:color="000000" w:fill="FFFFFF"/>
            <w:noWrap/>
            <w:vAlign w:val="bottom"/>
            <w:hideMark/>
          </w:tcPr>
          <w:p w14:paraId="3BE560A0" w14:textId="77777777" w:rsidR="00C7065C" w:rsidRPr="00C7065C" w:rsidRDefault="00C7065C" w:rsidP="00C7065C">
            <w:pPr>
              <w:jc w:val="center"/>
              <w:rPr>
                <w:color w:val="000000"/>
              </w:rPr>
            </w:pPr>
            <w:r w:rsidRPr="00C7065C">
              <w:rPr>
                <w:color w:val="000000"/>
              </w:rPr>
              <w:t>17.0692</w:t>
            </w:r>
          </w:p>
        </w:tc>
        <w:tc>
          <w:tcPr>
            <w:tcW w:w="1090" w:type="dxa"/>
            <w:tcBorders>
              <w:top w:val="nil"/>
              <w:left w:val="nil"/>
              <w:bottom w:val="nil"/>
              <w:right w:val="single" w:sz="4" w:space="0" w:color="auto"/>
            </w:tcBorders>
            <w:shd w:val="clear" w:color="000000" w:fill="FFFFFF"/>
            <w:noWrap/>
            <w:vAlign w:val="bottom"/>
            <w:hideMark/>
          </w:tcPr>
          <w:p w14:paraId="69B8AAD2" w14:textId="77777777" w:rsidR="00C7065C" w:rsidRPr="00C7065C" w:rsidRDefault="00C7065C" w:rsidP="00C7065C">
            <w:pPr>
              <w:jc w:val="right"/>
              <w:rPr>
                <w:color w:val="000000"/>
              </w:rPr>
            </w:pPr>
            <w:r w:rsidRPr="00C7065C">
              <w:rPr>
                <w:color w:val="000000"/>
              </w:rPr>
              <w:t>0.8777</w:t>
            </w:r>
          </w:p>
        </w:tc>
      </w:tr>
      <w:tr w:rsidR="00C7065C" w:rsidRPr="00C7065C" w14:paraId="5148986B"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3F71BE26" w14:textId="77777777" w:rsidR="00C7065C" w:rsidRPr="00C7065C" w:rsidRDefault="00C7065C" w:rsidP="00C7065C">
            <w:pPr>
              <w:rPr>
                <w:color w:val="222222"/>
                <w:sz w:val="26"/>
                <w:szCs w:val="26"/>
              </w:rPr>
            </w:pPr>
            <w:r w:rsidRPr="00C7065C">
              <w:rPr>
                <w:color w:val="222222"/>
                <w:sz w:val="26"/>
                <w:szCs w:val="26"/>
              </w:rPr>
              <w:t>HSBC Amanah Malaysia Berhad</w:t>
            </w:r>
          </w:p>
        </w:tc>
        <w:tc>
          <w:tcPr>
            <w:tcW w:w="1185" w:type="dxa"/>
            <w:tcBorders>
              <w:top w:val="nil"/>
              <w:left w:val="nil"/>
              <w:bottom w:val="nil"/>
              <w:right w:val="nil"/>
            </w:tcBorders>
            <w:shd w:val="clear" w:color="000000" w:fill="FFFFFF"/>
            <w:noWrap/>
            <w:vAlign w:val="bottom"/>
            <w:hideMark/>
          </w:tcPr>
          <w:p w14:paraId="09987EC4" w14:textId="77777777" w:rsidR="00C7065C" w:rsidRPr="00C7065C" w:rsidRDefault="00C7065C" w:rsidP="00C7065C">
            <w:pPr>
              <w:jc w:val="center"/>
              <w:rPr>
                <w:color w:val="000000"/>
              </w:rPr>
            </w:pPr>
            <w:r w:rsidRPr="00C7065C">
              <w:rPr>
                <w:color w:val="000000"/>
              </w:rPr>
              <w:t>0.9703</w:t>
            </w:r>
          </w:p>
        </w:tc>
        <w:tc>
          <w:tcPr>
            <w:tcW w:w="1480" w:type="dxa"/>
            <w:tcBorders>
              <w:top w:val="nil"/>
              <w:left w:val="nil"/>
              <w:bottom w:val="nil"/>
              <w:right w:val="nil"/>
            </w:tcBorders>
            <w:shd w:val="clear" w:color="000000" w:fill="FFFFFF"/>
            <w:noWrap/>
            <w:vAlign w:val="bottom"/>
            <w:hideMark/>
          </w:tcPr>
          <w:p w14:paraId="3A43D934" w14:textId="77777777" w:rsidR="00C7065C" w:rsidRPr="00C7065C" w:rsidRDefault="00C7065C" w:rsidP="00C7065C">
            <w:pPr>
              <w:jc w:val="center"/>
              <w:rPr>
                <w:color w:val="000000"/>
              </w:rPr>
            </w:pPr>
            <w:r w:rsidRPr="00C7065C">
              <w:rPr>
                <w:color w:val="000000"/>
              </w:rPr>
              <w:t>0.0217</w:t>
            </w:r>
          </w:p>
        </w:tc>
        <w:tc>
          <w:tcPr>
            <w:tcW w:w="1002" w:type="dxa"/>
            <w:tcBorders>
              <w:top w:val="nil"/>
              <w:left w:val="nil"/>
              <w:bottom w:val="nil"/>
              <w:right w:val="nil"/>
            </w:tcBorders>
            <w:shd w:val="clear" w:color="000000" w:fill="FFFFFF"/>
            <w:noWrap/>
            <w:vAlign w:val="bottom"/>
            <w:hideMark/>
          </w:tcPr>
          <w:p w14:paraId="57F07BFA" w14:textId="77777777" w:rsidR="00C7065C" w:rsidRPr="00C7065C" w:rsidRDefault="00C7065C" w:rsidP="00C7065C">
            <w:pPr>
              <w:jc w:val="center"/>
              <w:rPr>
                <w:color w:val="000000"/>
              </w:rPr>
            </w:pPr>
            <w:r w:rsidRPr="00C7065C">
              <w:rPr>
                <w:color w:val="000000"/>
              </w:rPr>
              <w:t>16.7035</w:t>
            </w:r>
          </w:p>
        </w:tc>
        <w:tc>
          <w:tcPr>
            <w:tcW w:w="1090" w:type="dxa"/>
            <w:tcBorders>
              <w:top w:val="nil"/>
              <w:left w:val="nil"/>
              <w:bottom w:val="nil"/>
              <w:right w:val="single" w:sz="4" w:space="0" w:color="auto"/>
            </w:tcBorders>
            <w:shd w:val="clear" w:color="000000" w:fill="FFFFFF"/>
            <w:noWrap/>
            <w:vAlign w:val="bottom"/>
            <w:hideMark/>
          </w:tcPr>
          <w:p w14:paraId="3FD108BA" w14:textId="77777777" w:rsidR="00C7065C" w:rsidRPr="00C7065C" w:rsidRDefault="00C7065C" w:rsidP="00C7065C">
            <w:pPr>
              <w:jc w:val="right"/>
              <w:rPr>
                <w:color w:val="000000"/>
              </w:rPr>
            </w:pPr>
            <w:r w:rsidRPr="00C7065C">
              <w:rPr>
                <w:color w:val="000000"/>
              </w:rPr>
              <w:t>0.7436</w:t>
            </w:r>
          </w:p>
        </w:tc>
      </w:tr>
      <w:tr w:rsidR="00C7065C" w:rsidRPr="00C7065C" w14:paraId="74E308F6" w14:textId="77777777" w:rsidTr="00C7065C">
        <w:trPr>
          <w:trHeight w:val="421"/>
        </w:trPr>
        <w:tc>
          <w:tcPr>
            <w:tcW w:w="3991" w:type="dxa"/>
            <w:tcBorders>
              <w:top w:val="nil"/>
              <w:left w:val="single" w:sz="4" w:space="0" w:color="auto"/>
              <w:bottom w:val="nil"/>
              <w:right w:val="nil"/>
            </w:tcBorders>
            <w:shd w:val="clear" w:color="000000" w:fill="FFFFFF"/>
            <w:noWrap/>
            <w:vAlign w:val="bottom"/>
            <w:hideMark/>
          </w:tcPr>
          <w:p w14:paraId="690C1A55" w14:textId="77777777" w:rsidR="00C7065C" w:rsidRPr="00C7065C" w:rsidRDefault="00C7065C" w:rsidP="00C7065C">
            <w:pPr>
              <w:rPr>
                <w:color w:val="222222"/>
                <w:sz w:val="26"/>
                <w:szCs w:val="26"/>
              </w:rPr>
            </w:pPr>
            <w:r w:rsidRPr="00C7065C">
              <w:rPr>
                <w:color w:val="222222"/>
                <w:sz w:val="26"/>
                <w:szCs w:val="26"/>
              </w:rPr>
              <w:t>Public Islamic Bank Berhad</w:t>
            </w:r>
          </w:p>
        </w:tc>
        <w:tc>
          <w:tcPr>
            <w:tcW w:w="1185" w:type="dxa"/>
            <w:tcBorders>
              <w:top w:val="nil"/>
              <w:left w:val="nil"/>
              <w:bottom w:val="nil"/>
              <w:right w:val="nil"/>
            </w:tcBorders>
            <w:shd w:val="clear" w:color="000000" w:fill="FFFFFF"/>
            <w:noWrap/>
            <w:vAlign w:val="bottom"/>
            <w:hideMark/>
          </w:tcPr>
          <w:p w14:paraId="105B2A70" w14:textId="77777777" w:rsidR="00C7065C" w:rsidRPr="00C7065C" w:rsidRDefault="00C7065C" w:rsidP="00C7065C">
            <w:pPr>
              <w:jc w:val="center"/>
              <w:rPr>
                <w:color w:val="000000"/>
              </w:rPr>
            </w:pPr>
            <w:r w:rsidRPr="00C7065C">
              <w:rPr>
                <w:color w:val="000000"/>
              </w:rPr>
              <w:t>0.9373</w:t>
            </w:r>
          </w:p>
        </w:tc>
        <w:tc>
          <w:tcPr>
            <w:tcW w:w="1480" w:type="dxa"/>
            <w:tcBorders>
              <w:top w:val="nil"/>
              <w:left w:val="nil"/>
              <w:bottom w:val="nil"/>
              <w:right w:val="nil"/>
            </w:tcBorders>
            <w:shd w:val="clear" w:color="000000" w:fill="FFFFFF"/>
            <w:noWrap/>
            <w:vAlign w:val="bottom"/>
            <w:hideMark/>
          </w:tcPr>
          <w:p w14:paraId="1477D252" w14:textId="77777777" w:rsidR="00C7065C" w:rsidRPr="00C7065C" w:rsidRDefault="00C7065C" w:rsidP="00C7065C">
            <w:pPr>
              <w:jc w:val="center"/>
              <w:rPr>
                <w:color w:val="000000"/>
              </w:rPr>
            </w:pPr>
            <w:r w:rsidRPr="00C7065C">
              <w:rPr>
                <w:color w:val="000000"/>
              </w:rPr>
              <w:t>0.0175</w:t>
            </w:r>
          </w:p>
        </w:tc>
        <w:tc>
          <w:tcPr>
            <w:tcW w:w="1002" w:type="dxa"/>
            <w:tcBorders>
              <w:top w:val="nil"/>
              <w:left w:val="nil"/>
              <w:bottom w:val="nil"/>
              <w:right w:val="nil"/>
            </w:tcBorders>
            <w:shd w:val="clear" w:color="000000" w:fill="FFFFFF"/>
            <w:noWrap/>
            <w:vAlign w:val="bottom"/>
            <w:hideMark/>
          </w:tcPr>
          <w:p w14:paraId="53CC6024" w14:textId="77777777" w:rsidR="00C7065C" w:rsidRPr="00C7065C" w:rsidRDefault="00C7065C" w:rsidP="00C7065C">
            <w:pPr>
              <w:jc w:val="center"/>
              <w:rPr>
                <w:color w:val="000000"/>
              </w:rPr>
            </w:pPr>
            <w:r w:rsidRPr="00C7065C">
              <w:rPr>
                <w:color w:val="000000"/>
              </w:rPr>
              <w:t>17.7241</w:t>
            </w:r>
          </w:p>
        </w:tc>
        <w:tc>
          <w:tcPr>
            <w:tcW w:w="1090" w:type="dxa"/>
            <w:tcBorders>
              <w:top w:val="nil"/>
              <w:left w:val="nil"/>
              <w:bottom w:val="nil"/>
              <w:right w:val="single" w:sz="4" w:space="0" w:color="auto"/>
            </w:tcBorders>
            <w:shd w:val="clear" w:color="000000" w:fill="FFFFFF"/>
            <w:noWrap/>
            <w:vAlign w:val="bottom"/>
            <w:hideMark/>
          </w:tcPr>
          <w:p w14:paraId="62912270" w14:textId="77777777" w:rsidR="00C7065C" w:rsidRPr="00C7065C" w:rsidRDefault="00C7065C" w:rsidP="00C7065C">
            <w:pPr>
              <w:jc w:val="right"/>
              <w:rPr>
                <w:color w:val="000000"/>
              </w:rPr>
            </w:pPr>
            <w:r w:rsidRPr="00C7065C">
              <w:rPr>
                <w:color w:val="000000"/>
              </w:rPr>
              <w:t>0.9011</w:t>
            </w:r>
          </w:p>
        </w:tc>
      </w:tr>
      <w:tr w:rsidR="00C7065C" w:rsidRPr="00C7065C" w14:paraId="18C2FB12"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44DBC33F" w14:textId="77777777" w:rsidR="00C7065C" w:rsidRPr="00C7065C" w:rsidRDefault="00C7065C" w:rsidP="00C7065C">
            <w:pPr>
              <w:rPr>
                <w:color w:val="222222"/>
                <w:sz w:val="26"/>
                <w:szCs w:val="26"/>
              </w:rPr>
            </w:pPr>
            <w:r w:rsidRPr="00C7065C">
              <w:rPr>
                <w:color w:val="222222"/>
                <w:sz w:val="26"/>
                <w:szCs w:val="26"/>
              </w:rPr>
              <w:t>RHB Islamic Bank Berhad</w:t>
            </w:r>
          </w:p>
        </w:tc>
        <w:tc>
          <w:tcPr>
            <w:tcW w:w="1185" w:type="dxa"/>
            <w:tcBorders>
              <w:top w:val="nil"/>
              <w:left w:val="nil"/>
              <w:bottom w:val="nil"/>
              <w:right w:val="nil"/>
            </w:tcBorders>
            <w:shd w:val="clear" w:color="000000" w:fill="FFFFFF"/>
            <w:noWrap/>
            <w:vAlign w:val="bottom"/>
            <w:hideMark/>
          </w:tcPr>
          <w:p w14:paraId="3DDE27B8" w14:textId="77777777" w:rsidR="00C7065C" w:rsidRPr="00C7065C" w:rsidRDefault="00C7065C" w:rsidP="00C7065C">
            <w:pPr>
              <w:jc w:val="center"/>
              <w:rPr>
                <w:color w:val="000000"/>
              </w:rPr>
            </w:pPr>
            <w:r w:rsidRPr="00C7065C">
              <w:rPr>
                <w:color w:val="000000"/>
              </w:rPr>
              <w:t>0.9668</w:t>
            </w:r>
          </w:p>
        </w:tc>
        <w:tc>
          <w:tcPr>
            <w:tcW w:w="1480" w:type="dxa"/>
            <w:tcBorders>
              <w:top w:val="nil"/>
              <w:left w:val="nil"/>
              <w:bottom w:val="nil"/>
              <w:right w:val="nil"/>
            </w:tcBorders>
            <w:shd w:val="clear" w:color="000000" w:fill="FFFFFF"/>
            <w:noWrap/>
            <w:vAlign w:val="bottom"/>
            <w:hideMark/>
          </w:tcPr>
          <w:p w14:paraId="0EA6A3E6" w14:textId="77777777" w:rsidR="00C7065C" w:rsidRPr="00C7065C" w:rsidRDefault="00C7065C" w:rsidP="00C7065C">
            <w:pPr>
              <w:jc w:val="center"/>
              <w:rPr>
                <w:color w:val="000000"/>
              </w:rPr>
            </w:pPr>
            <w:r w:rsidRPr="00C7065C">
              <w:rPr>
                <w:color w:val="000000"/>
              </w:rPr>
              <w:t>0.0142</w:t>
            </w:r>
          </w:p>
        </w:tc>
        <w:tc>
          <w:tcPr>
            <w:tcW w:w="1002" w:type="dxa"/>
            <w:tcBorders>
              <w:top w:val="nil"/>
              <w:left w:val="nil"/>
              <w:bottom w:val="nil"/>
              <w:right w:val="nil"/>
            </w:tcBorders>
            <w:shd w:val="clear" w:color="000000" w:fill="FFFFFF"/>
            <w:noWrap/>
            <w:vAlign w:val="bottom"/>
            <w:hideMark/>
          </w:tcPr>
          <w:p w14:paraId="29EA712B" w14:textId="77777777" w:rsidR="00C7065C" w:rsidRPr="00C7065C" w:rsidRDefault="00C7065C" w:rsidP="00C7065C">
            <w:pPr>
              <w:jc w:val="center"/>
              <w:rPr>
                <w:color w:val="000000"/>
              </w:rPr>
            </w:pPr>
            <w:r w:rsidRPr="00C7065C">
              <w:rPr>
                <w:color w:val="000000"/>
              </w:rPr>
              <w:t>17.7056</w:t>
            </w:r>
          </w:p>
        </w:tc>
        <w:tc>
          <w:tcPr>
            <w:tcW w:w="1090" w:type="dxa"/>
            <w:tcBorders>
              <w:top w:val="nil"/>
              <w:left w:val="nil"/>
              <w:bottom w:val="nil"/>
              <w:right w:val="single" w:sz="4" w:space="0" w:color="auto"/>
            </w:tcBorders>
            <w:shd w:val="clear" w:color="000000" w:fill="FFFFFF"/>
            <w:noWrap/>
            <w:vAlign w:val="bottom"/>
            <w:hideMark/>
          </w:tcPr>
          <w:p w14:paraId="22044475" w14:textId="77777777" w:rsidR="00C7065C" w:rsidRPr="00C7065C" w:rsidRDefault="00C7065C" w:rsidP="00C7065C">
            <w:pPr>
              <w:jc w:val="right"/>
              <w:rPr>
                <w:color w:val="000000"/>
              </w:rPr>
            </w:pPr>
            <w:r w:rsidRPr="00C7065C">
              <w:rPr>
                <w:color w:val="000000"/>
              </w:rPr>
              <w:t>0.7641</w:t>
            </w:r>
          </w:p>
        </w:tc>
      </w:tr>
      <w:tr w:rsidR="00C7065C" w:rsidRPr="00C7065C" w14:paraId="533E7E9E"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0B26AEB8" w14:textId="77777777" w:rsidR="00C7065C" w:rsidRPr="00C7065C" w:rsidRDefault="00C7065C" w:rsidP="00C7065C">
            <w:pPr>
              <w:rPr>
                <w:color w:val="222222"/>
                <w:sz w:val="26"/>
                <w:szCs w:val="26"/>
              </w:rPr>
            </w:pPr>
            <w:r w:rsidRPr="00C7065C">
              <w:rPr>
                <w:color w:val="222222"/>
                <w:sz w:val="26"/>
                <w:szCs w:val="26"/>
              </w:rPr>
              <w:t>Al Rajhi Banking &amp; Investment Corporation (Malaysia) Berhad</w:t>
            </w:r>
          </w:p>
        </w:tc>
        <w:tc>
          <w:tcPr>
            <w:tcW w:w="1185" w:type="dxa"/>
            <w:tcBorders>
              <w:top w:val="nil"/>
              <w:left w:val="nil"/>
              <w:bottom w:val="nil"/>
              <w:right w:val="nil"/>
            </w:tcBorders>
            <w:shd w:val="clear" w:color="000000" w:fill="FFFFFF"/>
            <w:noWrap/>
            <w:vAlign w:val="bottom"/>
            <w:hideMark/>
          </w:tcPr>
          <w:p w14:paraId="66097FC4" w14:textId="77777777" w:rsidR="00C7065C" w:rsidRPr="00C7065C" w:rsidRDefault="00C7065C" w:rsidP="00C7065C">
            <w:pPr>
              <w:jc w:val="center"/>
              <w:rPr>
                <w:color w:val="000000"/>
              </w:rPr>
            </w:pPr>
            <w:r w:rsidRPr="00C7065C">
              <w:rPr>
                <w:color w:val="000000"/>
              </w:rPr>
              <w:t>0.9396</w:t>
            </w:r>
          </w:p>
        </w:tc>
        <w:tc>
          <w:tcPr>
            <w:tcW w:w="1480" w:type="dxa"/>
            <w:tcBorders>
              <w:top w:val="nil"/>
              <w:left w:val="nil"/>
              <w:bottom w:val="nil"/>
              <w:right w:val="nil"/>
            </w:tcBorders>
            <w:shd w:val="clear" w:color="000000" w:fill="FFFFFF"/>
            <w:noWrap/>
            <w:vAlign w:val="bottom"/>
            <w:hideMark/>
          </w:tcPr>
          <w:p w14:paraId="15776184" w14:textId="77777777" w:rsidR="00C7065C" w:rsidRPr="00C7065C" w:rsidRDefault="00C7065C" w:rsidP="00C7065C">
            <w:pPr>
              <w:jc w:val="center"/>
              <w:rPr>
                <w:color w:val="000000"/>
              </w:rPr>
            </w:pPr>
            <w:r w:rsidRPr="00C7065C">
              <w:rPr>
                <w:color w:val="000000"/>
              </w:rPr>
              <w:t>0.0235</w:t>
            </w:r>
          </w:p>
        </w:tc>
        <w:tc>
          <w:tcPr>
            <w:tcW w:w="1002" w:type="dxa"/>
            <w:tcBorders>
              <w:top w:val="nil"/>
              <w:left w:val="nil"/>
              <w:bottom w:val="nil"/>
              <w:right w:val="nil"/>
            </w:tcBorders>
            <w:shd w:val="clear" w:color="000000" w:fill="FFFFFF"/>
            <w:noWrap/>
            <w:vAlign w:val="bottom"/>
            <w:hideMark/>
          </w:tcPr>
          <w:p w14:paraId="1FE4BA3B" w14:textId="77777777" w:rsidR="00C7065C" w:rsidRPr="00C7065C" w:rsidRDefault="00C7065C" w:rsidP="00C7065C">
            <w:pPr>
              <w:jc w:val="center"/>
              <w:rPr>
                <w:color w:val="000000"/>
              </w:rPr>
            </w:pPr>
            <w:r w:rsidRPr="00C7065C">
              <w:rPr>
                <w:color w:val="000000"/>
              </w:rPr>
              <w:t>15.8735</w:t>
            </w:r>
          </w:p>
        </w:tc>
        <w:tc>
          <w:tcPr>
            <w:tcW w:w="1090" w:type="dxa"/>
            <w:tcBorders>
              <w:top w:val="nil"/>
              <w:left w:val="nil"/>
              <w:bottom w:val="nil"/>
              <w:right w:val="single" w:sz="4" w:space="0" w:color="auto"/>
            </w:tcBorders>
            <w:shd w:val="clear" w:color="000000" w:fill="FFFFFF"/>
            <w:noWrap/>
            <w:vAlign w:val="bottom"/>
            <w:hideMark/>
          </w:tcPr>
          <w:p w14:paraId="24C92288" w14:textId="77777777" w:rsidR="00C7065C" w:rsidRPr="00C7065C" w:rsidRDefault="00C7065C" w:rsidP="00C7065C">
            <w:pPr>
              <w:jc w:val="right"/>
              <w:rPr>
                <w:color w:val="000000"/>
              </w:rPr>
            </w:pPr>
            <w:r w:rsidRPr="00C7065C">
              <w:rPr>
                <w:color w:val="000000"/>
              </w:rPr>
              <w:t>0.8563</w:t>
            </w:r>
          </w:p>
        </w:tc>
      </w:tr>
      <w:tr w:rsidR="00C7065C" w:rsidRPr="00C7065C" w14:paraId="3175FCA0"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1F8C4A9E" w14:textId="77777777" w:rsidR="00C7065C" w:rsidRPr="00C7065C" w:rsidRDefault="00C7065C" w:rsidP="00C7065C">
            <w:pPr>
              <w:rPr>
                <w:color w:val="222222"/>
                <w:sz w:val="26"/>
                <w:szCs w:val="26"/>
              </w:rPr>
            </w:pPr>
            <w:r w:rsidRPr="00C7065C">
              <w:rPr>
                <w:color w:val="222222"/>
                <w:sz w:val="26"/>
                <w:szCs w:val="26"/>
              </w:rPr>
              <w:t>Kuwait Finance House (Malaysia) Berhad</w:t>
            </w:r>
          </w:p>
        </w:tc>
        <w:tc>
          <w:tcPr>
            <w:tcW w:w="1185" w:type="dxa"/>
            <w:tcBorders>
              <w:top w:val="nil"/>
              <w:left w:val="nil"/>
              <w:bottom w:val="nil"/>
              <w:right w:val="nil"/>
            </w:tcBorders>
            <w:shd w:val="clear" w:color="000000" w:fill="FFFFFF"/>
            <w:noWrap/>
            <w:vAlign w:val="bottom"/>
            <w:hideMark/>
          </w:tcPr>
          <w:p w14:paraId="6417535B" w14:textId="77777777" w:rsidR="00C7065C" w:rsidRPr="00C7065C" w:rsidRDefault="00C7065C" w:rsidP="00C7065C">
            <w:pPr>
              <w:jc w:val="center"/>
              <w:rPr>
                <w:color w:val="000000"/>
              </w:rPr>
            </w:pPr>
            <w:r w:rsidRPr="00C7065C">
              <w:rPr>
                <w:color w:val="000000"/>
              </w:rPr>
              <w:t>0.9408</w:t>
            </w:r>
          </w:p>
        </w:tc>
        <w:tc>
          <w:tcPr>
            <w:tcW w:w="1480" w:type="dxa"/>
            <w:tcBorders>
              <w:top w:val="nil"/>
              <w:left w:val="nil"/>
              <w:bottom w:val="nil"/>
              <w:right w:val="nil"/>
            </w:tcBorders>
            <w:shd w:val="clear" w:color="000000" w:fill="FFFFFF"/>
            <w:noWrap/>
            <w:vAlign w:val="bottom"/>
            <w:hideMark/>
          </w:tcPr>
          <w:p w14:paraId="6DE5C098" w14:textId="77777777" w:rsidR="00C7065C" w:rsidRPr="00C7065C" w:rsidRDefault="00C7065C" w:rsidP="00C7065C">
            <w:pPr>
              <w:jc w:val="center"/>
              <w:rPr>
                <w:color w:val="000000"/>
              </w:rPr>
            </w:pPr>
            <w:r w:rsidRPr="00C7065C">
              <w:rPr>
                <w:color w:val="000000"/>
              </w:rPr>
              <w:t>0.0223</w:t>
            </w:r>
          </w:p>
        </w:tc>
        <w:tc>
          <w:tcPr>
            <w:tcW w:w="1002" w:type="dxa"/>
            <w:tcBorders>
              <w:top w:val="nil"/>
              <w:left w:val="nil"/>
              <w:bottom w:val="nil"/>
              <w:right w:val="nil"/>
            </w:tcBorders>
            <w:shd w:val="clear" w:color="000000" w:fill="FFFFFF"/>
            <w:noWrap/>
            <w:vAlign w:val="bottom"/>
            <w:hideMark/>
          </w:tcPr>
          <w:p w14:paraId="221A6EB2" w14:textId="77777777" w:rsidR="00C7065C" w:rsidRPr="00C7065C" w:rsidRDefault="00C7065C" w:rsidP="00C7065C">
            <w:pPr>
              <w:jc w:val="center"/>
              <w:rPr>
                <w:color w:val="000000"/>
              </w:rPr>
            </w:pPr>
            <w:r w:rsidRPr="00C7065C">
              <w:rPr>
                <w:color w:val="000000"/>
              </w:rPr>
              <w:t>16.1207</w:t>
            </w:r>
          </w:p>
        </w:tc>
        <w:tc>
          <w:tcPr>
            <w:tcW w:w="1090" w:type="dxa"/>
            <w:tcBorders>
              <w:top w:val="nil"/>
              <w:left w:val="nil"/>
              <w:bottom w:val="nil"/>
              <w:right w:val="single" w:sz="4" w:space="0" w:color="auto"/>
            </w:tcBorders>
            <w:shd w:val="clear" w:color="000000" w:fill="FFFFFF"/>
            <w:noWrap/>
            <w:vAlign w:val="bottom"/>
            <w:hideMark/>
          </w:tcPr>
          <w:p w14:paraId="6B1576A8" w14:textId="77777777" w:rsidR="00C7065C" w:rsidRPr="00C7065C" w:rsidRDefault="00C7065C" w:rsidP="00C7065C">
            <w:pPr>
              <w:jc w:val="right"/>
              <w:rPr>
                <w:color w:val="000000"/>
              </w:rPr>
            </w:pPr>
            <w:r w:rsidRPr="00C7065C">
              <w:rPr>
                <w:color w:val="000000"/>
              </w:rPr>
              <w:t>0.7171</w:t>
            </w:r>
          </w:p>
        </w:tc>
      </w:tr>
      <w:tr w:rsidR="00C7065C" w:rsidRPr="00C7065C" w14:paraId="4ED882FC"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166947B1" w14:textId="77777777" w:rsidR="00C7065C" w:rsidRPr="00C7065C" w:rsidRDefault="00C7065C" w:rsidP="00C7065C">
            <w:pPr>
              <w:rPr>
                <w:color w:val="222222"/>
                <w:sz w:val="26"/>
                <w:szCs w:val="26"/>
              </w:rPr>
            </w:pPr>
            <w:r w:rsidRPr="00C7065C">
              <w:rPr>
                <w:color w:val="222222"/>
                <w:sz w:val="26"/>
                <w:szCs w:val="26"/>
              </w:rPr>
              <w:t>Alliance Islamic Bank Berhad</w:t>
            </w:r>
          </w:p>
        </w:tc>
        <w:tc>
          <w:tcPr>
            <w:tcW w:w="1185" w:type="dxa"/>
            <w:tcBorders>
              <w:top w:val="nil"/>
              <w:left w:val="nil"/>
              <w:bottom w:val="nil"/>
              <w:right w:val="nil"/>
            </w:tcBorders>
            <w:shd w:val="clear" w:color="000000" w:fill="FFFFFF"/>
            <w:noWrap/>
            <w:vAlign w:val="bottom"/>
            <w:hideMark/>
          </w:tcPr>
          <w:p w14:paraId="5FF0024D" w14:textId="77777777" w:rsidR="00C7065C" w:rsidRPr="00C7065C" w:rsidRDefault="00C7065C" w:rsidP="00C7065C">
            <w:pPr>
              <w:jc w:val="center"/>
              <w:rPr>
                <w:color w:val="000000"/>
              </w:rPr>
            </w:pPr>
            <w:r w:rsidRPr="00C7065C">
              <w:rPr>
                <w:color w:val="000000"/>
              </w:rPr>
              <w:t>0.9706</w:t>
            </w:r>
          </w:p>
        </w:tc>
        <w:tc>
          <w:tcPr>
            <w:tcW w:w="1480" w:type="dxa"/>
            <w:tcBorders>
              <w:top w:val="nil"/>
              <w:left w:val="nil"/>
              <w:bottom w:val="nil"/>
              <w:right w:val="nil"/>
            </w:tcBorders>
            <w:shd w:val="clear" w:color="000000" w:fill="FFFFFF"/>
            <w:noWrap/>
            <w:vAlign w:val="bottom"/>
            <w:hideMark/>
          </w:tcPr>
          <w:p w14:paraId="15953C3C" w14:textId="77777777" w:rsidR="00C7065C" w:rsidRPr="00C7065C" w:rsidRDefault="00C7065C" w:rsidP="00C7065C">
            <w:pPr>
              <w:jc w:val="center"/>
              <w:rPr>
                <w:color w:val="000000"/>
              </w:rPr>
            </w:pPr>
            <w:r w:rsidRPr="00C7065C">
              <w:rPr>
                <w:color w:val="000000"/>
              </w:rPr>
              <w:t>0.0248</w:t>
            </w:r>
          </w:p>
        </w:tc>
        <w:tc>
          <w:tcPr>
            <w:tcW w:w="1002" w:type="dxa"/>
            <w:tcBorders>
              <w:top w:val="nil"/>
              <w:left w:val="nil"/>
              <w:bottom w:val="nil"/>
              <w:right w:val="nil"/>
            </w:tcBorders>
            <w:shd w:val="clear" w:color="000000" w:fill="FFFFFF"/>
            <w:noWrap/>
            <w:vAlign w:val="bottom"/>
            <w:hideMark/>
          </w:tcPr>
          <w:p w14:paraId="193491BB" w14:textId="77777777" w:rsidR="00C7065C" w:rsidRPr="00C7065C" w:rsidRDefault="00C7065C" w:rsidP="00C7065C">
            <w:pPr>
              <w:jc w:val="center"/>
              <w:rPr>
                <w:color w:val="000000"/>
              </w:rPr>
            </w:pPr>
            <w:r w:rsidRPr="00C7065C">
              <w:rPr>
                <w:color w:val="000000"/>
              </w:rPr>
              <w:t>16.0604</w:t>
            </w:r>
          </w:p>
        </w:tc>
        <w:tc>
          <w:tcPr>
            <w:tcW w:w="1090" w:type="dxa"/>
            <w:tcBorders>
              <w:top w:val="nil"/>
              <w:left w:val="nil"/>
              <w:bottom w:val="nil"/>
              <w:right w:val="single" w:sz="4" w:space="0" w:color="auto"/>
            </w:tcBorders>
            <w:shd w:val="clear" w:color="000000" w:fill="FFFFFF"/>
            <w:noWrap/>
            <w:vAlign w:val="bottom"/>
            <w:hideMark/>
          </w:tcPr>
          <w:p w14:paraId="10C774CC" w14:textId="77777777" w:rsidR="00C7065C" w:rsidRPr="00C7065C" w:rsidRDefault="00C7065C" w:rsidP="00C7065C">
            <w:pPr>
              <w:jc w:val="right"/>
              <w:rPr>
                <w:color w:val="000000"/>
              </w:rPr>
            </w:pPr>
            <w:r w:rsidRPr="00C7065C">
              <w:rPr>
                <w:color w:val="000000"/>
              </w:rPr>
              <w:t>0.8919</w:t>
            </w:r>
          </w:p>
        </w:tc>
      </w:tr>
      <w:tr w:rsidR="00C7065C" w:rsidRPr="00C7065C" w14:paraId="1427AC42" w14:textId="77777777" w:rsidTr="00C7065C">
        <w:trPr>
          <w:trHeight w:val="342"/>
        </w:trPr>
        <w:tc>
          <w:tcPr>
            <w:tcW w:w="3991" w:type="dxa"/>
            <w:tcBorders>
              <w:top w:val="nil"/>
              <w:left w:val="single" w:sz="4" w:space="0" w:color="auto"/>
              <w:bottom w:val="nil"/>
              <w:right w:val="nil"/>
            </w:tcBorders>
            <w:shd w:val="clear" w:color="000000" w:fill="FFFFFF"/>
            <w:noWrap/>
            <w:vAlign w:val="bottom"/>
            <w:hideMark/>
          </w:tcPr>
          <w:p w14:paraId="6325E552" w14:textId="77777777" w:rsidR="00C7065C" w:rsidRPr="00C7065C" w:rsidRDefault="00C7065C" w:rsidP="00C7065C">
            <w:pPr>
              <w:rPr>
                <w:color w:val="222222"/>
                <w:sz w:val="26"/>
                <w:szCs w:val="26"/>
              </w:rPr>
            </w:pPr>
            <w:r w:rsidRPr="00C7065C">
              <w:rPr>
                <w:color w:val="222222"/>
                <w:sz w:val="26"/>
                <w:szCs w:val="26"/>
              </w:rPr>
              <w:t>Standard Chartered Saadiq Berhad</w:t>
            </w:r>
          </w:p>
        </w:tc>
        <w:tc>
          <w:tcPr>
            <w:tcW w:w="1185" w:type="dxa"/>
            <w:tcBorders>
              <w:top w:val="nil"/>
              <w:left w:val="nil"/>
              <w:bottom w:val="nil"/>
              <w:right w:val="nil"/>
            </w:tcBorders>
            <w:shd w:val="clear" w:color="000000" w:fill="FFFFFF"/>
            <w:noWrap/>
            <w:vAlign w:val="bottom"/>
            <w:hideMark/>
          </w:tcPr>
          <w:p w14:paraId="3FDB6A95" w14:textId="77777777" w:rsidR="00C7065C" w:rsidRPr="00C7065C" w:rsidRDefault="00C7065C" w:rsidP="00C7065C">
            <w:pPr>
              <w:jc w:val="center"/>
              <w:rPr>
                <w:color w:val="000000"/>
              </w:rPr>
            </w:pPr>
            <w:r w:rsidRPr="00C7065C">
              <w:rPr>
                <w:color w:val="000000"/>
              </w:rPr>
              <w:t>0.9186</w:t>
            </w:r>
          </w:p>
        </w:tc>
        <w:tc>
          <w:tcPr>
            <w:tcW w:w="1480" w:type="dxa"/>
            <w:tcBorders>
              <w:top w:val="nil"/>
              <w:left w:val="nil"/>
              <w:bottom w:val="nil"/>
              <w:right w:val="nil"/>
            </w:tcBorders>
            <w:shd w:val="clear" w:color="000000" w:fill="FFFFFF"/>
            <w:noWrap/>
            <w:vAlign w:val="bottom"/>
            <w:hideMark/>
          </w:tcPr>
          <w:p w14:paraId="5F94B044" w14:textId="77777777" w:rsidR="00C7065C" w:rsidRPr="00C7065C" w:rsidRDefault="00C7065C" w:rsidP="00C7065C">
            <w:pPr>
              <w:jc w:val="center"/>
              <w:rPr>
                <w:color w:val="000000"/>
              </w:rPr>
            </w:pPr>
            <w:r w:rsidRPr="00C7065C">
              <w:rPr>
                <w:color w:val="000000"/>
              </w:rPr>
              <w:t>0.0166</w:t>
            </w:r>
          </w:p>
        </w:tc>
        <w:tc>
          <w:tcPr>
            <w:tcW w:w="1002" w:type="dxa"/>
            <w:tcBorders>
              <w:top w:val="nil"/>
              <w:left w:val="nil"/>
              <w:bottom w:val="nil"/>
              <w:right w:val="nil"/>
            </w:tcBorders>
            <w:shd w:val="clear" w:color="000000" w:fill="FFFFFF"/>
            <w:noWrap/>
            <w:vAlign w:val="bottom"/>
            <w:hideMark/>
          </w:tcPr>
          <w:p w14:paraId="663B0E3F" w14:textId="77777777" w:rsidR="00C7065C" w:rsidRPr="00C7065C" w:rsidRDefault="00C7065C" w:rsidP="00C7065C">
            <w:pPr>
              <w:jc w:val="center"/>
              <w:rPr>
                <w:color w:val="000000"/>
              </w:rPr>
            </w:pPr>
            <w:r w:rsidRPr="00C7065C">
              <w:rPr>
                <w:color w:val="000000"/>
              </w:rPr>
              <w:t>16.0213</w:t>
            </w:r>
          </w:p>
        </w:tc>
        <w:tc>
          <w:tcPr>
            <w:tcW w:w="1090" w:type="dxa"/>
            <w:tcBorders>
              <w:top w:val="nil"/>
              <w:left w:val="nil"/>
              <w:bottom w:val="nil"/>
              <w:right w:val="single" w:sz="4" w:space="0" w:color="auto"/>
            </w:tcBorders>
            <w:shd w:val="clear" w:color="000000" w:fill="FFFFFF"/>
            <w:noWrap/>
            <w:vAlign w:val="bottom"/>
            <w:hideMark/>
          </w:tcPr>
          <w:p w14:paraId="029E7629" w14:textId="77777777" w:rsidR="00C7065C" w:rsidRPr="00C7065C" w:rsidRDefault="00C7065C" w:rsidP="00C7065C">
            <w:pPr>
              <w:jc w:val="right"/>
              <w:rPr>
                <w:color w:val="000000"/>
              </w:rPr>
            </w:pPr>
            <w:r w:rsidRPr="00C7065C">
              <w:rPr>
                <w:color w:val="000000"/>
              </w:rPr>
              <w:t>0.6401</w:t>
            </w:r>
          </w:p>
        </w:tc>
      </w:tr>
      <w:tr w:rsidR="00C7065C" w:rsidRPr="00C7065C" w14:paraId="662CF8F3" w14:textId="77777777" w:rsidTr="00C7065C">
        <w:trPr>
          <w:trHeight w:val="342"/>
        </w:trPr>
        <w:tc>
          <w:tcPr>
            <w:tcW w:w="3991" w:type="dxa"/>
            <w:tcBorders>
              <w:top w:val="nil"/>
              <w:left w:val="single" w:sz="4" w:space="0" w:color="auto"/>
              <w:bottom w:val="single" w:sz="4" w:space="0" w:color="auto"/>
              <w:right w:val="nil"/>
            </w:tcBorders>
            <w:shd w:val="clear" w:color="000000" w:fill="FFFFFF"/>
            <w:noWrap/>
            <w:vAlign w:val="bottom"/>
            <w:hideMark/>
          </w:tcPr>
          <w:p w14:paraId="51081DA5" w14:textId="77777777" w:rsidR="00C7065C" w:rsidRPr="00C7065C" w:rsidRDefault="00C7065C" w:rsidP="00C7065C">
            <w:pPr>
              <w:rPr>
                <w:color w:val="222222"/>
                <w:sz w:val="26"/>
                <w:szCs w:val="26"/>
              </w:rPr>
            </w:pPr>
            <w:r w:rsidRPr="00C7065C">
              <w:rPr>
                <w:color w:val="222222"/>
                <w:sz w:val="26"/>
                <w:szCs w:val="26"/>
              </w:rPr>
              <w:t>Maybank Islamic Berhad</w:t>
            </w:r>
          </w:p>
        </w:tc>
        <w:tc>
          <w:tcPr>
            <w:tcW w:w="1185" w:type="dxa"/>
            <w:tcBorders>
              <w:top w:val="nil"/>
              <w:left w:val="nil"/>
              <w:bottom w:val="single" w:sz="4" w:space="0" w:color="auto"/>
              <w:right w:val="nil"/>
            </w:tcBorders>
            <w:shd w:val="clear" w:color="000000" w:fill="FFFFFF"/>
            <w:noWrap/>
            <w:vAlign w:val="bottom"/>
            <w:hideMark/>
          </w:tcPr>
          <w:p w14:paraId="3F66203A" w14:textId="77777777" w:rsidR="00C7065C" w:rsidRPr="00C7065C" w:rsidRDefault="00C7065C" w:rsidP="00C7065C">
            <w:pPr>
              <w:jc w:val="center"/>
              <w:rPr>
                <w:color w:val="000000"/>
              </w:rPr>
            </w:pPr>
            <w:r w:rsidRPr="00C7065C">
              <w:rPr>
                <w:color w:val="000000"/>
              </w:rPr>
              <w:t>0.9553</w:t>
            </w:r>
          </w:p>
        </w:tc>
        <w:tc>
          <w:tcPr>
            <w:tcW w:w="1480" w:type="dxa"/>
            <w:tcBorders>
              <w:top w:val="nil"/>
              <w:left w:val="nil"/>
              <w:bottom w:val="single" w:sz="4" w:space="0" w:color="auto"/>
              <w:right w:val="nil"/>
            </w:tcBorders>
            <w:shd w:val="clear" w:color="000000" w:fill="FFFFFF"/>
            <w:noWrap/>
            <w:vAlign w:val="bottom"/>
            <w:hideMark/>
          </w:tcPr>
          <w:p w14:paraId="4BEF3061" w14:textId="77777777" w:rsidR="00C7065C" w:rsidRPr="00C7065C" w:rsidRDefault="00C7065C" w:rsidP="00C7065C">
            <w:pPr>
              <w:jc w:val="center"/>
              <w:rPr>
                <w:color w:val="000000"/>
              </w:rPr>
            </w:pPr>
            <w:r w:rsidRPr="00C7065C">
              <w:rPr>
                <w:color w:val="000000"/>
              </w:rPr>
              <w:t>0.0174</w:t>
            </w:r>
          </w:p>
        </w:tc>
        <w:tc>
          <w:tcPr>
            <w:tcW w:w="1002" w:type="dxa"/>
            <w:tcBorders>
              <w:top w:val="nil"/>
              <w:left w:val="nil"/>
              <w:bottom w:val="single" w:sz="4" w:space="0" w:color="auto"/>
              <w:right w:val="nil"/>
            </w:tcBorders>
            <w:shd w:val="clear" w:color="000000" w:fill="FFFFFF"/>
            <w:noWrap/>
            <w:vAlign w:val="bottom"/>
            <w:hideMark/>
          </w:tcPr>
          <w:p w14:paraId="321FD4E0" w14:textId="77777777" w:rsidR="00C7065C" w:rsidRPr="00C7065C" w:rsidRDefault="00C7065C" w:rsidP="00C7065C">
            <w:pPr>
              <w:jc w:val="center"/>
              <w:rPr>
                <w:color w:val="000000"/>
              </w:rPr>
            </w:pPr>
            <w:r w:rsidRPr="00C7065C">
              <w:rPr>
                <w:color w:val="000000"/>
              </w:rPr>
              <w:t>18.9951</w:t>
            </w:r>
          </w:p>
        </w:tc>
        <w:tc>
          <w:tcPr>
            <w:tcW w:w="1090" w:type="dxa"/>
            <w:tcBorders>
              <w:top w:val="nil"/>
              <w:left w:val="nil"/>
              <w:bottom w:val="single" w:sz="4" w:space="0" w:color="auto"/>
              <w:right w:val="single" w:sz="4" w:space="0" w:color="auto"/>
            </w:tcBorders>
            <w:shd w:val="clear" w:color="000000" w:fill="FFFFFF"/>
            <w:noWrap/>
            <w:vAlign w:val="bottom"/>
            <w:hideMark/>
          </w:tcPr>
          <w:p w14:paraId="0A3674D6" w14:textId="77777777" w:rsidR="00C7065C" w:rsidRPr="00C7065C" w:rsidRDefault="00C7065C" w:rsidP="00C7065C">
            <w:pPr>
              <w:jc w:val="right"/>
              <w:rPr>
                <w:color w:val="000000"/>
              </w:rPr>
            </w:pPr>
            <w:r w:rsidRPr="00C7065C">
              <w:rPr>
                <w:color w:val="000000"/>
              </w:rPr>
              <w:t>0.9169</w:t>
            </w:r>
          </w:p>
        </w:tc>
      </w:tr>
    </w:tbl>
    <w:p w14:paraId="78122E9A" w14:textId="6C92B970" w:rsidR="00D973FE" w:rsidRDefault="00D973FE" w:rsidP="00335E20"/>
    <w:p w14:paraId="53E0E251" w14:textId="7557152A" w:rsidR="00D973FE" w:rsidRDefault="00D973FE" w:rsidP="00335E20"/>
    <w:p w14:paraId="637A7B45" w14:textId="267D80BB" w:rsidR="00F24BE7" w:rsidRDefault="00F24BE7" w:rsidP="00E06574">
      <w:pPr>
        <w:pStyle w:val="Heading3"/>
        <w:spacing w:after="480" w:line="259" w:lineRule="auto"/>
        <w:ind w:left="720"/>
        <w:rPr>
          <w:rFonts w:ascii="Arial" w:hAnsi="Arial" w:cs="Arial"/>
          <w:b/>
        </w:rPr>
      </w:pPr>
      <w:bookmarkStart w:id="77" w:name="_Toc27578611"/>
      <w:r w:rsidRPr="00E06574">
        <w:rPr>
          <w:rFonts w:ascii="Arial" w:hAnsi="Arial" w:cs="Arial"/>
          <w:b/>
        </w:rPr>
        <w:lastRenderedPageBreak/>
        <w:t>4.2.1 Reliability Test</w:t>
      </w:r>
      <w:bookmarkEnd w:id="77"/>
    </w:p>
    <w:p w14:paraId="31D5849F" w14:textId="2463B821" w:rsidR="006726FD" w:rsidRDefault="001F040D" w:rsidP="001F040D">
      <w:pPr>
        <w:spacing w:line="360" w:lineRule="auto"/>
        <w:jc w:val="both"/>
        <w:rPr>
          <w:rFonts w:ascii="Arial" w:hAnsi="Arial" w:cs="Arial"/>
        </w:rPr>
      </w:pPr>
      <w:r w:rsidRPr="001F040D">
        <w:rPr>
          <w:rFonts w:ascii="Arial" w:hAnsi="Arial" w:cs="Arial"/>
        </w:rPr>
        <w:t xml:space="preserve">      To start the data analysis that reliability is one of the most important steps to measurement instruments or tools for good research. Reliability is referred to like the stability of findings</w:t>
      </w:r>
      <w:r>
        <w:rPr>
          <w:rFonts w:ascii="Arial" w:hAnsi="Arial" w:cs="Arial"/>
        </w:rPr>
        <w:t xml:space="preserve"> </w:t>
      </w:r>
      <w:r w:rsidRPr="001F040D">
        <w:rPr>
          <w:rFonts w:ascii="Arial" w:hAnsi="Arial" w:cs="Arial"/>
        </w:rPr>
        <w:t>(Mohajan, 2017). A high-reliability means can get the same results whatever how many tests take. On the other hand, a test with poor reliability indicated the result might be very different. If the test results are inconsistent, take any substantive action based on the test may be unethical.</w:t>
      </w:r>
      <w:r w:rsidR="006726FD">
        <w:rPr>
          <w:rFonts w:ascii="Arial" w:hAnsi="Arial" w:cs="Arial"/>
        </w:rPr>
        <w:t xml:space="preserve"> </w:t>
      </w:r>
      <w:r w:rsidR="006726FD" w:rsidRPr="006726FD">
        <w:rPr>
          <w:rFonts w:ascii="Arial" w:hAnsi="Arial" w:cs="Arial"/>
        </w:rPr>
        <w:t xml:space="preserve">The reliability test of both conventional and Islamic banks can see in table 4.2. As we can see that the </w:t>
      </w:r>
    </w:p>
    <w:p w14:paraId="58CC256A" w14:textId="251F563C" w:rsidR="006726FD" w:rsidRPr="006726FD" w:rsidRDefault="006726FD" w:rsidP="006726FD">
      <w:pPr>
        <w:spacing w:after="480" w:line="360" w:lineRule="auto"/>
        <w:jc w:val="center"/>
        <w:rPr>
          <w:rFonts w:ascii="Arial" w:hAnsi="Arial" w:cs="Arial"/>
          <w:b/>
          <w:bCs/>
          <w:lang w:val="en-US"/>
        </w:rPr>
      </w:pPr>
      <w:r w:rsidRPr="00F25D65">
        <w:rPr>
          <w:rFonts w:ascii="Arial" w:hAnsi="Arial" w:cs="Arial"/>
          <w:b/>
          <w:bCs/>
        </w:rPr>
        <w:t>Table 4.</w:t>
      </w:r>
      <w:r>
        <w:rPr>
          <w:rFonts w:ascii="Arial" w:hAnsi="Arial" w:cs="Arial"/>
          <w:b/>
          <w:bCs/>
        </w:rPr>
        <w:t>2</w:t>
      </w:r>
      <w:r w:rsidRPr="00F25D65">
        <w:rPr>
          <w:rFonts w:ascii="Arial" w:hAnsi="Arial" w:cs="Arial"/>
          <w:b/>
          <w:bCs/>
        </w:rPr>
        <w:t xml:space="preserve">: </w:t>
      </w:r>
      <w:r>
        <w:rPr>
          <w:rFonts w:ascii="Arial" w:hAnsi="Arial" w:cs="Arial"/>
          <w:b/>
          <w:bCs/>
        </w:rPr>
        <w:t xml:space="preserve">Reliability Test of </w:t>
      </w:r>
      <w:r>
        <w:rPr>
          <w:rFonts w:ascii="Arial" w:hAnsi="Arial" w:cs="Arial"/>
          <w:b/>
          <w:bCs/>
          <w:lang w:val="en-US"/>
        </w:rPr>
        <w:t xml:space="preserve">Conventional and </w:t>
      </w:r>
      <w:r>
        <w:rPr>
          <w:rFonts w:ascii="Arial" w:hAnsi="Arial" w:cs="Arial" w:hint="eastAsia"/>
          <w:b/>
          <w:bCs/>
          <w:lang w:val="en-US"/>
        </w:rPr>
        <w:t>I</w:t>
      </w:r>
      <w:r>
        <w:rPr>
          <w:rFonts w:ascii="Arial" w:hAnsi="Arial" w:cs="Arial"/>
          <w:b/>
          <w:bCs/>
          <w:lang w:val="en-US"/>
        </w:rPr>
        <w:t>slamic Banks</w:t>
      </w:r>
    </w:p>
    <w:tbl>
      <w:tblPr>
        <w:tblStyle w:val="PlainTable1"/>
        <w:tblW w:w="8240" w:type="dxa"/>
        <w:tblLook w:val="04A0" w:firstRow="1" w:lastRow="0" w:firstColumn="1" w:lastColumn="0" w:noHBand="0" w:noVBand="1"/>
      </w:tblPr>
      <w:tblGrid>
        <w:gridCol w:w="2628"/>
        <w:gridCol w:w="1572"/>
        <w:gridCol w:w="2316"/>
        <w:gridCol w:w="1724"/>
      </w:tblGrid>
      <w:tr w:rsidR="006726FD" w14:paraId="244DD986" w14:textId="77777777" w:rsidTr="00D43AA5">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240" w:type="dxa"/>
            <w:gridSpan w:val="4"/>
            <w:noWrap/>
            <w:hideMark/>
          </w:tcPr>
          <w:p w14:paraId="01D0049E" w14:textId="77777777" w:rsidR="006726FD" w:rsidRPr="00D43AA5" w:rsidRDefault="006726FD">
            <w:pPr>
              <w:jc w:val="center"/>
              <w:rPr>
                <w:rFonts w:ascii="Arial" w:hAnsi="Arial" w:cs="Arial"/>
                <w:color w:val="000000"/>
              </w:rPr>
            </w:pPr>
            <w:r w:rsidRPr="00D43AA5">
              <w:rPr>
                <w:rFonts w:ascii="Arial" w:hAnsi="Arial" w:cs="Arial"/>
                <w:b w:val="0"/>
                <w:bCs w:val="0"/>
                <w:color w:val="000000"/>
                <w:sz w:val="32"/>
                <w:szCs w:val="32"/>
              </w:rPr>
              <w:t>Reliability Test</w:t>
            </w:r>
          </w:p>
        </w:tc>
      </w:tr>
      <w:tr w:rsidR="006726FD" w14:paraId="2F46EAD4" w14:textId="77777777" w:rsidTr="007461F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628" w:type="dxa"/>
            <w:noWrap/>
            <w:hideMark/>
          </w:tcPr>
          <w:p w14:paraId="599E9F08" w14:textId="415A7513" w:rsidR="006726FD" w:rsidRPr="00D43AA5" w:rsidRDefault="006726FD">
            <w:pPr>
              <w:rPr>
                <w:rFonts w:ascii="Arial" w:hAnsi="Arial" w:cs="Arial"/>
                <w:b w:val="0"/>
                <w:bCs w:val="0"/>
                <w:color w:val="000000"/>
              </w:rPr>
            </w:pPr>
            <w:r w:rsidRPr="00D43AA5">
              <w:rPr>
                <w:rFonts w:ascii="Arial" w:hAnsi="Arial" w:cs="Arial"/>
                <w:b w:val="0"/>
                <w:bCs w:val="0"/>
                <w:color w:val="000000"/>
              </w:rPr>
              <w:t>Types of the Bank</w:t>
            </w:r>
          </w:p>
        </w:tc>
        <w:tc>
          <w:tcPr>
            <w:tcW w:w="1572" w:type="dxa"/>
            <w:hideMark/>
          </w:tcPr>
          <w:p w14:paraId="3547CCF9" w14:textId="77777777" w:rsidR="006726FD" w:rsidRPr="00D43AA5" w:rsidRDefault="006726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D43AA5">
              <w:rPr>
                <w:rFonts w:ascii="Arial" w:hAnsi="Arial" w:cs="Arial"/>
                <w:b/>
                <w:bCs/>
                <w:color w:val="000000"/>
              </w:rPr>
              <w:t>Cronbach's Alpha</w:t>
            </w:r>
          </w:p>
        </w:tc>
        <w:tc>
          <w:tcPr>
            <w:tcW w:w="2316" w:type="dxa"/>
            <w:hideMark/>
          </w:tcPr>
          <w:p w14:paraId="1E8F48D9" w14:textId="77777777" w:rsidR="006726FD" w:rsidRPr="00D43AA5" w:rsidRDefault="006726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D43AA5">
              <w:rPr>
                <w:rFonts w:ascii="Arial" w:hAnsi="Arial" w:cs="Arial"/>
                <w:b/>
                <w:bCs/>
                <w:color w:val="000000"/>
              </w:rPr>
              <w:t>Cronbach's Alpha Based on Standardized Items</w:t>
            </w:r>
          </w:p>
        </w:tc>
        <w:tc>
          <w:tcPr>
            <w:tcW w:w="1724" w:type="dxa"/>
            <w:hideMark/>
          </w:tcPr>
          <w:p w14:paraId="79EA5EE2" w14:textId="77777777" w:rsidR="006726FD" w:rsidRPr="00D43AA5" w:rsidRDefault="006726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D43AA5">
              <w:rPr>
                <w:rFonts w:ascii="Arial" w:hAnsi="Arial" w:cs="Arial"/>
                <w:b/>
                <w:bCs/>
                <w:color w:val="000000"/>
              </w:rPr>
              <w:t>N of Items</w:t>
            </w:r>
          </w:p>
        </w:tc>
      </w:tr>
      <w:tr w:rsidR="006726FD" w14:paraId="63183465" w14:textId="77777777" w:rsidTr="007461FD">
        <w:trPr>
          <w:trHeight w:val="580"/>
        </w:trPr>
        <w:tc>
          <w:tcPr>
            <w:cnfStyle w:val="001000000000" w:firstRow="0" w:lastRow="0" w:firstColumn="1" w:lastColumn="0" w:oddVBand="0" w:evenVBand="0" w:oddHBand="0" w:evenHBand="0" w:firstRowFirstColumn="0" w:firstRowLastColumn="0" w:lastRowFirstColumn="0" w:lastRowLastColumn="0"/>
            <w:tcW w:w="2628" w:type="dxa"/>
            <w:noWrap/>
            <w:hideMark/>
          </w:tcPr>
          <w:p w14:paraId="4EABA20E" w14:textId="77777777" w:rsidR="006726FD" w:rsidRPr="00D43AA5" w:rsidRDefault="006726FD">
            <w:pPr>
              <w:rPr>
                <w:rFonts w:ascii="Arial" w:hAnsi="Arial" w:cs="Arial"/>
                <w:b w:val="0"/>
                <w:bCs w:val="0"/>
                <w:color w:val="000000"/>
              </w:rPr>
            </w:pPr>
            <w:r w:rsidRPr="00D43AA5">
              <w:rPr>
                <w:rFonts w:ascii="Arial" w:hAnsi="Arial" w:cs="Arial"/>
                <w:b w:val="0"/>
                <w:bCs w:val="0"/>
                <w:color w:val="000000"/>
              </w:rPr>
              <w:t>Conventional Banks</w:t>
            </w:r>
          </w:p>
        </w:tc>
        <w:tc>
          <w:tcPr>
            <w:tcW w:w="1572" w:type="dxa"/>
            <w:noWrap/>
            <w:hideMark/>
          </w:tcPr>
          <w:p w14:paraId="59EFA21B" w14:textId="77777777" w:rsidR="00D43AA5" w:rsidRDefault="00D43A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2974C12A" w14:textId="3AA7FF08" w:rsidR="006726FD" w:rsidRPr="00D43AA5" w:rsidRDefault="006726F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D43AA5">
              <w:rPr>
                <w:rFonts w:ascii="Arial" w:hAnsi="Arial" w:cs="Arial"/>
                <w:color w:val="000000"/>
              </w:rPr>
              <w:t>0.880</w:t>
            </w:r>
          </w:p>
        </w:tc>
        <w:tc>
          <w:tcPr>
            <w:tcW w:w="2316" w:type="dxa"/>
            <w:noWrap/>
            <w:hideMark/>
          </w:tcPr>
          <w:p w14:paraId="05BF857A" w14:textId="77777777" w:rsidR="00D43AA5" w:rsidRDefault="00D43A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7F232612" w14:textId="4F54DD6D" w:rsidR="006726FD" w:rsidRPr="00D43AA5" w:rsidRDefault="006726F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D43AA5">
              <w:rPr>
                <w:rFonts w:ascii="Arial" w:hAnsi="Arial" w:cs="Arial"/>
                <w:color w:val="000000"/>
              </w:rPr>
              <w:t>0.778</w:t>
            </w:r>
          </w:p>
        </w:tc>
        <w:tc>
          <w:tcPr>
            <w:tcW w:w="1724" w:type="dxa"/>
            <w:noWrap/>
            <w:hideMark/>
          </w:tcPr>
          <w:p w14:paraId="226D1458" w14:textId="77777777" w:rsidR="00D43AA5" w:rsidRDefault="00D43A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02787B20" w14:textId="4B309912" w:rsidR="006726FD" w:rsidRPr="00D43AA5" w:rsidRDefault="006726F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D43AA5">
              <w:rPr>
                <w:rFonts w:ascii="Arial" w:hAnsi="Arial" w:cs="Arial"/>
                <w:color w:val="000000"/>
              </w:rPr>
              <w:t>24</w:t>
            </w:r>
          </w:p>
        </w:tc>
      </w:tr>
      <w:tr w:rsidR="006726FD" w14:paraId="0257DD9F" w14:textId="77777777" w:rsidTr="007461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28" w:type="dxa"/>
            <w:noWrap/>
            <w:hideMark/>
          </w:tcPr>
          <w:p w14:paraId="329EE242" w14:textId="77777777" w:rsidR="006726FD" w:rsidRPr="00D43AA5" w:rsidRDefault="006726FD">
            <w:pPr>
              <w:rPr>
                <w:rFonts w:ascii="Arial" w:hAnsi="Arial" w:cs="Arial"/>
                <w:color w:val="000000"/>
              </w:rPr>
            </w:pPr>
            <w:r w:rsidRPr="00D43AA5">
              <w:rPr>
                <w:rFonts w:ascii="Arial" w:hAnsi="Arial" w:cs="Arial"/>
                <w:b w:val="0"/>
                <w:bCs w:val="0"/>
                <w:color w:val="000000"/>
              </w:rPr>
              <w:t>Islamic Banks</w:t>
            </w:r>
          </w:p>
        </w:tc>
        <w:tc>
          <w:tcPr>
            <w:tcW w:w="1572" w:type="dxa"/>
            <w:noWrap/>
            <w:hideMark/>
          </w:tcPr>
          <w:p w14:paraId="5C3744BD" w14:textId="77777777" w:rsidR="00D43AA5" w:rsidRDefault="00D43A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45AC71C" w14:textId="592ADB98" w:rsidR="006726FD" w:rsidRPr="00D43AA5" w:rsidRDefault="006726F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D43AA5">
              <w:rPr>
                <w:rFonts w:ascii="Arial" w:hAnsi="Arial" w:cs="Arial"/>
                <w:color w:val="000000"/>
              </w:rPr>
              <w:t>0.878</w:t>
            </w:r>
          </w:p>
        </w:tc>
        <w:tc>
          <w:tcPr>
            <w:tcW w:w="2316" w:type="dxa"/>
            <w:noWrap/>
            <w:hideMark/>
          </w:tcPr>
          <w:p w14:paraId="3480C5CA" w14:textId="77777777" w:rsidR="00D43AA5" w:rsidRDefault="00D43A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79953B6F" w14:textId="1F705BDC" w:rsidR="006726FD" w:rsidRPr="00D43AA5" w:rsidRDefault="006726F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D43AA5">
              <w:rPr>
                <w:rFonts w:ascii="Arial" w:hAnsi="Arial" w:cs="Arial"/>
                <w:color w:val="000000"/>
              </w:rPr>
              <w:t>0.872</w:t>
            </w:r>
          </w:p>
        </w:tc>
        <w:tc>
          <w:tcPr>
            <w:tcW w:w="1724" w:type="dxa"/>
            <w:noWrap/>
            <w:hideMark/>
          </w:tcPr>
          <w:p w14:paraId="47AB660F" w14:textId="77777777" w:rsidR="00D43AA5" w:rsidRDefault="00D43A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D160F5A" w14:textId="4DB22E6A" w:rsidR="006726FD" w:rsidRPr="00D43AA5" w:rsidRDefault="006726F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D43AA5">
              <w:rPr>
                <w:rFonts w:ascii="Arial" w:hAnsi="Arial" w:cs="Arial"/>
                <w:color w:val="000000"/>
              </w:rPr>
              <w:t>24</w:t>
            </w:r>
          </w:p>
        </w:tc>
      </w:tr>
    </w:tbl>
    <w:p w14:paraId="24944CC8" w14:textId="6852486E" w:rsidR="006726FD" w:rsidRDefault="006726FD" w:rsidP="008214DB">
      <w:pPr>
        <w:rPr>
          <w:lang w:val="en-US"/>
        </w:rPr>
      </w:pPr>
    </w:p>
    <w:p w14:paraId="37B19182" w14:textId="209B7E84" w:rsidR="006726FD" w:rsidRPr="008214DB" w:rsidRDefault="008214DB" w:rsidP="008214DB">
      <w:pPr>
        <w:spacing w:line="360" w:lineRule="auto"/>
        <w:jc w:val="both"/>
        <w:rPr>
          <w:rFonts w:ascii="Arial" w:hAnsi="Arial" w:cs="Arial"/>
        </w:rPr>
      </w:pPr>
      <w:r w:rsidRPr="006726FD">
        <w:rPr>
          <w:rFonts w:ascii="Arial" w:hAnsi="Arial" w:cs="Arial"/>
        </w:rPr>
        <w:t>Cronbach's Alpha of conventional banks is 0.880 and the Cronbach's Alpha for Islamic banks is 0.878 which all above 0.700 indicated the data for both conventional and Islamic banks were reliable. Moreover, the number of items is 24 for both types of banks which include the 20 ratios (liquidity ratio, ROA, bank size, and deposits) and the 4 average of these four types of ratios from the year 2014 to the year 2018.</w:t>
      </w:r>
    </w:p>
    <w:p w14:paraId="5EDA0806" w14:textId="58EAEF5B" w:rsidR="00F24BE7" w:rsidRDefault="00F24BE7" w:rsidP="00F24BE7">
      <w:pPr>
        <w:rPr>
          <w:lang w:val="en-US"/>
        </w:rPr>
      </w:pPr>
    </w:p>
    <w:p w14:paraId="01FEE095" w14:textId="372F5418" w:rsidR="006753B4" w:rsidRPr="00D85FA6" w:rsidRDefault="00F24BE7" w:rsidP="00D85FA6">
      <w:pPr>
        <w:pStyle w:val="Heading3"/>
        <w:spacing w:after="480" w:line="259" w:lineRule="auto"/>
        <w:ind w:left="720"/>
        <w:rPr>
          <w:rFonts w:ascii="Arial" w:hAnsi="Arial" w:cs="Arial"/>
          <w:b/>
        </w:rPr>
      </w:pPr>
      <w:bookmarkStart w:id="78" w:name="_Toc27578612"/>
      <w:r w:rsidRPr="00D85FA6">
        <w:rPr>
          <w:rFonts w:ascii="Arial" w:hAnsi="Arial" w:cs="Arial"/>
          <w:b/>
        </w:rPr>
        <w:t xml:space="preserve">4.2.2 Descriptive </w:t>
      </w:r>
      <w:r w:rsidR="00D43AA5" w:rsidRPr="00D43AA5">
        <w:rPr>
          <w:rFonts w:ascii="Arial" w:hAnsi="Arial" w:cs="Arial"/>
          <w:b/>
        </w:rPr>
        <w:t>Statistics</w:t>
      </w:r>
      <w:bookmarkEnd w:id="78"/>
    </w:p>
    <w:p w14:paraId="1D651A52" w14:textId="72018E81" w:rsidR="00024A0A" w:rsidRDefault="00D85FA6" w:rsidP="00024A0A">
      <w:pPr>
        <w:spacing w:line="360" w:lineRule="auto"/>
        <w:jc w:val="both"/>
      </w:pPr>
      <w:r>
        <w:rPr>
          <w:rFonts w:ascii="Arial" w:hAnsi="Arial" w:cs="Arial"/>
        </w:rPr>
        <w:t xml:space="preserve">      </w:t>
      </w:r>
      <w:r w:rsidR="006753B4" w:rsidRPr="006753B4">
        <w:rPr>
          <w:rFonts w:ascii="Arial" w:hAnsi="Arial" w:cs="Arial"/>
        </w:rPr>
        <w:t xml:space="preserve">Descriptive analysis is are central to almost every statistical analysis of research. After a large number of data obtained from the research are preliminarily sorted out and summarized that Descriptive analysis can help the researcher find out the internal laws of these data concentration and dispersion </w:t>
      </w:r>
      <w:r w:rsidR="006753B4" w:rsidRPr="006753B4">
        <w:rPr>
          <w:rFonts w:ascii="Arial" w:hAnsi="Arial" w:cs="Arial"/>
        </w:rPr>
        <w:lastRenderedPageBreak/>
        <w:t>trends. The single-factor analysis is mainly carried out with the help of statistics represented by various data, such as mean, percentage, etc.</w:t>
      </w:r>
      <w:r w:rsidR="00024A0A">
        <w:rPr>
          <w:rFonts w:ascii="Arial" w:hAnsi="Arial" w:cs="Arial"/>
        </w:rPr>
        <w:t xml:space="preserve"> </w:t>
      </w:r>
      <w:r w:rsidR="00024A0A" w:rsidRPr="00024A0A">
        <w:t xml:space="preserve"> </w:t>
      </w:r>
    </w:p>
    <w:p w14:paraId="40C4F0C3" w14:textId="77777777" w:rsidR="00024A0A" w:rsidRDefault="00024A0A" w:rsidP="00024A0A">
      <w:pPr>
        <w:spacing w:line="360" w:lineRule="auto"/>
        <w:jc w:val="both"/>
      </w:pPr>
    </w:p>
    <w:p w14:paraId="0B1FACEE" w14:textId="6F624870" w:rsidR="004E28B1" w:rsidRDefault="00024A0A" w:rsidP="00024A0A">
      <w:pPr>
        <w:spacing w:line="360" w:lineRule="auto"/>
        <w:jc w:val="both"/>
        <w:rPr>
          <w:rFonts w:ascii="Arial" w:hAnsi="Arial" w:cs="Arial"/>
        </w:rPr>
      </w:pPr>
      <w:r>
        <w:t xml:space="preserve">      </w:t>
      </w:r>
      <w:r w:rsidRPr="00024A0A">
        <w:rPr>
          <w:rFonts w:ascii="Arial" w:hAnsi="Arial" w:cs="Arial"/>
        </w:rPr>
        <w:t xml:space="preserve">As we can see from table 4.2 shows that </w:t>
      </w:r>
      <w:r w:rsidR="00115918">
        <w:rPr>
          <w:rFonts w:ascii="Arial" w:hAnsi="Arial" w:cs="Arial"/>
        </w:rPr>
        <w:t>there are total 15 conventional banks and 15 Islamic banks. And the</w:t>
      </w:r>
      <w:r w:rsidRPr="00024A0A">
        <w:rPr>
          <w:rFonts w:ascii="Arial" w:hAnsi="Arial" w:cs="Arial"/>
        </w:rPr>
        <w:t xml:space="preserve"> difference between the conventional banks’ liquidity ratio is bigger  (0.12) compare to Islamic banks. The highest liquidity ratio is 0.99 belong to conventional banks and the lowest liquidity ratio is 0.87 also 99 belongs to conventional banks. However, the mean of conventional banks’ liquidity ratio is 0.85 which is lower than the Islamic bank’s liquidity ratio 0.96. It indicated most of Islamic bank’s ability on liquidity was better to compare to conventional banks from 2014 to 2018. This is consistent with the findings of İncekara and Çetinkaya (2019).  </w:t>
      </w:r>
    </w:p>
    <w:p w14:paraId="5201CA2B" w14:textId="2C8F47A1" w:rsidR="004E28B1" w:rsidRPr="00024A0A" w:rsidRDefault="004E28B1" w:rsidP="00024A0A">
      <w:pPr>
        <w:spacing w:line="360" w:lineRule="auto"/>
        <w:jc w:val="both"/>
        <w:rPr>
          <w:rFonts w:ascii="SimSun" w:eastAsia="SimSun" w:hAnsi="SimSun" w:cs="SimSun"/>
          <w:lang w:val="en-US"/>
        </w:rPr>
      </w:pPr>
    </w:p>
    <w:p w14:paraId="64215D66" w14:textId="358B2947" w:rsidR="004E28B1" w:rsidRPr="004E28B1" w:rsidRDefault="004E28B1" w:rsidP="004E28B1">
      <w:pPr>
        <w:spacing w:after="480" w:line="360" w:lineRule="auto"/>
        <w:jc w:val="center"/>
        <w:rPr>
          <w:rFonts w:ascii="Arial" w:hAnsi="Arial" w:cs="Arial"/>
          <w:b/>
          <w:bCs/>
          <w:lang w:val="en-US"/>
        </w:rPr>
      </w:pPr>
      <w:r w:rsidRPr="00F25D65">
        <w:rPr>
          <w:rFonts w:ascii="Arial" w:hAnsi="Arial" w:cs="Arial"/>
          <w:b/>
          <w:bCs/>
        </w:rPr>
        <w:t>Table 4.</w:t>
      </w:r>
      <w:r w:rsidR="003E5C0F">
        <w:rPr>
          <w:rFonts w:ascii="Arial" w:hAnsi="Arial" w:cs="Arial"/>
          <w:b/>
          <w:bCs/>
        </w:rPr>
        <w:t>3</w:t>
      </w:r>
      <w:r w:rsidRPr="00F25D65">
        <w:rPr>
          <w:rFonts w:ascii="Arial" w:hAnsi="Arial" w:cs="Arial"/>
          <w:b/>
          <w:bCs/>
        </w:rPr>
        <w:t xml:space="preserve">: </w:t>
      </w:r>
      <w:r w:rsidR="00D43AA5" w:rsidRPr="00D43AA5">
        <w:rPr>
          <w:rFonts w:ascii="Arial" w:hAnsi="Arial" w:cs="Arial"/>
          <w:b/>
          <w:bCs/>
          <w:lang w:val="en-US"/>
        </w:rPr>
        <w:t>Descriptive Statistics (Sample 20</w:t>
      </w:r>
      <w:r w:rsidR="00D43AA5">
        <w:rPr>
          <w:rFonts w:ascii="Arial" w:hAnsi="Arial" w:cs="Arial"/>
          <w:b/>
          <w:bCs/>
          <w:lang w:val="en-US"/>
        </w:rPr>
        <w:t>14</w:t>
      </w:r>
      <w:r w:rsidR="00D43AA5" w:rsidRPr="00D43AA5">
        <w:rPr>
          <w:rFonts w:ascii="Arial" w:hAnsi="Arial" w:cs="Arial"/>
          <w:b/>
          <w:bCs/>
          <w:lang w:val="en-US"/>
        </w:rPr>
        <w:t>–201</w:t>
      </w:r>
      <w:r w:rsidR="00D43AA5">
        <w:rPr>
          <w:rFonts w:ascii="Arial" w:hAnsi="Arial" w:cs="Arial"/>
          <w:b/>
          <w:bCs/>
          <w:lang w:val="en-US"/>
        </w:rPr>
        <w:t>8</w:t>
      </w:r>
      <w:r w:rsidR="00D43AA5" w:rsidRPr="00D43AA5">
        <w:rPr>
          <w:rFonts w:ascii="Arial" w:hAnsi="Arial" w:cs="Arial"/>
          <w:b/>
          <w:bCs/>
          <w:lang w:val="en-US"/>
        </w:rPr>
        <w:t>)</w:t>
      </w:r>
    </w:p>
    <w:tbl>
      <w:tblPr>
        <w:tblStyle w:val="PlainTable1"/>
        <w:tblW w:w="9731" w:type="dxa"/>
        <w:tblInd w:w="-289" w:type="dxa"/>
        <w:tblLook w:val="04A0" w:firstRow="1" w:lastRow="0" w:firstColumn="1" w:lastColumn="0" w:noHBand="0" w:noVBand="1"/>
      </w:tblPr>
      <w:tblGrid>
        <w:gridCol w:w="1737"/>
        <w:gridCol w:w="1417"/>
        <w:gridCol w:w="532"/>
        <w:gridCol w:w="1270"/>
        <w:gridCol w:w="1323"/>
        <w:gridCol w:w="951"/>
        <w:gridCol w:w="1297"/>
        <w:gridCol w:w="1217"/>
      </w:tblGrid>
      <w:tr w:rsidR="004E28B1" w:rsidRPr="004E28B1" w14:paraId="0C65CB57" w14:textId="77777777" w:rsidTr="008D0B71">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9731" w:type="dxa"/>
            <w:gridSpan w:val="8"/>
            <w:noWrap/>
            <w:hideMark/>
          </w:tcPr>
          <w:p w14:paraId="4519DDFB" w14:textId="6CC22AB6" w:rsidR="004E28B1" w:rsidRPr="004E28B1" w:rsidRDefault="00D43AA5" w:rsidP="004E28B1">
            <w:pPr>
              <w:jc w:val="center"/>
              <w:rPr>
                <w:rFonts w:ascii="Arial" w:hAnsi="Arial" w:cs="Arial"/>
                <w:color w:val="000000"/>
                <w:sz w:val="32"/>
                <w:szCs w:val="32"/>
              </w:rPr>
            </w:pPr>
            <w:r w:rsidRPr="00D43AA5">
              <w:rPr>
                <w:rFonts w:ascii="Arial" w:hAnsi="Arial" w:cs="Arial"/>
                <w:color w:val="000000"/>
                <w:sz w:val="32"/>
                <w:szCs w:val="32"/>
              </w:rPr>
              <w:t xml:space="preserve">Descriptive Statistics </w:t>
            </w:r>
            <w:r w:rsidR="004056E1" w:rsidRPr="004056E1">
              <w:rPr>
                <w:rFonts w:ascii="Arial" w:hAnsi="Arial" w:cs="Arial"/>
                <w:color w:val="000000"/>
                <w:sz w:val="32"/>
                <w:szCs w:val="32"/>
              </w:rPr>
              <w:t>(Conventional and İslamic Banking)</w:t>
            </w:r>
          </w:p>
        </w:tc>
      </w:tr>
      <w:tr w:rsidR="00D43AA5" w:rsidRPr="004E28B1" w14:paraId="7D6151B3" w14:textId="77777777" w:rsidTr="008D0B71">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154" w:type="dxa"/>
            <w:gridSpan w:val="2"/>
            <w:noWrap/>
            <w:hideMark/>
          </w:tcPr>
          <w:p w14:paraId="5CE18EC2" w14:textId="77777777" w:rsidR="00D43AA5" w:rsidRDefault="00D43AA5" w:rsidP="004E28B1">
            <w:pPr>
              <w:rPr>
                <w:rFonts w:ascii="Arial" w:hAnsi="Arial" w:cs="Arial"/>
                <w:b w:val="0"/>
                <w:bCs w:val="0"/>
                <w:color w:val="000000"/>
              </w:rPr>
            </w:pPr>
          </w:p>
          <w:p w14:paraId="497108EA" w14:textId="5F0BA5B9" w:rsidR="00D43AA5" w:rsidRPr="004E28B1" w:rsidRDefault="00D43AA5" w:rsidP="004E28B1">
            <w:pPr>
              <w:rPr>
                <w:rFonts w:ascii="Arial" w:hAnsi="Arial" w:cs="Arial"/>
                <w:b w:val="0"/>
                <w:bCs w:val="0"/>
                <w:color w:val="000000"/>
              </w:rPr>
            </w:pPr>
            <w:r w:rsidRPr="004E28B1">
              <w:rPr>
                <w:rFonts w:ascii="Arial" w:hAnsi="Arial" w:cs="Arial"/>
                <w:color w:val="000000"/>
              </w:rPr>
              <w:t>Types of the Bank</w:t>
            </w:r>
          </w:p>
          <w:p w14:paraId="2037014A" w14:textId="47C77219" w:rsidR="00D43AA5" w:rsidRPr="004E28B1" w:rsidRDefault="00D43AA5" w:rsidP="004E28B1">
            <w:pPr>
              <w:rPr>
                <w:rFonts w:ascii="Arial" w:hAnsi="Arial" w:cs="Arial"/>
                <w:color w:val="000000"/>
              </w:rPr>
            </w:pPr>
            <w:r w:rsidRPr="004E28B1">
              <w:rPr>
                <w:rFonts w:ascii="Arial" w:hAnsi="Arial" w:cs="Arial"/>
                <w:color w:val="000000"/>
              </w:rPr>
              <w:t> </w:t>
            </w:r>
          </w:p>
        </w:tc>
        <w:tc>
          <w:tcPr>
            <w:tcW w:w="532" w:type="dxa"/>
            <w:hideMark/>
          </w:tcPr>
          <w:p w14:paraId="1BAB3CAA" w14:textId="77777777" w:rsidR="00D43AA5"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7939439A" w14:textId="542E9F89" w:rsidR="00D43AA5" w:rsidRPr="004E28B1"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4E28B1">
              <w:rPr>
                <w:rFonts w:ascii="Arial" w:hAnsi="Arial" w:cs="Arial"/>
                <w:b/>
                <w:bCs/>
                <w:color w:val="000000"/>
              </w:rPr>
              <w:t>N</w:t>
            </w:r>
          </w:p>
        </w:tc>
        <w:tc>
          <w:tcPr>
            <w:tcW w:w="1270" w:type="dxa"/>
            <w:hideMark/>
          </w:tcPr>
          <w:p w14:paraId="0BEA3E44" w14:textId="77777777" w:rsidR="00D43AA5"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24E37557" w14:textId="1342FCD5" w:rsidR="00D43AA5" w:rsidRPr="004E28B1"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4E28B1">
              <w:rPr>
                <w:rFonts w:ascii="Arial" w:hAnsi="Arial" w:cs="Arial"/>
                <w:b/>
                <w:bCs/>
                <w:color w:val="000000"/>
              </w:rPr>
              <w:t>Minimum</w:t>
            </w:r>
          </w:p>
        </w:tc>
        <w:tc>
          <w:tcPr>
            <w:tcW w:w="1323" w:type="dxa"/>
            <w:hideMark/>
          </w:tcPr>
          <w:p w14:paraId="63F60381" w14:textId="77777777" w:rsidR="00D43AA5"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451950F7" w14:textId="346363BC" w:rsidR="00D43AA5" w:rsidRPr="004E28B1"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4E28B1">
              <w:rPr>
                <w:rFonts w:ascii="Arial" w:hAnsi="Arial" w:cs="Arial"/>
                <w:b/>
                <w:bCs/>
                <w:color w:val="000000"/>
              </w:rPr>
              <w:t>Maximum</w:t>
            </w:r>
          </w:p>
        </w:tc>
        <w:tc>
          <w:tcPr>
            <w:tcW w:w="951" w:type="dxa"/>
            <w:hideMark/>
          </w:tcPr>
          <w:p w14:paraId="17594D10" w14:textId="77777777" w:rsidR="00D43AA5"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7743DCB5" w14:textId="6FF14E64" w:rsidR="00D43AA5" w:rsidRPr="004E28B1"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4E28B1">
              <w:rPr>
                <w:rFonts w:ascii="Arial" w:hAnsi="Arial" w:cs="Arial"/>
                <w:b/>
                <w:bCs/>
                <w:color w:val="000000"/>
              </w:rPr>
              <w:t>Mean</w:t>
            </w:r>
          </w:p>
        </w:tc>
        <w:tc>
          <w:tcPr>
            <w:tcW w:w="1297" w:type="dxa"/>
            <w:hideMark/>
          </w:tcPr>
          <w:p w14:paraId="664E4F60" w14:textId="77777777" w:rsidR="00D43AA5"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017708D0" w14:textId="57EE26AB" w:rsidR="00D43AA5" w:rsidRPr="004E28B1"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4E28B1">
              <w:rPr>
                <w:rFonts w:ascii="Arial" w:hAnsi="Arial" w:cs="Arial"/>
                <w:b/>
                <w:bCs/>
                <w:color w:val="000000"/>
              </w:rPr>
              <w:t>Std. Deviation</w:t>
            </w:r>
          </w:p>
        </w:tc>
        <w:tc>
          <w:tcPr>
            <w:tcW w:w="1204" w:type="dxa"/>
            <w:hideMark/>
          </w:tcPr>
          <w:p w14:paraId="18309E33" w14:textId="77777777" w:rsidR="00D43AA5"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4E99CD2F" w14:textId="65480D3C" w:rsidR="00D43AA5" w:rsidRPr="004E28B1" w:rsidRDefault="00D43AA5" w:rsidP="004E28B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4E28B1">
              <w:rPr>
                <w:rFonts w:ascii="Arial" w:hAnsi="Arial" w:cs="Arial"/>
                <w:b/>
                <w:bCs/>
                <w:color w:val="000000"/>
              </w:rPr>
              <w:t>Variance</w:t>
            </w:r>
          </w:p>
        </w:tc>
      </w:tr>
      <w:tr w:rsidR="00D43AA5" w:rsidRPr="004E28B1" w14:paraId="038C4583" w14:textId="77777777" w:rsidTr="008D0B71">
        <w:trPr>
          <w:trHeight w:val="676"/>
        </w:trPr>
        <w:tc>
          <w:tcPr>
            <w:cnfStyle w:val="001000000000" w:firstRow="0" w:lastRow="0" w:firstColumn="1" w:lastColumn="0" w:oddVBand="0" w:evenVBand="0" w:oddHBand="0" w:evenHBand="0" w:firstRowFirstColumn="0" w:firstRowLastColumn="0" w:lastRowFirstColumn="0" w:lastRowLastColumn="0"/>
            <w:tcW w:w="1737" w:type="dxa"/>
            <w:vMerge w:val="restart"/>
            <w:noWrap/>
            <w:hideMark/>
          </w:tcPr>
          <w:p w14:paraId="3A57747B" w14:textId="77777777" w:rsidR="00D43AA5" w:rsidRPr="004E28B1" w:rsidRDefault="00D43AA5" w:rsidP="004E28B1">
            <w:pPr>
              <w:rPr>
                <w:rFonts w:ascii="Arial" w:hAnsi="Arial" w:cs="Arial"/>
                <w:b w:val="0"/>
                <w:bCs w:val="0"/>
                <w:color w:val="000000"/>
              </w:rPr>
            </w:pPr>
            <w:r w:rsidRPr="004E28B1">
              <w:rPr>
                <w:rFonts w:ascii="Arial" w:hAnsi="Arial" w:cs="Arial"/>
                <w:color w:val="000000"/>
              </w:rPr>
              <w:t>Conventional Banks</w:t>
            </w:r>
          </w:p>
          <w:p w14:paraId="481C658E" w14:textId="77777777" w:rsidR="00D43AA5" w:rsidRPr="004E28B1" w:rsidRDefault="00D43AA5" w:rsidP="004E28B1">
            <w:pPr>
              <w:rPr>
                <w:rFonts w:ascii="Arial" w:hAnsi="Arial" w:cs="Arial"/>
                <w:b w:val="0"/>
                <w:bCs w:val="0"/>
                <w:color w:val="000000"/>
              </w:rPr>
            </w:pPr>
            <w:r w:rsidRPr="004E28B1">
              <w:rPr>
                <w:rFonts w:ascii="Arial" w:hAnsi="Arial" w:cs="Arial"/>
                <w:color w:val="000000"/>
              </w:rPr>
              <w:t> </w:t>
            </w:r>
          </w:p>
          <w:p w14:paraId="0470CE62" w14:textId="77777777" w:rsidR="00D43AA5" w:rsidRPr="004E28B1" w:rsidRDefault="00D43AA5" w:rsidP="004E28B1">
            <w:pPr>
              <w:rPr>
                <w:rFonts w:ascii="Arial" w:hAnsi="Arial" w:cs="Arial"/>
                <w:b w:val="0"/>
                <w:bCs w:val="0"/>
                <w:color w:val="000000"/>
              </w:rPr>
            </w:pPr>
            <w:r w:rsidRPr="004E28B1">
              <w:rPr>
                <w:rFonts w:ascii="Arial" w:hAnsi="Arial" w:cs="Arial"/>
                <w:color w:val="000000"/>
              </w:rPr>
              <w:t> </w:t>
            </w:r>
          </w:p>
          <w:p w14:paraId="2670D33A" w14:textId="77777777" w:rsidR="00D43AA5" w:rsidRPr="004E28B1" w:rsidRDefault="00D43AA5" w:rsidP="004E28B1">
            <w:pPr>
              <w:rPr>
                <w:rFonts w:ascii="Arial" w:hAnsi="Arial" w:cs="Arial"/>
                <w:b w:val="0"/>
                <w:bCs w:val="0"/>
                <w:color w:val="000000"/>
              </w:rPr>
            </w:pPr>
            <w:r w:rsidRPr="004E28B1">
              <w:rPr>
                <w:rFonts w:ascii="Arial" w:hAnsi="Arial" w:cs="Arial"/>
                <w:color w:val="000000"/>
              </w:rPr>
              <w:t> </w:t>
            </w:r>
          </w:p>
          <w:p w14:paraId="19882C3A" w14:textId="51642ED6" w:rsidR="00D43AA5" w:rsidRPr="004E28B1" w:rsidRDefault="00D43AA5" w:rsidP="004E28B1">
            <w:pPr>
              <w:rPr>
                <w:rFonts w:ascii="Arial" w:hAnsi="Arial" w:cs="Arial"/>
                <w:color w:val="000000"/>
              </w:rPr>
            </w:pPr>
            <w:r w:rsidRPr="004E28B1">
              <w:rPr>
                <w:rFonts w:ascii="Arial" w:hAnsi="Arial" w:cs="Arial"/>
                <w:color w:val="000000"/>
              </w:rPr>
              <w:t> </w:t>
            </w:r>
          </w:p>
        </w:tc>
        <w:tc>
          <w:tcPr>
            <w:tcW w:w="1417" w:type="dxa"/>
            <w:noWrap/>
            <w:hideMark/>
          </w:tcPr>
          <w:p w14:paraId="7E5BAB85" w14:textId="77777777" w:rsidR="00024A0A" w:rsidRDefault="00024A0A" w:rsidP="004E28B1">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18156BA3" w14:textId="71F5D0E4" w:rsidR="00D43AA5" w:rsidRPr="004E28B1" w:rsidRDefault="00D43AA5" w:rsidP="004E28B1">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D43AA5">
              <w:rPr>
                <w:rFonts w:ascii="Arial" w:hAnsi="Arial" w:cs="Arial"/>
                <w:b/>
                <w:bCs/>
                <w:color w:val="000000"/>
              </w:rPr>
              <w:t>Liquidity</w:t>
            </w:r>
            <w:r w:rsidRPr="004E28B1">
              <w:rPr>
                <w:rFonts w:ascii="Arial" w:hAnsi="Arial" w:cs="Arial"/>
                <w:b/>
                <w:bCs/>
                <w:color w:val="000000"/>
              </w:rPr>
              <w:t xml:space="preserve"> Ratio</w:t>
            </w:r>
          </w:p>
        </w:tc>
        <w:tc>
          <w:tcPr>
            <w:tcW w:w="532" w:type="dxa"/>
            <w:noWrap/>
            <w:hideMark/>
          </w:tcPr>
          <w:p w14:paraId="54DCD26C" w14:textId="77777777" w:rsidR="00D43AA5" w:rsidRDefault="00D43AA5" w:rsidP="004E28B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08CF1965" w14:textId="77AD77E0" w:rsidR="00D43AA5" w:rsidRPr="004E28B1" w:rsidRDefault="00D43AA5" w:rsidP="004E28B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15</w:t>
            </w:r>
          </w:p>
        </w:tc>
        <w:tc>
          <w:tcPr>
            <w:tcW w:w="1270" w:type="dxa"/>
            <w:noWrap/>
            <w:hideMark/>
          </w:tcPr>
          <w:p w14:paraId="1BF3677B"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0C0DEE9E" w14:textId="69A28C76"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0.87</w:t>
            </w:r>
          </w:p>
        </w:tc>
        <w:tc>
          <w:tcPr>
            <w:tcW w:w="1323" w:type="dxa"/>
            <w:noWrap/>
            <w:hideMark/>
          </w:tcPr>
          <w:p w14:paraId="15808DF2"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0D87DC59" w14:textId="63D5A0A4"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0.99</w:t>
            </w:r>
          </w:p>
        </w:tc>
        <w:tc>
          <w:tcPr>
            <w:tcW w:w="951" w:type="dxa"/>
            <w:noWrap/>
            <w:hideMark/>
          </w:tcPr>
          <w:p w14:paraId="3DED7A1F"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301CF79B" w14:textId="7FD232A2"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0.85</w:t>
            </w:r>
          </w:p>
        </w:tc>
        <w:tc>
          <w:tcPr>
            <w:tcW w:w="1297" w:type="dxa"/>
            <w:noWrap/>
            <w:hideMark/>
          </w:tcPr>
          <w:p w14:paraId="0073B3A4"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6253D4C4" w14:textId="5A72C81C"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0.03</w:t>
            </w:r>
          </w:p>
        </w:tc>
        <w:tc>
          <w:tcPr>
            <w:tcW w:w="1204" w:type="dxa"/>
            <w:noWrap/>
            <w:hideMark/>
          </w:tcPr>
          <w:p w14:paraId="527008C7"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45164CC7" w14:textId="71BF4968"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0.001</w:t>
            </w:r>
          </w:p>
        </w:tc>
      </w:tr>
      <w:tr w:rsidR="00D43AA5" w:rsidRPr="004E28B1" w14:paraId="6EE79C6B" w14:textId="77777777" w:rsidTr="008D0B71">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737" w:type="dxa"/>
            <w:vMerge/>
            <w:noWrap/>
            <w:hideMark/>
          </w:tcPr>
          <w:p w14:paraId="3753768D" w14:textId="551F2239" w:rsidR="00D43AA5" w:rsidRPr="004E28B1" w:rsidRDefault="00D43AA5" w:rsidP="004E28B1">
            <w:pPr>
              <w:rPr>
                <w:rFonts w:ascii="Arial" w:hAnsi="Arial" w:cs="Arial"/>
                <w:color w:val="000000"/>
              </w:rPr>
            </w:pPr>
          </w:p>
        </w:tc>
        <w:tc>
          <w:tcPr>
            <w:tcW w:w="1417" w:type="dxa"/>
            <w:noWrap/>
            <w:hideMark/>
          </w:tcPr>
          <w:p w14:paraId="017B4AEB" w14:textId="77777777" w:rsidR="00024A0A" w:rsidRDefault="00024A0A" w:rsidP="004E28B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17F7CF66" w14:textId="4DB70658" w:rsidR="00D43AA5" w:rsidRPr="004E28B1" w:rsidRDefault="00D43AA5" w:rsidP="004E28B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4E28B1">
              <w:rPr>
                <w:rFonts w:ascii="Arial" w:hAnsi="Arial" w:cs="Arial"/>
                <w:b/>
                <w:bCs/>
                <w:color w:val="000000"/>
              </w:rPr>
              <w:t>ROA</w:t>
            </w:r>
          </w:p>
        </w:tc>
        <w:tc>
          <w:tcPr>
            <w:tcW w:w="532" w:type="dxa"/>
            <w:noWrap/>
            <w:hideMark/>
          </w:tcPr>
          <w:p w14:paraId="1A1D946C" w14:textId="77777777" w:rsidR="00D43AA5" w:rsidRDefault="00D43AA5" w:rsidP="004E28B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8DC3D2C" w14:textId="3681516D" w:rsidR="00D43AA5" w:rsidRPr="004E28B1" w:rsidRDefault="00D43AA5" w:rsidP="004E28B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15</w:t>
            </w:r>
          </w:p>
        </w:tc>
        <w:tc>
          <w:tcPr>
            <w:tcW w:w="1270" w:type="dxa"/>
            <w:noWrap/>
            <w:hideMark/>
          </w:tcPr>
          <w:p w14:paraId="04FF1D5B"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4236E8A" w14:textId="288B59C2"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0.01</w:t>
            </w:r>
          </w:p>
        </w:tc>
        <w:tc>
          <w:tcPr>
            <w:tcW w:w="1323" w:type="dxa"/>
            <w:noWrap/>
            <w:hideMark/>
          </w:tcPr>
          <w:p w14:paraId="47412092"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E548EC1" w14:textId="23D897B8"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0.04</w:t>
            </w:r>
          </w:p>
        </w:tc>
        <w:tc>
          <w:tcPr>
            <w:tcW w:w="951" w:type="dxa"/>
            <w:noWrap/>
            <w:hideMark/>
          </w:tcPr>
          <w:p w14:paraId="68FF43CA"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CF56E29" w14:textId="25207398"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0.03</w:t>
            </w:r>
          </w:p>
        </w:tc>
        <w:tc>
          <w:tcPr>
            <w:tcW w:w="1297" w:type="dxa"/>
            <w:noWrap/>
            <w:hideMark/>
          </w:tcPr>
          <w:p w14:paraId="37718AFE"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E8FF20A" w14:textId="4A123469"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0.01</w:t>
            </w:r>
          </w:p>
        </w:tc>
        <w:tc>
          <w:tcPr>
            <w:tcW w:w="1204" w:type="dxa"/>
            <w:noWrap/>
            <w:hideMark/>
          </w:tcPr>
          <w:p w14:paraId="36ADF163"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345269F" w14:textId="2F0D922F"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0.000</w:t>
            </w:r>
          </w:p>
        </w:tc>
      </w:tr>
      <w:tr w:rsidR="00D43AA5" w:rsidRPr="004E28B1" w14:paraId="6DB6F719" w14:textId="77777777" w:rsidTr="008D0B71">
        <w:trPr>
          <w:trHeight w:val="538"/>
        </w:trPr>
        <w:tc>
          <w:tcPr>
            <w:cnfStyle w:val="001000000000" w:firstRow="0" w:lastRow="0" w:firstColumn="1" w:lastColumn="0" w:oddVBand="0" w:evenVBand="0" w:oddHBand="0" w:evenHBand="0" w:firstRowFirstColumn="0" w:firstRowLastColumn="0" w:lastRowFirstColumn="0" w:lastRowLastColumn="0"/>
            <w:tcW w:w="1737" w:type="dxa"/>
            <w:vMerge/>
            <w:noWrap/>
            <w:hideMark/>
          </w:tcPr>
          <w:p w14:paraId="46689BF9" w14:textId="7D0AB9F4" w:rsidR="00D43AA5" w:rsidRPr="004E28B1" w:rsidRDefault="00D43AA5" w:rsidP="004E28B1">
            <w:pPr>
              <w:rPr>
                <w:rFonts w:ascii="Arial" w:hAnsi="Arial" w:cs="Arial"/>
                <w:color w:val="000000"/>
              </w:rPr>
            </w:pPr>
          </w:p>
        </w:tc>
        <w:tc>
          <w:tcPr>
            <w:tcW w:w="1417" w:type="dxa"/>
            <w:noWrap/>
            <w:hideMark/>
          </w:tcPr>
          <w:p w14:paraId="4EB25AF2" w14:textId="77777777" w:rsidR="00024A0A" w:rsidRDefault="00024A0A" w:rsidP="004E28B1">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363476E6" w14:textId="1DCFF9E4" w:rsidR="00D43AA5" w:rsidRPr="004E28B1" w:rsidRDefault="00D43AA5" w:rsidP="004E28B1">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4E28B1">
              <w:rPr>
                <w:rFonts w:ascii="Arial" w:hAnsi="Arial" w:cs="Arial"/>
                <w:b/>
                <w:bCs/>
                <w:color w:val="000000"/>
              </w:rPr>
              <w:t>Bank Size</w:t>
            </w:r>
          </w:p>
        </w:tc>
        <w:tc>
          <w:tcPr>
            <w:tcW w:w="532" w:type="dxa"/>
            <w:noWrap/>
            <w:hideMark/>
          </w:tcPr>
          <w:p w14:paraId="03B4CE84" w14:textId="77777777" w:rsidR="00D43AA5" w:rsidRDefault="00D43AA5" w:rsidP="004E28B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15C22E6C" w14:textId="7BD3B432" w:rsidR="00D43AA5" w:rsidRPr="004E28B1" w:rsidRDefault="00D43AA5" w:rsidP="004E28B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15</w:t>
            </w:r>
          </w:p>
        </w:tc>
        <w:tc>
          <w:tcPr>
            <w:tcW w:w="1270" w:type="dxa"/>
            <w:noWrap/>
            <w:hideMark/>
          </w:tcPr>
          <w:p w14:paraId="41E016F4"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557BA90B" w14:textId="4A15D02C"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13.04</w:t>
            </w:r>
          </w:p>
        </w:tc>
        <w:tc>
          <w:tcPr>
            <w:tcW w:w="1323" w:type="dxa"/>
            <w:noWrap/>
            <w:hideMark/>
          </w:tcPr>
          <w:p w14:paraId="650C67B5"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0410F39A" w14:textId="4CDD68DB"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20.41</w:t>
            </w:r>
          </w:p>
        </w:tc>
        <w:tc>
          <w:tcPr>
            <w:tcW w:w="951" w:type="dxa"/>
            <w:noWrap/>
            <w:hideMark/>
          </w:tcPr>
          <w:p w14:paraId="41FEEF04"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195DFDF1" w14:textId="27F375E7"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17.63</w:t>
            </w:r>
          </w:p>
        </w:tc>
        <w:tc>
          <w:tcPr>
            <w:tcW w:w="1297" w:type="dxa"/>
            <w:noWrap/>
            <w:hideMark/>
          </w:tcPr>
          <w:p w14:paraId="47A95168"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45E3B35C" w14:textId="6C244CF5"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2.07</w:t>
            </w:r>
          </w:p>
        </w:tc>
        <w:tc>
          <w:tcPr>
            <w:tcW w:w="1204" w:type="dxa"/>
            <w:noWrap/>
            <w:hideMark/>
          </w:tcPr>
          <w:p w14:paraId="6328F4FB"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4B649BB9" w14:textId="45A4ED1B"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4.278</w:t>
            </w:r>
          </w:p>
        </w:tc>
      </w:tr>
      <w:tr w:rsidR="00D43AA5" w:rsidRPr="004E28B1" w14:paraId="7A4578EF" w14:textId="77777777" w:rsidTr="008D0B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37" w:type="dxa"/>
            <w:vMerge/>
            <w:noWrap/>
            <w:hideMark/>
          </w:tcPr>
          <w:p w14:paraId="1F3273B1" w14:textId="550BC940" w:rsidR="00D43AA5" w:rsidRPr="004E28B1" w:rsidRDefault="00D43AA5" w:rsidP="004E28B1">
            <w:pPr>
              <w:rPr>
                <w:rFonts w:ascii="Arial" w:hAnsi="Arial" w:cs="Arial"/>
                <w:color w:val="000000"/>
              </w:rPr>
            </w:pPr>
          </w:p>
        </w:tc>
        <w:tc>
          <w:tcPr>
            <w:tcW w:w="1417" w:type="dxa"/>
            <w:noWrap/>
            <w:hideMark/>
          </w:tcPr>
          <w:p w14:paraId="6498BBF6" w14:textId="77777777" w:rsidR="00024A0A" w:rsidRDefault="00024A0A" w:rsidP="004E28B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6D8D1FA5" w14:textId="2B57DBD1" w:rsidR="00D43AA5" w:rsidRPr="004E28B1" w:rsidRDefault="00D43AA5" w:rsidP="004E28B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D43AA5">
              <w:rPr>
                <w:rFonts w:ascii="Arial" w:hAnsi="Arial" w:cs="Arial"/>
                <w:b/>
                <w:bCs/>
                <w:color w:val="000000"/>
              </w:rPr>
              <w:t>Deposits</w:t>
            </w:r>
          </w:p>
        </w:tc>
        <w:tc>
          <w:tcPr>
            <w:tcW w:w="532" w:type="dxa"/>
            <w:noWrap/>
            <w:hideMark/>
          </w:tcPr>
          <w:p w14:paraId="5D3DD165" w14:textId="77777777" w:rsidR="00D43AA5" w:rsidRDefault="00D43AA5" w:rsidP="004E28B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A03EEAE" w14:textId="4A63443E" w:rsidR="00D43AA5" w:rsidRPr="004E28B1" w:rsidRDefault="00D43AA5" w:rsidP="004E28B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15</w:t>
            </w:r>
          </w:p>
        </w:tc>
        <w:tc>
          <w:tcPr>
            <w:tcW w:w="1270" w:type="dxa"/>
            <w:noWrap/>
            <w:hideMark/>
          </w:tcPr>
          <w:p w14:paraId="147C4C81"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3E87F39" w14:textId="4581829B"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0.03</w:t>
            </w:r>
          </w:p>
        </w:tc>
        <w:tc>
          <w:tcPr>
            <w:tcW w:w="1323" w:type="dxa"/>
            <w:noWrap/>
            <w:hideMark/>
          </w:tcPr>
          <w:p w14:paraId="2ADB98CC"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9658AC4" w14:textId="38FF07D0"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0.85</w:t>
            </w:r>
          </w:p>
        </w:tc>
        <w:tc>
          <w:tcPr>
            <w:tcW w:w="951" w:type="dxa"/>
            <w:noWrap/>
            <w:hideMark/>
          </w:tcPr>
          <w:p w14:paraId="3883F29B"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778971F8" w14:textId="049DE5C2"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0.76</w:t>
            </w:r>
          </w:p>
        </w:tc>
        <w:tc>
          <w:tcPr>
            <w:tcW w:w="1297" w:type="dxa"/>
            <w:noWrap/>
            <w:hideMark/>
          </w:tcPr>
          <w:p w14:paraId="73F4779E"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EE61F17" w14:textId="4E497AAF"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0.13</w:t>
            </w:r>
          </w:p>
        </w:tc>
        <w:tc>
          <w:tcPr>
            <w:tcW w:w="1204" w:type="dxa"/>
            <w:noWrap/>
            <w:hideMark/>
          </w:tcPr>
          <w:p w14:paraId="1F63AF51"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D43BA0F" w14:textId="354B28A9"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0.018</w:t>
            </w:r>
          </w:p>
        </w:tc>
      </w:tr>
      <w:tr w:rsidR="00D43AA5" w:rsidRPr="004E28B1" w14:paraId="02AB822F" w14:textId="77777777" w:rsidTr="008D0B71">
        <w:trPr>
          <w:trHeight w:val="265"/>
        </w:trPr>
        <w:tc>
          <w:tcPr>
            <w:cnfStyle w:val="001000000000" w:firstRow="0" w:lastRow="0" w:firstColumn="1" w:lastColumn="0" w:oddVBand="0" w:evenVBand="0" w:oddHBand="0" w:evenHBand="0" w:firstRowFirstColumn="0" w:firstRowLastColumn="0" w:lastRowFirstColumn="0" w:lastRowLastColumn="0"/>
            <w:tcW w:w="1737" w:type="dxa"/>
            <w:vMerge/>
            <w:noWrap/>
            <w:hideMark/>
          </w:tcPr>
          <w:p w14:paraId="563D5E76" w14:textId="6ED39493" w:rsidR="00D43AA5" w:rsidRPr="004E28B1" w:rsidRDefault="00D43AA5" w:rsidP="004E28B1">
            <w:pPr>
              <w:rPr>
                <w:rFonts w:ascii="Arial" w:hAnsi="Arial" w:cs="Arial"/>
                <w:color w:val="000000"/>
              </w:rPr>
            </w:pPr>
          </w:p>
        </w:tc>
        <w:tc>
          <w:tcPr>
            <w:tcW w:w="1417" w:type="dxa"/>
            <w:noWrap/>
            <w:hideMark/>
          </w:tcPr>
          <w:p w14:paraId="0B5DB59A" w14:textId="77777777" w:rsidR="00D43AA5" w:rsidRPr="004E28B1" w:rsidRDefault="00D43AA5" w:rsidP="004E28B1">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4E28B1">
              <w:rPr>
                <w:rFonts w:ascii="Arial" w:hAnsi="Arial" w:cs="Arial"/>
                <w:b/>
                <w:bCs/>
                <w:color w:val="000000"/>
              </w:rPr>
              <w:t>Valid N(listwise)</w:t>
            </w:r>
          </w:p>
        </w:tc>
        <w:tc>
          <w:tcPr>
            <w:tcW w:w="532" w:type="dxa"/>
            <w:noWrap/>
            <w:hideMark/>
          </w:tcPr>
          <w:p w14:paraId="62EE9F0F" w14:textId="77777777" w:rsidR="00D43AA5" w:rsidRDefault="00D43AA5" w:rsidP="004E28B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250C9B88" w14:textId="2796E57C" w:rsidR="00D43AA5" w:rsidRPr="004E28B1" w:rsidRDefault="00D43AA5" w:rsidP="004E28B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15</w:t>
            </w:r>
          </w:p>
        </w:tc>
        <w:tc>
          <w:tcPr>
            <w:tcW w:w="1270" w:type="dxa"/>
            <w:noWrap/>
            <w:hideMark/>
          </w:tcPr>
          <w:p w14:paraId="6FB767ED" w14:textId="2CED05A4"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323" w:type="dxa"/>
            <w:noWrap/>
            <w:hideMark/>
          </w:tcPr>
          <w:p w14:paraId="6A1ADFCA" w14:textId="1BFE2D56"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951" w:type="dxa"/>
            <w:noWrap/>
            <w:hideMark/>
          </w:tcPr>
          <w:p w14:paraId="2408296B" w14:textId="011DFE09"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297" w:type="dxa"/>
            <w:noWrap/>
            <w:hideMark/>
          </w:tcPr>
          <w:p w14:paraId="6829A9F6" w14:textId="76A73ED0"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204" w:type="dxa"/>
            <w:noWrap/>
            <w:hideMark/>
          </w:tcPr>
          <w:p w14:paraId="216A3622" w14:textId="09219D77"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D43AA5" w:rsidRPr="004E28B1" w14:paraId="1D003F91" w14:textId="77777777" w:rsidTr="008D0B71">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37" w:type="dxa"/>
            <w:vMerge w:val="restart"/>
            <w:noWrap/>
            <w:hideMark/>
          </w:tcPr>
          <w:p w14:paraId="2777D6C4" w14:textId="77777777" w:rsidR="00D43AA5" w:rsidRPr="004E28B1" w:rsidRDefault="00D43AA5" w:rsidP="004E28B1">
            <w:pPr>
              <w:rPr>
                <w:rFonts w:ascii="Arial" w:hAnsi="Arial" w:cs="Arial"/>
                <w:b w:val="0"/>
                <w:bCs w:val="0"/>
                <w:color w:val="000000"/>
              </w:rPr>
            </w:pPr>
            <w:r w:rsidRPr="004E28B1">
              <w:rPr>
                <w:rFonts w:ascii="Arial" w:hAnsi="Arial" w:cs="Arial"/>
                <w:color w:val="000000"/>
              </w:rPr>
              <w:t>Islamic Banks</w:t>
            </w:r>
          </w:p>
          <w:p w14:paraId="3B76F65E" w14:textId="77777777" w:rsidR="00D43AA5" w:rsidRPr="004E28B1" w:rsidRDefault="00D43AA5" w:rsidP="004E28B1">
            <w:pPr>
              <w:rPr>
                <w:rFonts w:ascii="Arial" w:hAnsi="Arial" w:cs="Arial"/>
                <w:b w:val="0"/>
                <w:bCs w:val="0"/>
                <w:color w:val="000000"/>
              </w:rPr>
            </w:pPr>
            <w:r w:rsidRPr="004E28B1">
              <w:rPr>
                <w:rFonts w:ascii="Arial" w:hAnsi="Arial" w:cs="Arial"/>
                <w:color w:val="000000"/>
              </w:rPr>
              <w:t> </w:t>
            </w:r>
          </w:p>
          <w:p w14:paraId="5DD653D5" w14:textId="77777777" w:rsidR="00D43AA5" w:rsidRPr="004E28B1" w:rsidRDefault="00D43AA5" w:rsidP="004E28B1">
            <w:pPr>
              <w:rPr>
                <w:rFonts w:ascii="Arial" w:hAnsi="Arial" w:cs="Arial"/>
                <w:b w:val="0"/>
                <w:bCs w:val="0"/>
                <w:color w:val="000000"/>
              </w:rPr>
            </w:pPr>
            <w:r w:rsidRPr="004E28B1">
              <w:rPr>
                <w:rFonts w:ascii="Arial" w:hAnsi="Arial" w:cs="Arial"/>
                <w:color w:val="000000"/>
              </w:rPr>
              <w:t> </w:t>
            </w:r>
          </w:p>
          <w:p w14:paraId="025AEA80" w14:textId="77777777" w:rsidR="00D43AA5" w:rsidRPr="004E28B1" w:rsidRDefault="00D43AA5" w:rsidP="004E28B1">
            <w:pPr>
              <w:rPr>
                <w:rFonts w:ascii="Arial" w:hAnsi="Arial" w:cs="Arial"/>
                <w:b w:val="0"/>
                <w:bCs w:val="0"/>
                <w:color w:val="000000"/>
              </w:rPr>
            </w:pPr>
            <w:r w:rsidRPr="004E28B1">
              <w:rPr>
                <w:rFonts w:ascii="Arial" w:hAnsi="Arial" w:cs="Arial"/>
                <w:color w:val="000000"/>
              </w:rPr>
              <w:t> </w:t>
            </w:r>
          </w:p>
          <w:p w14:paraId="08ADF1A9" w14:textId="74E2D4FD" w:rsidR="00D43AA5" w:rsidRPr="004E28B1" w:rsidRDefault="00D43AA5" w:rsidP="004E28B1">
            <w:pPr>
              <w:rPr>
                <w:rFonts w:ascii="Arial" w:hAnsi="Arial" w:cs="Arial"/>
                <w:color w:val="000000"/>
              </w:rPr>
            </w:pPr>
            <w:r w:rsidRPr="004E28B1">
              <w:rPr>
                <w:rFonts w:ascii="Arial" w:hAnsi="Arial" w:cs="Arial"/>
                <w:color w:val="000000"/>
              </w:rPr>
              <w:t> </w:t>
            </w:r>
          </w:p>
        </w:tc>
        <w:tc>
          <w:tcPr>
            <w:tcW w:w="1417" w:type="dxa"/>
            <w:noWrap/>
            <w:hideMark/>
          </w:tcPr>
          <w:p w14:paraId="24448304" w14:textId="77777777" w:rsidR="00024A0A" w:rsidRDefault="00024A0A" w:rsidP="004E28B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141C96CC" w14:textId="526FC0CE" w:rsidR="00D43AA5" w:rsidRPr="004E28B1" w:rsidRDefault="00D43AA5" w:rsidP="004E28B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D43AA5">
              <w:rPr>
                <w:rFonts w:ascii="Arial" w:hAnsi="Arial" w:cs="Arial"/>
                <w:b/>
                <w:bCs/>
                <w:color w:val="000000"/>
              </w:rPr>
              <w:t>Liquidity</w:t>
            </w:r>
            <w:r w:rsidRPr="004E28B1">
              <w:rPr>
                <w:rFonts w:ascii="Arial" w:hAnsi="Arial" w:cs="Arial"/>
                <w:b/>
                <w:bCs/>
                <w:color w:val="000000"/>
              </w:rPr>
              <w:t xml:space="preserve"> Ratio</w:t>
            </w:r>
          </w:p>
        </w:tc>
        <w:tc>
          <w:tcPr>
            <w:tcW w:w="532" w:type="dxa"/>
            <w:noWrap/>
            <w:hideMark/>
          </w:tcPr>
          <w:p w14:paraId="2B91204F" w14:textId="77777777" w:rsidR="00D43AA5" w:rsidRDefault="00D43AA5" w:rsidP="004E28B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7D1D5A3" w14:textId="7758FA8E" w:rsidR="00D43AA5" w:rsidRPr="004E28B1" w:rsidRDefault="00D43AA5" w:rsidP="004E28B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15</w:t>
            </w:r>
          </w:p>
        </w:tc>
        <w:tc>
          <w:tcPr>
            <w:tcW w:w="1270" w:type="dxa"/>
            <w:noWrap/>
            <w:hideMark/>
          </w:tcPr>
          <w:p w14:paraId="436CDD1E"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7FD8806" w14:textId="7F8F9C51"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0.92</w:t>
            </w:r>
          </w:p>
        </w:tc>
        <w:tc>
          <w:tcPr>
            <w:tcW w:w="1323" w:type="dxa"/>
            <w:noWrap/>
            <w:hideMark/>
          </w:tcPr>
          <w:p w14:paraId="4A899F1B"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4581A0C" w14:textId="58B8F486"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0.97</w:t>
            </w:r>
          </w:p>
        </w:tc>
        <w:tc>
          <w:tcPr>
            <w:tcW w:w="951" w:type="dxa"/>
            <w:noWrap/>
            <w:hideMark/>
          </w:tcPr>
          <w:p w14:paraId="357545EF"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2EC01A6" w14:textId="1CA9B444"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0.96</w:t>
            </w:r>
          </w:p>
        </w:tc>
        <w:tc>
          <w:tcPr>
            <w:tcW w:w="1297" w:type="dxa"/>
            <w:noWrap/>
            <w:hideMark/>
          </w:tcPr>
          <w:p w14:paraId="556F7258"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307F521" w14:textId="53288B28"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0.02</w:t>
            </w:r>
          </w:p>
        </w:tc>
        <w:tc>
          <w:tcPr>
            <w:tcW w:w="1204" w:type="dxa"/>
            <w:noWrap/>
            <w:hideMark/>
          </w:tcPr>
          <w:p w14:paraId="3BA7321A"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353B2D3" w14:textId="2F827AA1"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0.000</w:t>
            </w:r>
          </w:p>
        </w:tc>
      </w:tr>
      <w:tr w:rsidR="00D43AA5" w:rsidRPr="004E28B1" w14:paraId="641D7897" w14:textId="77777777" w:rsidTr="008D0B71">
        <w:trPr>
          <w:trHeight w:val="426"/>
        </w:trPr>
        <w:tc>
          <w:tcPr>
            <w:cnfStyle w:val="001000000000" w:firstRow="0" w:lastRow="0" w:firstColumn="1" w:lastColumn="0" w:oddVBand="0" w:evenVBand="0" w:oddHBand="0" w:evenHBand="0" w:firstRowFirstColumn="0" w:firstRowLastColumn="0" w:lastRowFirstColumn="0" w:lastRowLastColumn="0"/>
            <w:tcW w:w="1737" w:type="dxa"/>
            <w:vMerge/>
            <w:noWrap/>
            <w:hideMark/>
          </w:tcPr>
          <w:p w14:paraId="2D937245" w14:textId="1E6BC52B" w:rsidR="00D43AA5" w:rsidRPr="004E28B1" w:rsidRDefault="00D43AA5" w:rsidP="004E28B1">
            <w:pPr>
              <w:rPr>
                <w:rFonts w:ascii="Arial" w:hAnsi="Arial" w:cs="Arial"/>
                <w:color w:val="000000"/>
              </w:rPr>
            </w:pPr>
          </w:p>
        </w:tc>
        <w:tc>
          <w:tcPr>
            <w:tcW w:w="1417" w:type="dxa"/>
            <w:noWrap/>
            <w:hideMark/>
          </w:tcPr>
          <w:p w14:paraId="38B71A9E" w14:textId="77777777" w:rsidR="00024A0A" w:rsidRDefault="00024A0A" w:rsidP="004E28B1">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0C939DAE" w14:textId="736304AB" w:rsidR="00D43AA5" w:rsidRPr="004E28B1" w:rsidRDefault="00D43AA5" w:rsidP="004E28B1">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4E28B1">
              <w:rPr>
                <w:rFonts w:ascii="Arial" w:hAnsi="Arial" w:cs="Arial"/>
                <w:b/>
                <w:bCs/>
                <w:color w:val="000000"/>
              </w:rPr>
              <w:t>ROA</w:t>
            </w:r>
          </w:p>
        </w:tc>
        <w:tc>
          <w:tcPr>
            <w:tcW w:w="532" w:type="dxa"/>
            <w:noWrap/>
            <w:hideMark/>
          </w:tcPr>
          <w:p w14:paraId="5475AAB4" w14:textId="77777777" w:rsidR="00D43AA5" w:rsidRDefault="00D43AA5" w:rsidP="004E28B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1614E32C" w14:textId="799140F3" w:rsidR="00D43AA5" w:rsidRPr="004E28B1" w:rsidRDefault="00D43AA5" w:rsidP="004E28B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15</w:t>
            </w:r>
          </w:p>
        </w:tc>
        <w:tc>
          <w:tcPr>
            <w:tcW w:w="1270" w:type="dxa"/>
            <w:noWrap/>
            <w:hideMark/>
          </w:tcPr>
          <w:p w14:paraId="3331C37A"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3A5BC2FC" w14:textId="426B8DF5"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0.01</w:t>
            </w:r>
          </w:p>
        </w:tc>
        <w:tc>
          <w:tcPr>
            <w:tcW w:w="1323" w:type="dxa"/>
            <w:noWrap/>
            <w:hideMark/>
          </w:tcPr>
          <w:p w14:paraId="55EF4F10"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6D5419A2" w14:textId="43F981A4"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0.03</w:t>
            </w:r>
          </w:p>
        </w:tc>
        <w:tc>
          <w:tcPr>
            <w:tcW w:w="951" w:type="dxa"/>
            <w:noWrap/>
            <w:hideMark/>
          </w:tcPr>
          <w:p w14:paraId="3945C646"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4E683EC2" w14:textId="6F08A243"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0.02</w:t>
            </w:r>
          </w:p>
        </w:tc>
        <w:tc>
          <w:tcPr>
            <w:tcW w:w="1297" w:type="dxa"/>
            <w:noWrap/>
            <w:hideMark/>
          </w:tcPr>
          <w:p w14:paraId="7E711466"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103C6954" w14:textId="6E4F976D"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0.01</w:t>
            </w:r>
          </w:p>
        </w:tc>
        <w:tc>
          <w:tcPr>
            <w:tcW w:w="1204" w:type="dxa"/>
            <w:noWrap/>
            <w:hideMark/>
          </w:tcPr>
          <w:p w14:paraId="01F0B919"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78A16E9D" w14:textId="1839F174"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0.000</w:t>
            </w:r>
          </w:p>
        </w:tc>
      </w:tr>
      <w:tr w:rsidR="00D43AA5" w:rsidRPr="004E28B1" w14:paraId="606113C8" w14:textId="77777777" w:rsidTr="008D0B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737" w:type="dxa"/>
            <w:vMerge/>
            <w:noWrap/>
            <w:hideMark/>
          </w:tcPr>
          <w:p w14:paraId="59A826ED" w14:textId="46C77D44" w:rsidR="00D43AA5" w:rsidRPr="004E28B1" w:rsidRDefault="00D43AA5" w:rsidP="004E28B1">
            <w:pPr>
              <w:rPr>
                <w:rFonts w:ascii="Arial" w:hAnsi="Arial" w:cs="Arial"/>
                <w:color w:val="000000"/>
              </w:rPr>
            </w:pPr>
          </w:p>
        </w:tc>
        <w:tc>
          <w:tcPr>
            <w:tcW w:w="1417" w:type="dxa"/>
            <w:noWrap/>
            <w:hideMark/>
          </w:tcPr>
          <w:p w14:paraId="7F9F67BA" w14:textId="77777777" w:rsidR="00024A0A" w:rsidRDefault="00024A0A" w:rsidP="004E28B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22EA256C" w14:textId="6384FB09" w:rsidR="00D43AA5" w:rsidRPr="004E28B1" w:rsidRDefault="00D43AA5" w:rsidP="004E28B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4E28B1">
              <w:rPr>
                <w:rFonts w:ascii="Arial" w:hAnsi="Arial" w:cs="Arial"/>
                <w:b/>
                <w:bCs/>
                <w:color w:val="000000"/>
              </w:rPr>
              <w:t>Bank Size</w:t>
            </w:r>
          </w:p>
        </w:tc>
        <w:tc>
          <w:tcPr>
            <w:tcW w:w="532" w:type="dxa"/>
            <w:noWrap/>
            <w:hideMark/>
          </w:tcPr>
          <w:p w14:paraId="68B233DC" w14:textId="77777777" w:rsidR="00D43AA5" w:rsidRDefault="00D43AA5" w:rsidP="004E28B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BAA531D" w14:textId="4122A21E" w:rsidR="00D43AA5" w:rsidRPr="004E28B1" w:rsidRDefault="00D43AA5" w:rsidP="004E28B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15</w:t>
            </w:r>
          </w:p>
        </w:tc>
        <w:tc>
          <w:tcPr>
            <w:tcW w:w="1270" w:type="dxa"/>
            <w:noWrap/>
            <w:hideMark/>
          </w:tcPr>
          <w:p w14:paraId="7CB756C2"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0433FD3" w14:textId="1724E023"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15.87</w:t>
            </w:r>
          </w:p>
        </w:tc>
        <w:tc>
          <w:tcPr>
            <w:tcW w:w="1323" w:type="dxa"/>
            <w:noWrap/>
            <w:hideMark/>
          </w:tcPr>
          <w:p w14:paraId="66897FD2"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EF455A5" w14:textId="3AB130C0"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19</w:t>
            </w:r>
            <w:r>
              <w:rPr>
                <w:rFonts w:ascii="Arial" w:hAnsi="Arial" w:cs="Arial"/>
                <w:color w:val="000000"/>
              </w:rPr>
              <w:t>.00</w:t>
            </w:r>
          </w:p>
        </w:tc>
        <w:tc>
          <w:tcPr>
            <w:tcW w:w="951" w:type="dxa"/>
            <w:noWrap/>
            <w:hideMark/>
          </w:tcPr>
          <w:p w14:paraId="56F4FA7B"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E868C89" w14:textId="7BE33854"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17.05</w:t>
            </w:r>
          </w:p>
        </w:tc>
        <w:tc>
          <w:tcPr>
            <w:tcW w:w="1297" w:type="dxa"/>
            <w:noWrap/>
            <w:hideMark/>
          </w:tcPr>
          <w:p w14:paraId="4D05B077"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ACA2555" w14:textId="1D331DA9"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0.9</w:t>
            </w:r>
          </w:p>
        </w:tc>
        <w:tc>
          <w:tcPr>
            <w:tcW w:w="1204" w:type="dxa"/>
            <w:noWrap/>
            <w:hideMark/>
          </w:tcPr>
          <w:p w14:paraId="2838F822" w14:textId="77777777" w:rsidR="00D43AA5"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8070540" w14:textId="0AF9B247" w:rsidR="00D43AA5" w:rsidRPr="004E28B1" w:rsidRDefault="00D43AA5" w:rsidP="00D43A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0.811</w:t>
            </w:r>
          </w:p>
        </w:tc>
      </w:tr>
      <w:tr w:rsidR="00D43AA5" w:rsidRPr="004E28B1" w14:paraId="61C10DFE" w14:textId="77777777" w:rsidTr="008D0B71">
        <w:trPr>
          <w:trHeight w:val="555"/>
        </w:trPr>
        <w:tc>
          <w:tcPr>
            <w:cnfStyle w:val="001000000000" w:firstRow="0" w:lastRow="0" w:firstColumn="1" w:lastColumn="0" w:oddVBand="0" w:evenVBand="0" w:oddHBand="0" w:evenHBand="0" w:firstRowFirstColumn="0" w:firstRowLastColumn="0" w:lastRowFirstColumn="0" w:lastRowLastColumn="0"/>
            <w:tcW w:w="1737" w:type="dxa"/>
            <w:vMerge/>
            <w:noWrap/>
            <w:hideMark/>
          </w:tcPr>
          <w:p w14:paraId="0740CDF4" w14:textId="716CBFD8" w:rsidR="00D43AA5" w:rsidRPr="004E28B1" w:rsidRDefault="00D43AA5" w:rsidP="004E28B1">
            <w:pPr>
              <w:rPr>
                <w:rFonts w:ascii="Arial" w:hAnsi="Arial" w:cs="Arial"/>
                <w:color w:val="000000"/>
              </w:rPr>
            </w:pPr>
          </w:p>
        </w:tc>
        <w:tc>
          <w:tcPr>
            <w:tcW w:w="1417" w:type="dxa"/>
            <w:noWrap/>
            <w:hideMark/>
          </w:tcPr>
          <w:p w14:paraId="42EC46BC" w14:textId="77777777" w:rsidR="00024A0A" w:rsidRDefault="00024A0A" w:rsidP="004E28B1">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5C29CB80" w14:textId="215B3425" w:rsidR="00D43AA5" w:rsidRPr="004E28B1" w:rsidRDefault="00D43AA5" w:rsidP="004E28B1">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D43AA5">
              <w:rPr>
                <w:rFonts w:ascii="Arial" w:hAnsi="Arial" w:cs="Arial"/>
                <w:b/>
                <w:bCs/>
                <w:color w:val="000000"/>
              </w:rPr>
              <w:t>Deposits</w:t>
            </w:r>
          </w:p>
        </w:tc>
        <w:tc>
          <w:tcPr>
            <w:tcW w:w="532" w:type="dxa"/>
            <w:noWrap/>
            <w:hideMark/>
          </w:tcPr>
          <w:p w14:paraId="1B5720A2" w14:textId="77777777" w:rsidR="00D43AA5" w:rsidRDefault="00D43AA5" w:rsidP="004E28B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4A70E0BD" w14:textId="177C6C65" w:rsidR="00D43AA5" w:rsidRPr="004E28B1" w:rsidRDefault="00D43AA5" w:rsidP="004E28B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15</w:t>
            </w:r>
          </w:p>
        </w:tc>
        <w:tc>
          <w:tcPr>
            <w:tcW w:w="1270" w:type="dxa"/>
            <w:noWrap/>
            <w:hideMark/>
          </w:tcPr>
          <w:p w14:paraId="27C87DC1"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676A9A6F" w14:textId="20884B96"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0.64</w:t>
            </w:r>
          </w:p>
        </w:tc>
        <w:tc>
          <w:tcPr>
            <w:tcW w:w="1323" w:type="dxa"/>
            <w:noWrap/>
            <w:hideMark/>
          </w:tcPr>
          <w:p w14:paraId="2D49DB1A"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7FB3841D" w14:textId="518D1ACC"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0.92</w:t>
            </w:r>
          </w:p>
        </w:tc>
        <w:tc>
          <w:tcPr>
            <w:tcW w:w="951" w:type="dxa"/>
            <w:noWrap/>
            <w:hideMark/>
          </w:tcPr>
          <w:p w14:paraId="44D8C42D"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24E04D0A" w14:textId="0F3A2637"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0.82</w:t>
            </w:r>
          </w:p>
        </w:tc>
        <w:tc>
          <w:tcPr>
            <w:tcW w:w="1297" w:type="dxa"/>
            <w:noWrap/>
            <w:hideMark/>
          </w:tcPr>
          <w:p w14:paraId="2DFB4FDA"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4BF83FE4" w14:textId="4AEAD507"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0.08</w:t>
            </w:r>
          </w:p>
        </w:tc>
        <w:tc>
          <w:tcPr>
            <w:tcW w:w="1204" w:type="dxa"/>
            <w:noWrap/>
            <w:hideMark/>
          </w:tcPr>
          <w:p w14:paraId="41E522B6" w14:textId="77777777" w:rsidR="00D43AA5"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0DB7DDB5" w14:textId="2C93EC83" w:rsidR="00D43AA5" w:rsidRPr="004E28B1" w:rsidRDefault="00D43AA5" w:rsidP="00D43A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E28B1">
              <w:rPr>
                <w:rFonts w:ascii="Arial" w:hAnsi="Arial" w:cs="Arial"/>
                <w:color w:val="000000"/>
              </w:rPr>
              <w:t>0.007</w:t>
            </w:r>
          </w:p>
        </w:tc>
      </w:tr>
      <w:tr w:rsidR="00D43AA5" w:rsidRPr="004E28B1" w14:paraId="7AD922E5" w14:textId="77777777" w:rsidTr="008D0B71">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37" w:type="dxa"/>
            <w:vMerge/>
            <w:noWrap/>
            <w:hideMark/>
          </w:tcPr>
          <w:p w14:paraId="4642ADAD" w14:textId="1912DFD5" w:rsidR="00D43AA5" w:rsidRPr="004E28B1" w:rsidRDefault="00D43AA5" w:rsidP="004E28B1">
            <w:pPr>
              <w:rPr>
                <w:rFonts w:ascii="Arial" w:hAnsi="Arial" w:cs="Arial"/>
                <w:color w:val="000000"/>
              </w:rPr>
            </w:pPr>
          </w:p>
        </w:tc>
        <w:tc>
          <w:tcPr>
            <w:tcW w:w="1417" w:type="dxa"/>
            <w:noWrap/>
            <w:hideMark/>
          </w:tcPr>
          <w:p w14:paraId="070DAEFA" w14:textId="77777777" w:rsidR="00D43AA5" w:rsidRPr="004E28B1" w:rsidRDefault="00D43AA5" w:rsidP="004E28B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4E28B1">
              <w:rPr>
                <w:rFonts w:ascii="Arial" w:hAnsi="Arial" w:cs="Arial"/>
                <w:b/>
                <w:bCs/>
                <w:color w:val="000000"/>
              </w:rPr>
              <w:t>Valid N(listwise)</w:t>
            </w:r>
          </w:p>
        </w:tc>
        <w:tc>
          <w:tcPr>
            <w:tcW w:w="532" w:type="dxa"/>
            <w:noWrap/>
            <w:hideMark/>
          </w:tcPr>
          <w:p w14:paraId="1DC66489" w14:textId="77777777" w:rsidR="00D43AA5" w:rsidRDefault="00D43AA5" w:rsidP="004E28B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2FE5A3A" w14:textId="788B9454" w:rsidR="00D43AA5" w:rsidRPr="004E28B1" w:rsidRDefault="00D43AA5" w:rsidP="004E28B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15</w:t>
            </w:r>
          </w:p>
        </w:tc>
        <w:tc>
          <w:tcPr>
            <w:tcW w:w="1270" w:type="dxa"/>
            <w:noWrap/>
            <w:hideMark/>
          </w:tcPr>
          <w:p w14:paraId="62D83FC1" w14:textId="77777777" w:rsidR="00D43AA5" w:rsidRPr="004E28B1" w:rsidRDefault="00D43AA5" w:rsidP="004E28B1">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 </w:t>
            </w:r>
          </w:p>
        </w:tc>
        <w:tc>
          <w:tcPr>
            <w:tcW w:w="1323" w:type="dxa"/>
            <w:noWrap/>
            <w:hideMark/>
          </w:tcPr>
          <w:p w14:paraId="1D12C368" w14:textId="77777777" w:rsidR="00D43AA5" w:rsidRPr="004E28B1" w:rsidRDefault="00D43AA5" w:rsidP="004E28B1">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 </w:t>
            </w:r>
          </w:p>
        </w:tc>
        <w:tc>
          <w:tcPr>
            <w:tcW w:w="951" w:type="dxa"/>
            <w:noWrap/>
            <w:hideMark/>
          </w:tcPr>
          <w:p w14:paraId="73DF1CA8" w14:textId="77777777" w:rsidR="00D43AA5" w:rsidRPr="004E28B1" w:rsidRDefault="00D43AA5" w:rsidP="004E28B1">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 </w:t>
            </w:r>
          </w:p>
        </w:tc>
        <w:tc>
          <w:tcPr>
            <w:tcW w:w="1297" w:type="dxa"/>
            <w:noWrap/>
            <w:hideMark/>
          </w:tcPr>
          <w:p w14:paraId="515B5BDB" w14:textId="77777777" w:rsidR="00D43AA5" w:rsidRPr="004E28B1" w:rsidRDefault="00D43AA5" w:rsidP="004E28B1">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 </w:t>
            </w:r>
          </w:p>
        </w:tc>
        <w:tc>
          <w:tcPr>
            <w:tcW w:w="1204" w:type="dxa"/>
            <w:noWrap/>
            <w:hideMark/>
          </w:tcPr>
          <w:p w14:paraId="38DFC018" w14:textId="77777777" w:rsidR="00D43AA5" w:rsidRPr="004E28B1" w:rsidRDefault="00D43AA5" w:rsidP="004E28B1">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E28B1">
              <w:rPr>
                <w:rFonts w:ascii="Arial" w:hAnsi="Arial" w:cs="Arial"/>
                <w:color w:val="000000"/>
              </w:rPr>
              <w:t> </w:t>
            </w:r>
          </w:p>
        </w:tc>
      </w:tr>
    </w:tbl>
    <w:p w14:paraId="3B58ADF3" w14:textId="54162429" w:rsidR="00D973FE" w:rsidRDefault="00D973FE" w:rsidP="00335E20"/>
    <w:p w14:paraId="70760D69" w14:textId="7BED7126" w:rsidR="00D973FE" w:rsidRDefault="00D973FE" w:rsidP="00335E20"/>
    <w:p w14:paraId="5F1AB052" w14:textId="0959573D" w:rsidR="00D973FE" w:rsidRPr="00115918" w:rsidRDefault="00115918" w:rsidP="00024A0A">
      <w:pPr>
        <w:spacing w:line="360" w:lineRule="auto"/>
        <w:jc w:val="both"/>
        <w:rPr>
          <w:rFonts w:ascii="SimSun" w:eastAsia="SimSun" w:hAnsi="SimSun" w:cs="SimSun"/>
          <w:lang w:val="en-US"/>
        </w:rPr>
      </w:pPr>
      <w:r>
        <w:rPr>
          <w:rFonts w:ascii="Arial" w:hAnsi="Arial" w:cs="Arial"/>
        </w:rPr>
        <w:t xml:space="preserve">      </w:t>
      </w:r>
      <w:r w:rsidRPr="00024A0A">
        <w:rPr>
          <w:rFonts w:ascii="Arial" w:hAnsi="Arial" w:cs="Arial"/>
        </w:rPr>
        <w:t xml:space="preserve">Obviously, </w:t>
      </w:r>
      <w:r>
        <w:rPr>
          <w:rFonts w:ascii="Arial" w:hAnsi="Arial" w:cs="Arial"/>
        </w:rPr>
        <w:t xml:space="preserve">conventional banks had the better ROA ratio compare to </w:t>
      </w:r>
      <w:r w:rsidRPr="00024A0A">
        <w:rPr>
          <w:rFonts w:ascii="Arial" w:hAnsi="Arial" w:cs="Arial"/>
        </w:rPr>
        <w:t>Islamic bank</w:t>
      </w:r>
      <w:r>
        <w:rPr>
          <w:rFonts w:ascii="Arial" w:hAnsi="Arial" w:cs="Arial"/>
        </w:rPr>
        <w:t>s.</w:t>
      </w:r>
      <w:r>
        <w:rPr>
          <w:rFonts w:ascii="SimSun" w:eastAsia="SimSun" w:hAnsi="SimSun" w:cs="SimSun"/>
          <w:lang w:val="en-US"/>
        </w:rPr>
        <w:t xml:space="preserve"> </w:t>
      </w:r>
      <w:r w:rsidR="00803D7D">
        <w:rPr>
          <w:rFonts w:ascii="Arial" w:hAnsi="Arial" w:cs="Arial"/>
        </w:rPr>
        <w:t xml:space="preserve">Since the average ROA for conventional banks was 0.03 and for Islamic banks was 0.02. </w:t>
      </w:r>
      <w:r w:rsidR="00024A0A" w:rsidRPr="00024A0A">
        <w:rPr>
          <w:rFonts w:ascii="Arial" w:hAnsi="Arial" w:cs="Arial"/>
        </w:rPr>
        <w:t xml:space="preserve">It indicated mostly conventional banks has a better profitability compare to Islamic banks form 2014 to 2018. The highest ROA ratio was 0.04 in conventional banks and </w:t>
      </w:r>
      <w:r w:rsidR="00024A0A">
        <w:rPr>
          <w:rFonts w:ascii="Arial" w:hAnsi="Arial" w:cs="Arial"/>
        </w:rPr>
        <w:t xml:space="preserve">both types of banks had </w:t>
      </w:r>
      <w:r w:rsidR="00024A0A" w:rsidRPr="00024A0A">
        <w:rPr>
          <w:rFonts w:ascii="Arial" w:hAnsi="Arial" w:cs="Arial"/>
        </w:rPr>
        <w:t>the lowest ROA ratio</w:t>
      </w:r>
      <w:r w:rsidR="00024A0A">
        <w:rPr>
          <w:rFonts w:ascii="Arial" w:hAnsi="Arial" w:cs="Arial"/>
        </w:rPr>
        <w:t>s were 0.01.</w:t>
      </w:r>
      <w:r w:rsidR="00803D7D">
        <w:rPr>
          <w:rFonts w:ascii="Arial" w:hAnsi="Arial" w:cs="Arial"/>
        </w:rPr>
        <w:t xml:space="preserve"> </w:t>
      </w:r>
    </w:p>
    <w:p w14:paraId="1F93D6D6" w14:textId="05A58386" w:rsidR="002437E1" w:rsidRDefault="002437E1" w:rsidP="00024A0A">
      <w:pPr>
        <w:spacing w:line="360" w:lineRule="auto"/>
        <w:jc w:val="both"/>
        <w:rPr>
          <w:rFonts w:ascii="Arial" w:hAnsi="Arial" w:cs="Arial"/>
        </w:rPr>
      </w:pPr>
    </w:p>
    <w:p w14:paraId="5F70CCBE" w14:textId="75311F87" w:rsidR="00D973FE" w:rsidRDefault="002437E1" w:rsidP="002437E1">
      <w:pPr>
        <w:spacing w:line="360" w:lineRule="auto"/>
        <w:jc w:val="both"/>
        <w:rPr>
          <w:rFonts w:ascii="Arial" w:hAnsi="Arial" w:cs="Arial"/>
          <w:lang w:val="en-US"/>
        </w:rPr>
      </w:pPr>
      <w:r>
        <w:rPr>
          <w:rFonts w:ascii="Arial" w:hAnsi="Arial" w:cs="Arial"/>
          <w:lang w:val="en-US"/>
        </w:rPr>
        <w:t xml:space="preserve">      </w:t>
      </w:r>
      <w:r w:rsidRPr="002437E1">
        <w:rPr>
          <w:rFonts w:ascii="Arial" w:hAnsi="Arial" w:cs="Arial"/>
          <w:lang w:val="en-US"/>
        </w:rPr>
        <w:t>Although the average bank size for convention banks and Islamic banks were very similar from 2014 to 2018, the bank size between smaller size and larger size were 7.37 in conventional banking and 3.3 in Islamic banking. it indicated the bank size in conventional banks were unevenness among different banks.</w:t>
      </w:r>
    </w:p>
    <w:p w14:paraId="789374A7" w14:textId="4BEF1930" w:rsidR="002437E1" w:rsidRDefault="002437E1" w:rsidP="002437E1">
      <w:pPr>
        <w:spacing w:line="360" w:lineRule="auto"/>
        <w:jc w:val="both"/>
        <w:rPr>
          <w:rFonts w:ascii="Arial" w:hAnsi="Arial" w:cs="Arial"/>
          <w:lang w:val="en-US"/>
        </w:rPr>
      </w:pPr>
    </w:p>
    <w:p w14:paraId="1D09DE9B" w14:textId="16D128D1" w:rsidR="00115918" w:rsidRPr="00115918" w:rsidRDefault="002437E1" w:rsidP="002437E1">
      <w:pPr>
        <w:spacing w:line="360" w:lineRule="auto"/>
        <w:jc w:val="both"/>
        <w:rPr>
          <w:rFonts w:ascii="Arial" w:hAnsi="Arial" w:cs="Arial"/>
          <w:lang w:val="en-US"/>
        </w:rPr>
      </w:pPr>
      <w:r>
        <w:rPr>
          <w:rFonts w:ascii="Arial" w:hAnsi="Arial" w:cs="Arial"/>
          <w:lang w:val="en-US"/>
        </w:rPr>
        <w:t xml:space="preserve">      </w:t>
      </w:r>
      <w:r w:rsidR="00115918" w:rsidRPr="00115918">
        <w:rPr>
          <w:rFonts w:ascii="Arial" w:hAnsi="Arial" w:cs="Arial"/>
          <w:lang w:val="en-US"/>
        </w:rPr>
        <w:t>Deposits in Islamic banks obvious higher compare to conventional banks. And the lowest deposits in conventional banks only 0.03. This due to only small deposits from customers’ deposits in India International Bank (Malaysia) Berhad which was the reason lower the average of conventional banks’ bank size. Compare to the other three ratios that the deposits were quite different. However, Islamic banks had higher deposits compare to conventional banks sense its mean was 0.92 which was higher than conventional banks</w:t>
      </w:r>
      <w:r w:rsidR="00115918">
        <w:rPr>
          <w:rFonts w:ascii="Arial" w:hAnsi="Arial" w:cs="Arial"/>
          <w:lang w:val="en-US"/>
        </w:rPr>
        <w:t>’</w:t>
      </w:r>
      <w:r w:rsidR="00115918" w:rsidRPr="00115918">
        <w:rPr>
          <w:rFonts w:ascii="Arial" w:hAnsi="Arial" w:cs="Arial"/>
          <w:lang w:val="en-US"/>
        </w:rPr>
        <w:t xml:space="preserve"> mean</w:t>
      </w:r>
      <w:r w:rsidR="00115918">
        <w:rPr>
          <w:rFonts w:ascii="Arial" w:hAnsi="Arial" w:cs="Arial"/>
          <w:lang w:val="en-US"/>
        </w:rPr>
        <w:t xml:space="preserve"> 0.85.</w:t>
      </w:r>
    </w:p>
    <w:p w14:paraId="64EBDC4D" w14:textId="616583A9" w:rsidR="002D5816" w:rsidRDefault="002D5816" w:rsidP="00335E20"/>
    <w:p w14:paraId="4EA0DDF9" w14:textId="5AAC9E36" w:rsidR="00D43AA5" w:rsidRDefault="00D43AA5" w:rsidP="00D43AA5">
      <w:pPr>
        <w:pStyle w:val="Heading3"/>
        <w:spacing w:after="480" w:line="259" w:lineRule="auto"/>
        <w:ind w:left="720"/>
        <w:rPr>
          <w:rFonts w:ascii="Arial" w:hAnsi="Arial" w:cs="Arial"/>
          <w:b/>
          <w:bCs/>
          <w:iCs/>
        </w:rPr>
      </w:pPr>
      <w:bookmarkStart w:id="79" w:name="_Toc27578613"/>
      <w:r w:rsidRPr="00D85FA6">
        <w:rPr>
          <w:rFonts w:ascii="Arial" w:hAnsi="Arial" w:cs="Arial"/>
          <w:b/>
        </w:rPr>
        <w:t xml:space="preserve">4.2.2 </w:t>
      </w:r>
      <w:r w:rsidRPr="00BB0D48">
        <w:rPr>
          <w:rFonts w:ascii="Arial" w:hAnsi="Arial" w:cs="Arial"/>
          <w:b/>
          <w:bCs/>
          <w:iCs/>
        </w:rPr>
        <w:t>Correlation Analysis</w:t>
      </w:r>
      <w:bookmarkEnd w:id="79"/>
    </w:p>
    <w:p w14:paraId="677F361C" w14:textId="0A9E6DA6" w:rsidR="00534C7E" w:rsidRDefault="00534C7E" w:rsidP="00534C7E">
      <w:pPr>
        <w:spacing w:line="360" w:lineRule="auto"/>
        <w:jc w:val="both"/>
        <w:rPr>
          <w:rFonts w:ascii="Arial" w:hAnsi="Arial" w:cs="Arial"/>
          <w:lang w:val="en-US"/>
        </w:rPr>
      </w:pPr>
      <w:r>
        <w:rPr>
          <w:rFonts w:ascii="Arial" w:hAnsi="Arial" w:cs="Arial"/>
          <w:lang w:val="en-US"/>
        </w:rPr>
        <w:t xml:space="preserve">      </w:t>
      </w:r>
      <w:r w:rsidRPr="00534C7E">
        <w:rPr>
          <w:rFonts w:ascii="Arial" w:hAnsi="Arial" w:cs="Arial"/>
          <w:lang w:val="en-US"/>
        </w:rPr>
        <w:t>Correlation analysis is a statistical analysis method to study the correlation between two or more random variables in the same position (Gogtay, 2017). For example, the correlation between height and weight, relative humidity in the air and rainfall are the problems of correlation analysis.</w:t>
      </w:r>
    </w:p>
    <w:p w14:paraId="7AE137B7" w14:textId="2D237373" w:rsidR="007461FD" w:rsidRDefault="007461FD" w:rsidP="00534C7E">
      <w:pPr>
        <w:spacing w:line="360" w:lineRule="auto"/>
        <w:jc w:val="both"/>
        <w:rPr>
          <w:rFonts w:ascii="Arial" w:hAnsi="Arial" w:cs="Arial"/>
          <w:lang w:val="en-US"/>
        </w:rPr>
      </w:pPr>
    </w:p>
    <w:p w14:paraId="4410C1F1" w14:textId="77777777" w:rsidR="007461FD" w:rsidRDefault="007461FD" w:rsidP="00534C7E">
      <w:pPr>
        <w:spacing w:line="360" w:lineRule="auto"/>
        <w:jc w:val="both"/>
        <w:rPr>
          <w:rFonts w:ascii="Arial" w:hAnsi="Arial" w:cs="Arial"/>
          <w:lang w:val="en-US"/>
        </w:rPr>
      </w:pPr>
    </w:p>
    <w:p w14:paraId="714AF087" w14:textId="4DF1B074" w:rsidR="00534C7E" w:rsidRPr="00534C7E" w:rsidRDefault="00534C7E" w:rsidP="00534C7E">
      <w:pPr>
        <w:spacing w:after="480" w:line="360" w:lineRule="auto"/>
        <w:jc w:val="center"/>
        <w:rPr>
          <w:rFonts w:ascii="Arial" w:hAnsi="Arial" w:cs="Arial"/>
          <w:b/>
          <w:bCs/>
          <w:lang w:val="en-US"/>
        </w:rPr>
      </w:pPr>
      <w:r w:rsidRPr="00F25D65">
        <w:rPr>
          <w:rFonts w:ascii="Arial" w:hAnsi="Arial" w:cs="Arial"/>
          <w:b/>
          <w:bCs/>
        </w:rPr>
        <w:lastRenderedPageBreak/>
        <w:t>Table 4.</w:t>
      </w:r>
      <w:r w:rsidR="003E5C0F">
        <w:rPr>
          <w:rFonts w:ascii="Arial" w:hAnsi="Arial" w:cs="Arial"/>
          <w:b/>
          <w:bCs/>
        </w:rPr>
        <w:t>4</w:t>
      </w:r>
      <w:r w:rsidRPr="00F25D65">
        <w:rPr>
          <w:rFonts w:ascii="Arial" w:hAnsi="Arial" w:cs="Arial"/>
          <w:b/>
          <w:bCs/>
        </w:rPr>
        <w:t xml:space="preserve">: </w:t>
      </w:r>
      <w:r w:rsidRPr="00534C7E">
        <w:rPr>
          <w:rFonts w:ascii="Arial" w:hAnsi="Arial" w:cs="Arial"/>
          <w:b/>
          <w:bCs/>
          <w:color w:val="000000"/>
        </w:rPr>
        <w:t xml:space="preserve">Correlation matrix of the </w:t>
      </w:r>
      <w:r w:rsidRPr="0038241E">
        <w:rPr>
          <w:rFonts w:ascii="Arial" w:hAnsi="Arial" w:cs="Arial"/>
          <w:b/>
          <w:bCs/>
          <w:color w:val="000000"/>
        </w:rPr>
        <w:t>V</w:t>
      </w:r>
      <w:r w:rsidRPr="00534C7E">
        <w:rPr>
          <w:rFonts w:ascii="Arial" w:hAnsi="Arial" w:cs="Arial"/>
          <w:b/>
          <w:bCs/>
          <w:color w:val="000000"/>
        </w:rPr>
        <w:t>ariables</w:t>
      </w:r>
      <w:r w:rsidRPr="0038241E">
        <w:rPr>
          <w:rFonts w:ascii="Arial" w:hAnsi="Arial" w:cs="Arial"/>
          <w:b/>
          <w:bCs/>
          <w:color w:val="000000"/>
        </w:rPr>
        <w:t xml:space="preserve"> Between </w:t>
      </w:r>
      <w:r w:rsidRPr="00534C7E">
        <w:rPr>
          <w:rFonts w:ascii="Arial" w:hAnsi="Arial" w:cs="Arial"/>
          <w:b/>
          <w:bCs/>
          <w:color w:val="000000"/>
        </w:rPr>
        <w:t xml:space="preserve">Conventional </w:t>
      </w:r>
      <w:r w:rsidRPr="0038241E">
        <w:rPr>
          <w:rFonts w:ascii="Arial" w:hAnsi="Arial" w:cs="Arial"/>
          <w:b/>
          <w:bCs/>
          <w:color w:val="000000"/>
        </w:rPr>
        <w:t xml:space="preserve">and </w:t>
      </w:r>
      <w:r w:rsidRPr="00534C7E">
        <w:rPr>
          <w:rFonts w:ascii="Arial" w:hAnsi="Arial" w:cs="Arial"/>
          <w:b/>
          <w:bCs/>
          <w:color w:val="000000"/>
        </w:rPr>
        <w:t>Islamic</w:t>
      </w:r>
      <w:r w:rsidRPr="0038241E">
        <w:rPr>
          <w:rFonts w:ascii="Arial" w:hAnsi="Arial" w:cs="Arial"/>
          <w:b/>
          <w:bCs/>
          <w:color w:val="000000"/>
        </w:rPr>
        <w:t xml:space="preserve"> </w:t>
      </w:r>
      <w:r w:rsidRPr="00534C7E">
        <w:rPr>
          <w:rFonts w:ascii="Arial" w:hAnsi="Arial" w:cs="Arial"/>
          <w:b/>
          <w:bCs/>
          <w:color w:val="000000"/>
        </w:rPr>
        <w:t>Banks</w:t>
      </w:r>
    </w:p>
    <w:tbl>
      <w:tblPr>
        <w:tblW w:w="9498" w:type="dxa"/>
        <w:tblInd w:w="-284" w:type="dxa"/>
        <w:tblLayout w:type="fixed"/>
        <w:tblLook w:val="04A0" w:firstRow="1" w:lastRow="0" w:firstColumn="1" w:lastColumn="0" w:noHBand="0" w:noVBand="1"/>
      </w:tblPr>
      <w:tblGrid>
        <w:gridCol w:w="1277"/>
        <w:gridCol w:w="1241"/>
        <w:gridCol w:w="1236"/>
        <w:gridCol w:w="1066"/>
        <w:gridCol w:w="993"/>
        <w:gridCol w:w="850"/>
        <w:gridCol w:w="922"/>
        <w:gridCol w:w="921"/>
        <w:gridCol w:w="992"/>
      </w:tblGrid>
      <w:tr w:rsidR="00534C7E" w:rsidRPr="00534C7E" w14:paraId="19553FEA" w14:textId="77777777" w:rsidTr="00CE7AAA">
        <w:trPr>
          <w:trHeight w:val="43"/>
        </w:trPr>
        <w:tc>
          <w:tcPr>
            <w:tcW w:w="1277" w:type="dxa"/>
            <w:tcBorders>
              <w:top w:val="nil"/>
              <w:left w:val="nil"/>
              <w:bottom w:val="nil"/>
              <w:right w:val="nil"/>
            </w:tcBorders>
            <w:shd w:val="clear" w:color="000000" w:fill="FFFFFF"/>
            <w:noWrap/>
            <w:vAlign w:val="bottom"/>
            <w:hideMark/>
          </w:tcPr>
          <w:p w14:paraId="391064BD"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8221" w:type="dxa"/>
            <w:gridSpan w:val="8"/>
            <w:tcBorders>
              <w:top w:val="nil"/>
              <w:left w:val="nil"/>
              <w:bottom w:val="nil"/>
              <w:right w:val="nil"/>
            </w:tcBorders>
            <w:shd w:val="clear" w:color="000000" w:fill="FFFFFF"/>
            <w:noWrap/>
            <w:vAlign w:val="center"/>
            <w:hideMark/>
          </w:tcPr>
          <w:p w14:paraId="44F580A6" w14:textId="77777777" w:rsidR="00534C7E" w:rsidRPr="00534C7E" w:rsidRDefault="00534C7E" w:rsidP="0038241E">
            <w:pPr>
              <w:spacing w:line="360" w:lineRule="auto"/>
              <w:jc w:val="center"/>
              <w:rPr>
                <w:rFonts w:ascii="Arial" w:hAnsi="Arial" w:cs="Arial"/>
                <w:b/>
                <w:bCs/>
                <w:color w:val="000000"/>
              </w:rPr>
            </w:pPr>
            <w:r w:rsidRPr="00534C7E">
              <w:rPr>
                <w:rFonts w:ascii="Arial" w:hAnsi="Arial" w:cs="Arial"/>
                <w:b/>
                <w:bCs/>
                <w:color w:val="000000"/>
              </w:rPr>
              <w:t>Correlation matrix of the variables</w:t>
            </w:r>
          </w:p>
        </w:tc>
      </w:tr>
      <w:tr w:rsidR="00534C7E" w:rsidRPr="00534C7E" w14:paraId="66D43122" w14:textId="77777777" w:rsidTr="00CE7AAA">
        <w:trPr>
          <w:trHeight w:val="45"/>
        </w:trPr>
        <w:tc>
          <w:tcPr>
            <w:tcW w:w="1277" w:type="dxa"/>
            <w:tcBorders>
              <w:top w:val="nil"/>
              <w:left w:val="nil"/>
              <w:bottom w:val="single" w:sz="8" w:space="0" w:color="auto"/>
              <w:right w:val="nil"/>
            </w:tcBorders>
            <w:shd w:val="clear" w:color="000000" w:fill="FFFFFF"/>
            <w:noWrap/>
            <w:vAlign w:val="bottom"/>
            <w:hideMark/>
          </w:tcPr>
          <w:p w14:paraId="7681C527"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4536" w:type="dxa"/>
            <w:gridSpan w:val="4"/>
            <w:tcBorders>
              <w:top w:val="nil"/>
              <w:left w:val="nil"/>
              <w:bottom w:val="single" w:sz="8" w:space="0" w:color="auto"/>
              <w:right w:val="nil"/>
            </w:tcBorders>
            <w:shd w:val="clear" w:color="000000" w:fill="FFFFFF"/>
            <w:noWrap/>
            <w:vAlign w:val="center"/>
            <w:hideMark/>
          </w:tcPr>
          <w:p w14:paraId="6B755E81" w14:textId="77777777" w:rsidR="00534C7E" w:rsidRPr="00534C7E" w:rsidRDefault="00534C7E" w:rsidP="0038241E">
            <w:pPr>
              <w:spacing w:line="360" w:lineRule="auto"/>
              <w:jc w:val="center"/>
              <w:rPr>
                <w:rFonts w:ascii="Arial" w:hAnsi="Arial" w:cs="Arial"/>
                <w:b/>
                <w:bCs/>
                <w:color w:val="000000"/>
              </w:rPr>
            </w:pPr>
            <w:r w:rsidRPr="00534C7E">
              <w:rPr>
                <w:rFonts w:ascii="Arial" w:hAnsi="Arial" w:cs="Arial"/>
                <w:b/>
                <w:bCs/>
                <w:color w:val="000000"/>
              </w:rPr>
              <w:t>Conventional Banks</w:t>
            </w:r>
          </w:p>
        </w:tc>
        <w:tc>
          <w:tcPr>
            <w:tcW w:w="3685" w:type="dxa"/>
            <w:gridSpan w:val="4"/>
            <w:tcBorders>
              <w:top w:val="nil"/>
              <w:left w:val="nil"/>
              <w:bottom w:val="single" w:sz="8" w:space="0" w:color="auto"/>
              <w:right w:val="nil"/>
            </w:tcBorders>
            <w:shd w:val="clear" w:color="000000" w:fill="FFFFFF"/>
            <w:noWrap/>
            <w:vAlign w:val="center"/>
            <w:hideMark/>
          </w:tcPr>
          <w:p w14:paraId="10B76617" w14:textId="77777777" w:rsidR="00534C7E" w:rsidRPr="00534C7E" w:rsidRDefault="00534C7E" w:rsidP="0038241E">
            <w:pPr>
              <w:spacing w:line="360" w:lineRule="auto"/>
              <w:jc w:val="center"/>
              <w:rPr>
                <w:rFonts w:ascii="Arial" w:hAnsi="Arial" w:cs="Arial"/>
                <w:b/>
                <w:bCs/>
                <w:color w:val="000000"/>
              </w:rPr>
            </w:pPr>
            <w:r w:rsidRPr="00534C7E">
              <w:rPr>
                <w:rFonts w:ascii="Arial" w:hAnsi="Arial" w:cs="Arial"/>
                <w:b/>
                <w:bCs/>
                <w:color w:val="000000"/>
              </w:rPr>
              <w:t>Islamic Bank</w:t>
            </w:r>
          </w:p>
        </w:tc>
      </w:tr>
      <w:tr w:rsidR="00534C7E" w:rsidRPr="00534C7E" w14:paraId="3D0DEF33" w14:textId="77777777" w:rsidTr="00CE7AAA">
        <w:trPr>
          <w:trHeight w:val="94"/>
        </w:trPr>
        <w:tc>
          <w:tcPr>
            <w:tcW w:w="1277" w:type="dxa"/>
            <w:tcBorders>
              <w:top w:val="nil"/>
              <w:left w:val="nil"/>
              <w:bottom w:val="single" w:sz="8" w:space="0" w:color="auto"/>
              <w:right w:val="nil"/>
            </w:tcBorders>
            <w:shd w:val="clear" w:color="000000" w:fill="FFFFFF"/>
            <w:noWrap/>
            <w:vAlign w:val="center"/>
            <w:hideMark/>
          </w:tcPr>
          <w:p w14:paraId="756DC8B4" w14:textId="77777777" w:rsidR="00534C7E" w:rsidRPr="00534C7E" w:rsidRDefault="00534C7E" w:rsidP="00534C7E">
            <w:pPr>
              <w:jc w:val="center"/>
              <w:rPr>
                <w:rFonts w:ascii="Arial" w:hAnsi="Arial" w:cs="Arial"/>
                <w:b/>
                <w:bCs/>
                <w:color w:val="000000"/>
              </w:rPr>
            </w:pPr>
            <w:r w:rsidRPr="00534C7E">
              <w:rPr>
                <w:rFonts w:ascii="Arial" w:hAnsi="Arial" w:cs="Arial"/>
                <w:b/>
                <w:bCs/>
                <w:color w:val="000000"/>
              </w:rPr>
              <w:t>variable</w:t>
            </w:r>
          </w:p>
        </w:tc>
        <w:tc>
          <w:tcPr>
            <w:tcW w:w="1241" w:type="dxa"/>
            <w:tcBorders>
              <w:top w:val="nil"/>
              <w:left w:val="nil"/>
              <w:bottom w:val="single" w:sz="8" w:space="0" w:color="auto"/>
              <w:right w:val="nil"/>
            </w:tcBorders>
            <w:shd w:val="clear" w:color="000000" w:fill="FFFFFF"/>
            <w:vAlign w:val="center"/>
            <w:hideMark/>
          </w:tcPr>
          <w:p w14:paraId="0FB99C0D" w14:textId="77777777" w:rsidR="00534C7E" w:rsidRPr="00534C7E" w:rsidRDefault="00534C7E" w:rsidP="00534C7E">
            <w:pPr>
              <w:jc w:val="center"/>
              <w:rPr>
                <w:rFonts w:ascii="Arial" w:hAnsi="Arial" w:cs="Arial"/>
                <w:b/>
                <w:bCs/>
                <w:color w:val="000000"/>
              </w:rPr>
            </w:pPr>
            <w:r w:rsidRPr="00534C7E">
              <w:rPr>
                <w:rFonts w:ascii="Arial" w:hAnsi="Arial" w:cs="Arial"/>
                <w:b/>
                <w:bCs/>
                <w:color w:val="000000"/>
              </w:rPr>
              <w:t>Liquidity</w:t>
            </w:r>
          </w:p>
        </w:tc>
        <w:tc>
          <w:tcPr>
            <w:tcW w:w="1236" w:type="dxa"/>
            <w:tcBorders>
              <w:top w:val="nil"/>
              <w:left w:val="nil"/>
              <w:bottom w:val="single" w:sz="8" w:space="0" w:color="auto"/>
              <w:right w:val="nil"/>
            </w:tcBorders>
            <w:shd w:val="clear" w:color="000000" w:fill="FFFFFF"/>
            <w:vAlign w:val="center"/>
            <w:hideMark/>
          </w:tcPr>
          <w:p w14:paraId="5EA45F89" w14:textId="6BFC5BA0" w:rsidR="00534C7E" w:rsidRPr="00534C7E" w:rsidRDefault="00534C7E" w:rsidP="00534C7E">
            <w:pPr>
              <w:jc w:val="center"/>
              <w:rPr>
                <w:rFonts w:ascii="Arial" w:hAnsi="Arial" w:cs="Arial"/>
                <w:b/>
                <w:bCs/>
                <w:color w:val="000000"/>
              </w:rPr>
            </w:pPr>
            <w:r w:rsidRPr="00534C7E">
              <w:rPr>
                <w:rFonts w:ascii="Arial" w:hAnsi="Arial" w:cs="Arial"/>
                <w:b/>
                <w:bCs/>
                <w:color w:val="000000"/>
              </w:rPr>
              <w:t>Profitability</w:t>
            </w:r>
          </w:p>
        </w:tc>
        <w:tc>
          <w:tcPr>
            <w:tcW w:w="1066" w:type="dxa"/>
            <w:tcBorders>
              <w:top w:val="nil"/>
              <w:left w:val="nil"/>
              <w:bottom w:val="single" w:sz="8" w:space="0" w:color="auto"/>
              <w:right w:val="nil"/>
            </w:tcBorders>
            <w:shd w:val="clear" w:color="000000" w:fill="FFFFFF"/>
            <w:vAlign w:val="center"/>
            <w:hideMark/>
          </w:tcPr>
          <w:p w14:paraId="62F1E92D" w14:textId="77777777" w:rsidR="00534C7E" w:rsidRPr="00534C7E" w:rsidRDefault="00534C7E" w:rsidP="00534C7E">
            <w:pPr>
              <w:jc w:val="center"/>
              <w:rPr>
                <w:rFonts w:ascii="Arial" w:hAnsi="Arial" w:cs="Arial"/>
                <w:b/>
                <w:bCs/>
                <w:color w:val="000000"/>
              </w:rPr>
            </w:pPr>
            <w:r w:rsidRPr="00534C7E">
              <w:rPr>
                <w:rFonts w:ascii="Arial" w:hAnsi="Arial" w:cs="Arial"/>
                <w:b/>
                <w:bCs/>
                <w:color w:val="000000"/>
              </w:rPr>
              <w:t>Bank size</w:t>
            </w:r>
          </w:p>
        </w:tc>
        <w:tc>
          <w:tcPr>
            <w:tcW w:w="993" w:type="dxa"/>
            <w:tcBorders>
              <w:top w:val="nil"/>
              <w:left w:val="nil"/>
              <w:bottom w:val="single" w:sz="8" w:space="0" w:color="auto"/>
              <w:right w:val="nil"/>
            </w:tcBorders>
            <w:shd w:val="clear" w:color="000000" w:fill="FFFFFF"/>
            <w:vAlign w:val="center"/>
            <w:hideMark/>
          </w:tcPr>
          <w:p w14:paraId="758B5E74" w14:textId="77777777" w:rsidR="00534C7E" w:rsidRPr="00534C7E" w:rsidRDefault="00534C7E" w:rsidP="00534C7E">
            <w:pPr>
              <w:jc w:val="center"/>
              <w:rPr>
                <w:rFonts w:ascii="Arial" w:hAnsi="Arial" w:cs="Arial"/>
                <w:b/>
                <w:bCs/>
                <w:color w:val="000000"/>
              </w:rPr>
            </w:pPr>
            <w:r w:rsidRPr="00534C7E">
              <w:rPr>
                <w:rFonts w:ascii="Arial" w:hAnsi="Arial" w:cs="Arial"/>
                <w:b/>
                <w:bCs/>
                <w:color w:val="000000"/>
              </w:rPr>
              <w:t>Deposits</w:t>
            </w:r>
          </w:p>
        </w:tc>
        <w:tc>
          <w:tcPr>
            <w:tcW w:w="850" w:type="dxa"/>
            <w:tcBorders>
              <w:top w:val="nil"/>
              <w:left w:val="nil"/>
              <w:bottom w:val="single" w:sz="8" w:space="0" w:color="auto"/>
              <w:right w:val="nil"/>
            </w:tcBorders>
            <w:shd w:val="clear" w:color="000000" w:fill="FFFFFF"/>
            <w:vAlign w:val="center"/>
            <w:hideMark/>
          </w:tcPr>
          <w:p w14:paraId="7EB372AF" w14:textId="77777777" w:rsidR="00534C7E" w:rsidRPr="00534C7E" w:rsidRDefault="00534C7E" w:rsidP="00534C7E">
            <w:pPr>
              <w:jc w:val="center"/>
              <w:rPr>
                <w:rFonts w:ascii="Arial" w:hAnsi="Arial" w:cs="Arial"/>
                <w:b/>
                <w:bCs/>
                <w:color w:val="000000"/>
              </w:rPr>
            </w:pPr>
            <w:r w:rsidRPr="00534C7E">
              <w:rPr>
                <w:rFonts w:ascii="Arial" w:hAnsi="Arial" w:cs="Arial"/>
                <w:b/>
                <w:bCs/>
                <w:color w:val="000000"/>
              </w:rPr>
              <w:t>Liquidity</w:t>
            </w:r>
          </w:p>
        </w:tc>
        <w:tc>
          <w:tcPr>
            <w:tcW w:w="922" w:type="dxa"/>
            <w:tcBorders>
              <w:top w:val="nil"/>
              <w:left w:val="nil"/>
              <w:bottom w:val="single" w:sz="8" w:space="0" w:color="auto"/>
              <w:right w:val="nil"/>
            </w:tcBorders>
            <w:shd w:val="clear" w:color="000000" w:fill="FFFFFF"/>
            <w:vAlign w:val="center"/>
            <w:hideMark/>
          </w:tcPr>
          <w:p w14:paraId="4543AF2A" w14:textId="70A37C85" w:rsidR="00534C7E" w:rsidRPr="00534C7E" w:rsidRDefault="00534C7E" w:rsidP="00534C7E">
            <w:pPr>
              <w:jc w:val="center"/>
              <w:rPr>
                <w:rFonts w:ascii="Arial" w:hAnsi="Arial" w:cs="Arial"/>
                <w:b/>
                <w:bCs/>
                <w:color w:val="000000"/>
              </w:rPr>
            </w:pPr>
            <w:r w:rsidRPr="00534C7E">
              <w:rPr>
                <w:rFonts w:ascii="Arial" w:hAnsi="Arial" w:cs="Arial"/>
                <w:b/>
                <w:bCs/>
                <w:color w:val="000000"/>
              </w:rPr>
              <w:t>Profitability</w:t>
            </w:r>
          </w:p>
        </w:tc>
        <w:tc>
          <w:tcPr>
            <w:tcW w:w="921" w:type="dxa"/>
            <w:tcBorders>
              <w:top w:val="nil"/>
              <w:left w:val="nil"/>
              <w:bottom w:val="single" w:sz="8" w:space="0" w:color="auto"/>
              <w:right w:val="nil"/>
            </w:tcBorders>
            <w:shd w:val="clear" w:color="000000" w:fill="FFFFFF"/>
            <w:vAlign w:val="center"/>
            <w:hideMark/>
          </w:tcPr>
          <w:p w14:paraId="50A3C762" w14:textId="77777777" w:rsidR="00534C7E" w:rsidRPr="00534C7E" w:rsidRDefault="00534C7E" w:rsidP="00534C7E">
            <w:pPr>
              <w:jc w:val="center"/>
              <w:rPr>
                <w:rFonts w:ascii="Arial" w:hAnsi="Arial" w:cs="Arial"/>
                <w:b/>
                <w:bCs/>
                <w:color w:val="000000"/>
              </w:rPr>
            </w:pPr>
            <w:r w:rsidRPr="00534C7E">
              <w:rPr>
                <w:rFonts w:ascii="Arial" w:hAnsi="Arial" w:cs="Arial"/>
                <w:b/>
                <w:bCs/>
                <w:color w:val="000000"/>
              </w:rPr>
              <w:t>Bank size</w:t>
            </w:r>
          </w:p>
        </w:tc>
        <w:tc>
          <w:tcPr>
            <w:tcW w:w="992" w:type="dxa"/>
            <w:tcBorders>
              <w:top w:val="nil"/>
              <w:left w:val="nil"/>
              <w:bottom w:val="single" w:sz="8" w:space="0" w:color="auto"/>
              <w:right w:val="nil"/>
            </w:tcBorders>
            <w:shd w:val="clear" w:color="000000" w:fill="FFFFFF"/>
            <w:vAlign w:val="center"/>
            <w:hideMark/>
          </w:tcPr>
          <w:p w14:paraId="3624CE5F" w14:textId="77777777" w:rsidR="00534C7E" w:rsidRPr="00534C7E" w:rsidRDefault="00534C7E" w:rsidP="00534C7E">
            <w:pPr>
              <w:jc w:val="center"/>
              <w:rPr>
                <w:rFonts w:ascii="Arial" w:hAnsi="Arial" w:cs="Arial"/>
                <w:b/>
                <w:bCs/>
                <w:color w:val="000000"/>
              </w:rPr>
            </w:pPr>
            <w:r w:rsidRPr="00534C7E">
              <w:rPr>
                <w:rFonts w:ascii="Arial" w:hAnsi="Arial" w:cs="Arial"/>
                <w:b/>
                <w:bCs/>
                <w:color w:val="000000"/>
              </w:rPr>
              <w:t>Deposits</w:t>
            </w:r>
          </w:p>
        </w:tc>
      </w:tr>
      <w:tr w:rsidR="00534C7E" w:rsidRPr="00534C7E" w14:paraId="642822E3" w14:textId="77777777" w:rsidTr="00CE7AAA">
        <w:trPr>
          <w:trHeight w:val="43"/>
        </w:trPr>
        <w:tc>
          <w:tcPr>
            <w:tcW w:w="1277" w:type="dxa"/>
            <w:tcBorders>
              <w:top w:val="nil"/>
              <w:left w:val="nil"/>
              <w:bottom w:val="nil"/>
              <w:right w:val="nil"/>
            </w:tcBorders>
            <w:shd w:val="clear" w:color="000000" w:fill="FFFFFF"/>
            <w:noWrap/>
            <w:vAlign w:val="center"/>
            <w:hideMark/>
          </w:tcPr>
          <w:p w14:paraId="5A9E4574" w14:textId="77777777" w:rsidR="00534C7E" w:rsidRPr="00534C7E" w:rsidRDefault="00534C7E" w:rsidP="00534C7E">
            <w:pPr>
              <w:rPr>
                <w:rFonts w:ascii="Arial" w:hAnsi="Arial" w:cs="Arial"/>
                <w:b/>
                <w:bCs/>
                <w:color w:val="000000"/>
              </w:rPr>
            </w:pPr>
            <w:r w:rsidRPr="00534C7E">
              <w:rPr>
                <w:rFonts w:ascii="Arial" w:hAnsi="Arial" w:cs="Arial"/>
                <w:b/>
                <w:bCs/>
                <w:color w:val="000000"/>
              </w:rPr>
              <w:t>Liquidity</w:t>
            </w:r>
          </w:p>
        </w:tc>
        <w:tc>
          <w:tcPr>
            <w:tcW w:w="1241" w:type="dxa"/>
            <w:tcBorders>
              <w:top w:val="nil"/>
              <w:left w:val="nil"/>
              <w:bottom w:val="nil"/>
              <w:right w:val="nil"/>
            </w:tcBorders>
            <w:shd w:val="clear" w:color="000000" w:fill="FFFFFF"/>
            <w:noWrap/>
            <w:vAlign w:val="bottom"/>
            <w:hideMark/>
          </w:tcPr>
          <w:p w14:paraId="04DB4963" w14:textId="77777777" w:rsidR="00534C7E" w:rsidRPr="00534C7E" w:rsidRDefault="00534C7E" w:rsidP="00534C7E">
            <w:pPr>
              <w:jc w:val="right"/>
              <w:rPr>
                <w:rFonts w:ascii="Arial" w:hAnsi="Arial" w:cs="Arial"/>
                <w:color w:val="000000"/>
              </w:rPr>
            </w:pPr>
            <w:r w:rsidRPr="00534C7E">
              <w:rPr>
                <w:rFonts w:ascii="Arial" w:hAnsi="Arial" w:cs="Arial"/>
                <w:color w:val="000000"/>
              </w:rPr>
              <w:t>1.000</w:t>
            </w:r>
          </w:p>
        </w:tc>
        <w:tc>
          <w:tcPr>
            <w:tcW w:w="1236" w:type="dxa"/>
            <w:tcBorders>
              <w:top w:val="nil"/>
              <w:left w:val="nil"/>
              <w:bottom w:val="nil"/>
              <w:right w:val="nil"/>
            </w:tcBorders>
            <w:shd w:val="clear" w:color="000000" w:fill="FFFFFF"/>
            <w:noWrap/>
            <w:vAlign w:val="bottom"/>
            <w:hideMark/>
          </w:tcPr>
          <w:p w14:paraId="6B9B1110" w14:textId="77777777" w:rsidR="00534C7E" w:rsidRPr="00534C7E" w:rsidRDefault="00534C7E" w:rsidP="00534C7E">
            <w:pPr>
              <w:jc w:val="right"/>
              <w:rPr>
                <w:rFonts w:ascii="Arial" w:hAnsi="Arial" w:cs="Arial"/>
                <w:color w:val="000000"/>
              </w:rPr>
            </w:pPr>
            <w:r w:rsidRPr="00534C7E">
              <w:rPr>
                <w:rFonts w:ascii="Arial" w:hAnsi="Arial" w:cs="Arial"/>
                <w:color w:val="000000"/>
              </w:rPr>
              <w:t>-0.113</w:t>
            </w:r>
          </w:p>
        </w:tc>
        <w:tc>
          <w:tcPr>
            <w:tcW w:w="1066" w:type="dxa"/>
            <w:tcBorders>
              <w:top w:val="nil"/>
              <w:left w:val="nil"/>
              <w:bottom w:val="nil"/>
              <w:right w:val="nil"/>
            </w:tcBorders>
            <w:shd w:val="clear" w:color="000000" w:fill="FFFFFF"/>
            <w:noWrap/>
            <w:vAlign w:val="bottom"/>
            <w:hideMark/>
          </w:tcPr>
          <w:p w14:paraId="36EA7232" w14:textId="77777777" w:rsidR="00534C7E" w:rsidRPr="00534C7E" w:rsidRDefault="00534C7E" w:rsidP="00534C7E">
            <w:pPr>
              <w:jc w:val="right"/>
              <w:rPr>
                <w:rFonts w:ascii="Arial" w:hAnsi="Arial" w:cs="Arial"/>
                <w:color w:val="000000"/>
              </w:rPr>
            </w:pPr>
            <w:r w:rsidRPr="00534C7E">
              <w:rPr>
                <w:rFonts w:ascii="Arial" w:hAnsi="Arial" w:cs="Arial"/>
                <w:color w:val="000000"/>
              </w:rPr>
              <w:t>-0.193</w:t>
            </w:r>
          </w:p>
        </w:tc>
        <w:tc>
          <w:tcPr>
            <w:tcW w:w="993" w:type="dxa"/>
            <w:tcBorders>
              <w:top w:val="nil"/>
              <w:left w:val="nil"/>
              <w:bottom w:val="nil"/>
              <w:right w:val="nil"/>
            </w:tcBorders>
            <w:shd w:val="clear" w:color="000000" w:fill="FFFFFF"/>
            <w:noWrap/>
            <w:vAlign w:val="bottom"/>
            <w:hideMark/>
          </w:tcPr>
          <w:p w14:paraId="5B2BCAD8" w14:textId="77777777" w:rsidR="00534C7E" w:rsidRPr="00534C7E" w:rsidRDefault="00534C7E" w:rsidP="00534C7E">
            <w:pPr>
              <w:jc w:val="right"/>
              <w:rPr>
                <w:rFonts w:ascii="Arial" w:hAnsi="Arial" w:cs="Arial"/>
                <w:color w:val="000000"/>
              </w:rPr>
            </w:pPr>
            <w:r w:rsidRPr="00534C7E">
              <w:rPr>
                <w:rFonts w:ascii="Arial" w:hAnsi="Arial" w:cs="Arial"/>
                <w:color w:val="000000"/>
              </w:rPr>
              <w:t>-0.164</w:t>
            </w:r>
          </w:p>
        </w:tc>
        <w:tc>
          <w:tcPr>
            <w:tcW w:w="850" w:type="dxa"/>
            <w:tcBorders>
              <w:top w:val="nil"/>
              <w:left w:val="nil"/>
              <w:bottom w:val="nil"/>
              <w:right w:val="nil"/>
            </w:tcBorders>
            <w:shd w:val="clear" w:color="000000" w:fill="FFFFFF"/>
            <w:noWrap/>
            <w:vAlign w:val="bottom"/>
            <w:hideMark/>
          </w:tcPr>
          <w:p w14:paraId="3A11A2C6" w14:textId="77777777" w:rsidR="00534C7E" w:rsidRPr="00534C7E" w:rsidRDefault="00534C7E" w:rsidP="00534C7E">
            <w:pPr>
              <w:jc w:val="right"/>
              <w:rPr>
                <w:rFonts w:ascii="Arial" w:hAnsi="Arial" w:cs="Arial"/>
                <w:color w:val="000000"/>
              </w:rPr>
            </w:pPr>
            <w:r w:rsidRPr="00534C7E">
              <w:rPr>
                <w:rFonts w:ascii="Arial" w:hAnsi="Arial" w:cs="Arial"/>
                <w:color w:val="000000"/>
              </w:rPr>
              <w:t>1.000</w:t>
            </w:r>
          </w:p>
        </w:tc>
        <w:tc>
          <w:tcPr>
            <w:tcW w:w="922" w:type="dxa"/>
            <w:tcBorders>
              <w:top w:val="nil"/>
              <w:left w:val="nil"/>
              <w:bottom w:val="nil"/>
              <w:right w:val="nil"/>
            </w:tcBorders>
            <w:shd w:val="clear" w:color="000000" w:fill="FFFFFF"/>
            <w:noWrap/>
            <w:vAlign w:val="bottom"/>
            <w:hideMark/>
          </w:tcPr>
          <w:p w14:paraId="519E6BC2" w14:textId="77777777" w:rsidR="00534C7E" w:rsidRPr="00534C7E" w:rsidRDefault="00534C7E" w:rsidP="00534C7E">
            <w:pPr>
              <w:jc w:val="right"/>
              <w:rPr>
                <w:rFonts w:ascii="Arial" w:hAnsi="Arial" w:cs="Arial"/>
                <w:color w:val="000000"/>
              </w:rPr>
            </w:pPr>
            <w:r w:rsidRPr="00534C7E">
              <w:rPr>
                <w:rFonts w:ascii="Arial" w:hAnsi="Arial" w:cs="Arial"/>
                <w:color w:val="000000"/>
              </w:rPr>
              <w:t>0.249</w:t>
            </w:r>
          </w:p>
        </w:tc>
        <w:tc>
          <w:tcPr>
            <w:tcW w:w="921" w:type="dxa"/>
            <w:tcBorders>
              <w:top w:val="nil"/>
              <w:left w:val="nil"/>
              <w:bottom w:val="nil"/>
              <w:right w:val="nil"/>
            </w:tcBorders>
            <w:shd w:val="clear" w:color="000000" w:fill="FFFFFF"/>
            <w:noWrap/>
            <w:vAlign w:val="bottom"/>
            <w:hideMark/>
          </w:tcPr>
          <w:p w14:paraId="4598C58C" w14:textId="77777777" w:rsidR="00534C7E" w:rsidRPr="00534C7E" w:rsidRDefault="00534C7E" w:rsidP="00534C7E">
            <w:pPr>
              <w:jc w:val="right"/>
              <w:rPr>
                <w:rFonts w:ascii="Arial" w:hAnsi="Arial" w:cs="Arial"/>
                <w:color w:val="000000"/>
              </w:rPr>
            </w:pPr>
            <w:r w:rsidRPr="00534C7E">
              <w:rPr>
                <w:rFonts w:ascii="Arial" w:hAnsi="Arial" w:cs="Arial"/>
                <w:color w:val="000000"/>
              </w:rPr>
              <w:t>0.301</w:t>
            </w:r>
          </w:p>
        </w:tc>
        <w:tc>
          <w:tcPr>
            <w:tcW w:w="992" w:type="dxa"/>
            <w:tcBorders>
              <w:top w:val="nil"/>
              <w:left w:val="nil"/>
              <w:bottom w:val="nil"/>
              <w:right w:val="nil"/>
            </w:tcBorders>
            <w:shd w:val="clear" w:color="000000" w:fill="FFFFFF"/>
            <w:noWrap/>
            <w:vAlign w:val="bottom"/>
            <w:hideMark/>
          </w:tcPr>
          <w:p w14:paraId="10DF5E0F" w14:textId="77777777" w:rsidR="00534C7E" w:rsidRPr="00534C7E" w:rsidRDefault="00534C7E" w:rsidP="00534C7E">
            <w:pPr>
              <w:jc w:val="right"/>
              <w:rPr>
                <w:rFonts w:ascii="Arial" w:hAnsi="Arial" w:cs="Arial"/>
                <w:color w:val="000000"/>
              </w:rPr>
            </w:pPr>
            <w:r w:rsidRPr="00534C7E">
              <w:rPr>
                <w:rFonts w:ascii="Arial" w:hAnsi="Arial" w:cs="Arial"/>
                <w:color w:val="000000"/>
              </w:rPr>
              <w:t>0.330</w:t>
            </w:r>
          </w:p>
        </w:tc>
      </w:tr>
      <w:tr w:rsidR="00534C7E" w:rsidRPr="00534C7E" w14:paraId="3D0F9885" w14:textId="77777777" w:rsidTr="00CE7AAA">
        <w:trPr>
          <w:trHeight w:val="43"/>
        </w:trPr>
        <w:tc>
          <w:tcPr>
            <w:tcW w:w="1277" w:type="dxa"/>
            <w:tcBorders>
              <w:top w:val="nil"/>
              <w:left w:val="nil"/>
              <w:bottom w:val="nil"/>
              <w:right w:val="nil"/>
            </w:tcBorders>
            <w:shd w:val="clear" w:color="000000" w:fill="FFFFFF"/>
            <w:noWrap/>
            <w:vAlign w:val="center"/>
            <w:hideMark/>
          </w:tcPr>
          <w:p w14:paraId="72CF5C91" w14:textId="38681750" w:rsidR="00534C7E" w:rsidRPr="00534C7E" w:rsidRDefault="00534C7E" w:rsidP="00534C7E">
            <w:pPr>
              <w:rPr>
                <w:rFonts w:ascii="Arial" w:hAnsi="Arial" w:cs="Arial"/>
                <w:b/>
                <w:bCs/>
                <w:color w:val="000000"/>
              </w:rPr>
            </w:pPr>
            <w:r w:rsidRPr="00534C7E">
              <w:rPr>
                <w:rFonts w:ascii="Arial" w:hAnsi="Arial" w:cs="Arial"/>
                <w:b/>
                <w:bCs/>
                <w:color w:val="000000"/>
              </w:rPr>
              <w:t>Profitability</w:t>
            </w:r>
          </w:p>
        </w:tc>
        <w:tc>
          <w:tcPr>
            <w:tcW w:w="1241" w:type="dxa"/>
            <w:tcBorders>
              <w:top w:val="nil"/>
              <w:left w:val="nil"/>
              <w:bottom w:val="nil"/>
              <w:right w:val="nil"/>
            </w:tcBorders>
            <w:shd w:val="clear" w:color="000000" w:fill="FFFFFF"/>
            <w:noWrap/>
            <w:vAlign w:val="bottom"/>
            <w:hideMark/>
          </w:tcPr>
          <w:p w14:paraId="181F1B6B"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1236" w:type="dxa"/>
            <w:tcBorders>
              <w:top w:val="nil"/>
              <w:left w:val="nil"/>
              <w:bottom w:val="nil"/>
              <w:right w:val="nil"/>
            </w:tcBorders>
            <w:shd w:val="clear" w:color="000000" w:fill="FFFFFF"/>
            <w:noWrap/>
            <w:vAlign w:val="bottom"/>
            <w:hideMark/>
          </w:tcPr>
          <w:p w14:paraId="7C6B8B58" w14:textId="77777777" w:rsidR="00534C7E" w:rsidRPr="00534C7E" w:rsidRDefault="00534C7E" w:rsidP="00534C7E">
            <w:pPr>
              <w:jc w:val="right"/>
              <w:rPr>
                <w:rFonts w:ascii="Arial" w:hAnsi="Arial" w:cs="Arial"/>
                <w:color w:val="000000"/>
              </w:rPr>
            </w:pPr>
            <w:r w:rsidRPr="00534C7E">
              <w:rPr>
                <w:rFonts w:ascii="Arial" w:hAnsi="Arial" w:cs="Arial"/>
                <w:color w:val="000000"/>
              </w:rPr>
              <w:t>1.000</w:t>
            </w:r>
          </w:p>
        </w:tc>
        <w:tc>
          <w:tcPr>
            <w:tcW w:w="1066" w:type="dxa"/>
            <w:tcBorders>
              <w:top w:val="nil"/>
              <w:left w:val="nil"/>
              <w:bottom w:val="nil"/>
              <w:right w:val="nil"/>
            </w:tcBorders>
            <w:shd w:val="clear" w:color="000000" w:fill="FFFFFF"/>
            <w:noWrap/>
            <w:vAlign w:val="bottom"/>
            <w:hideMark/>
          </w:tcPr>
          <w:p w14:paraId="44CDA701" w14:textId="77777777" w:rsidR="00534C7E" w:rsidRPr="00534C7E" w:rsidRDefault="00534C7E" w:rsidP="00534C7E">
            <w:pPr>
              <w:jc w:val="right"/>
              <w:rPr>
                <w:rFonts w:ascii="Arial" w:hAnsi="Arial" w:cs="Arial"/>
                <w:color w:val="000000"/>
              </w:rPr>
            </w:pPr>
            <w:r w:rsidRPr="00534C7E">
              <w:rPr>
                <w:rFonts w:ascii="Arial" w:hAnsi="Arial" w:cs="Arial"/>
                <w:color w:val="000000"/>
              </w:rPr>
              <w:t>-0.226</w:t>
            </w:r>
          </w:p>
        </w:tc>
        <w:tc>
          <w:tcPr>
            <w:tcW w:w="993" w:type="dxa"/>
            <w:tcBorders>
              <w:top w:val="nil"/>
              <w:left w:val="nil"/>
              <w:bottom w:val="nil"/>
              <w:right w:val="nil"/>
            </w:tcBorders>
            <w:shd w:val="clear" w:color="000000" w:fill="FFFFFF"/>
            <w:noWrap/>
            <w:vAlign w:val="bottom"/>
            <w:hideMark/>
          </w:tcPr>
          <w:p w14:paraId="208CAAE8" w14:textId="77777777" w:rsidR="00534C7E" w:rsidRPr="00534C7E" w:rsidRDefault="00534C7E" w:rsidP="00534C7E">
            <w:pPr>
              <w:jc w:val="right"/>
              <w:rPr>
                <w:rFonts w:ascii="Arial" w:hAnsi="Arial" w:cs="Arial"/>
                <w:color w:val="000000"/>
              </w:rPr>
            </w:pPr>
            <w:r w:rsidRPr="00534C7E">
              <w:rPr>
                <w:rFonts w:ascii="Arial" w:hAnsi="Arial" w:cs="Arial"/>
                <w:color w:val="000000"/>
              </w:rPr>
              <w:t>-0.299</w:t>
            </w:r>
          </w:p>
        </w:tc>
        <w:tc>
          <w:tcPr>
            <w:tcW w:w="850" w:type="dxa"/>
            <w:tcBorders>
              <w:top w:val="nil"/>
              <w:left w:val="nil"/>
              <w:bottom w:val="nil"/>
              <w:right w:val="nil"/>
            </w:tcBorders>
            <w:shd w:val="clear" w:color="000000" w:fill="FFFFFF"/>
            <w:noWrap/>
            <w:vAlign w:val="bottom"/>
            <w:hideMark/>
          </w:tcPr>
          <w:p w14:paraId="4F853C14"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922" w:type="dxa"/>
            <w:tcBorders>
              <w:top w:val="nil"/>
              <w:left w:val="nil"/>
              <w:bottom w:val="nil"/>
              <w:right w:val="nil"/>
            </w:tcBorders>
            <w:shd w:val="clear" w:color="000000" w:fill="FFFFFF"/>
            <w:noWrap/>
            <w:vAlign w:val="bottom"/>
            <w:hideMark/>
          </w:tcPr>
          <w:p w14:paraId="455EB524" w14:textId="77777777" w:rsidR="00534C7E" w:rsidRPr="00534C7E" w:rsidRDefault="00534C7E" w:rsidP="00534C7E">
            <w:pPr>
              <w:jc w:val="right"/>
              <w:rPr>
                <w:rFonts w:ascii="Arial" w:hAnsi="Arial" w:cs="Arial"/>
                <w:color w:val="000000"/>
              </w:rPr>
            </w:pPr>
            <w:r w:rsidRPr="00534C7E">
              <w:rPr>
                <w:rFonts w:ascii="Arial" w:hAnsi="Arial" w:cs="Arial"/>
                <w:color w:val="000000"/>
              </w:rPr>
              <w:t>1.000</w:t>
            </w:r>
          </w:p>
        </w:tc>
        <w:tc>
          <w:tcPr>
            <w:tcW w:w="921" w:type="dxa"/>
            <w:tcBorders>
              <w:top w:val="nil"/>
              <w:left w:val="nil"/>
              <w:bottom w:val="nil"/>
              <w:right w:val="nil"/>
            </w:tcBorders>
            <w:shd w:val="clear" w:color="000000" w:fill="FFFFFF"/>
            <w:noWrap/>
            <w:vAlign w:val="bottom"/>
            <w:hideMark/>
          </w:tcPr>
          <w:p w14:paraId="5D57F2CE" w14:textId="77777777" w:rsidR="00534C7E" w:rsidRPr="00534C7E" w:rsidRDefault="00534C7E" w:rsidP="00534C7E">
            <w:pPr>
              <w:jc w:val="right"/>
              <w:rPr>
                <w:rFonts w:ascii="Arial" w:hAnsi="Arial" w:cs="Arial"/>
                <w:color w:val="000000"/>
              </w:rPr>
            </w:pPr>
            <w:r w:rsidRPr="00534C7E">
              <w:rPr>
                <w:rFonts w:ascii="Arial" w:hAnsi="Arial" w:cs="Arial"/>
                <w:color w:val="000000"/>
              </w:rPr>
              <w:t>-0.088</w:t>
            </w:r>
          </w:p>
        </w:tc>
        <w:tc>
          <w:tcPr>
            <w:tcW w:w="992" w:type="dxa"/>
            <w:tcBorders>
              <w:top w:val="nil"/>
              <w:left w:val="nil"/>
              <w:bottom w:val="nil"/>
              <w:right w:val="nil"/>
            </w:tcBorders>
            <w:shd w:val="clear" w:color="000000" w:fill="FFFFFF"/>
            <w:noWrap/>
            <w:vAlign w:val="bottom"/>
            <w:hideMark/>
          </w:tcPr>
          <w:p w14:paraId="120AA2AE" w14:textId="77777777" w:rsidR="00534C7E" w:rsidRPr="00534C7E" w:rsidRDefault="00534C7E" w:rsidP="00534C7E">
            <w:pPr>
              <w:jc w:val="right"/>
              <w:rPr>
                <w:rFonts w:ascii="Arial" w:hAnsi="Arial" w:cs="Arial"/>
                <w:color w:val="000000"/>
              </w:rPr>
            </w:pPr>
            <w:r w:rsidRPr="00534C7E">
              <w:rPr>
                <w:rFonts w:ascii="Arial" w:hAnsi="Arial" w:cs="Arial"/>
                <w:color w:val="000000"/>
              </w:rPr>
              <w:t>-0.040</w:t>
            </w:r>
          </w:p>
        </w:tc>
      </w:tr>
      <w:tr w:rsidR="00534C7E" w:rsidRPr="00534C7E" w14:paraId="45365D5B" w14:textId="77777777" w:rsidTr="00CE7AAA">
        <w:trPr>
          <w:trHeight w:val="43"/>
        </w:trPr>
        <w:tc>
          <w:tcPr>
            <w:tcW w:w="1277" w:type="dxa"/>
            <w:tcBorders>
              <w:top w:val="nil"/>
              <w:left w:val="nil"/>
              <w:bottom w:val="nil"/>
              <w:right w:val="nil"/>
            </w:tcBorders>
            <w:shd w:val="clear" w:color="000000" w:fill="FFFFFF"/>
            <w:noWrap/>
            <w:vAlign w:val="center"/>
            <w:hideMark/>
          </w:tcPr>
          <w:p w14:paraId="1A5AFFB5" w14:textId="77777777" w:rsidR="00534C7E" w:rsidRPr="00534C7E" w:rsidRDefault="00534C7E" w:rsidP="00534C7E">
            <w:pPr>
              <w:rPr>
                <w:rFonts w:ascii="Arial" w:hAnsi="Arial" w:cs="Arial"/>
                <w:b/>
                <w:bCs/>
                <w:color w:val="000000"/>
              </w:rPr>
            </w:pPr>
            <w:r w:rsidRPr="00534C7E">
              <w:rPr>
                <w:rFonts w:ascii="Arial" w:hAnsi="Arial" w:cs="Arial"/>
                <w:b/>
                <w:bCs/>
                <w:color w:val="000000"/>
              </w:rPr>
              <w:t>Bank size</w:t>
            </w:r>
          </w:p>
        </w:tc>
        <w:tc>
          <w:tcPr>
            <w:tcW w:w="1241" w:type="dxa"/>
            <w:tcBorders>
              <w:top w:val="nil"/>
              <w:left w:val="nil"/>
              <w:bottom w:val="nil"/>
              <w:right w:val="nil"/>
            </w:tcBorders>
            <w:shd w:val="clear" w:color="000000" w:fill="FFFFFF"/>
            <w:noWrap/>
            <w:vAlign w:val="bottom"/>
            <w:hideMark/>
          </w:tcPr>
          <w:p w14:paraId="301090FB"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1236" w:type="dxa"/>
            <w:tcBorders>
              <w:top w:val="nil"/>
              <w:left w:val="nil"/>
              <w:bottom w:val="nil"/>
              <w:right w:val="nil"/>
            </w:tcBorders>
            <w:shd w:val="clear" w:color="000000" w:fill="FFFFFF"/>
            <w:noWrap/>
            <w:vAlign w:val="bottom"/>
            <w:hideMark/>
          </w:tcPr>
          <w:p w14:paraId="0696B8F1"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1066" w:type="dxa"/>
            <w:tcBorders>
              <w:top w:val="nil"/>
              <w:left w:val="nil"/>
              <w:bottom w:val="nil"/>
              <w:right w:val="nil"/>
            </w:tcBorders>
            <w:shd w:val="clear" w:color="000000" w:fill="FFFFFF"/>
            <w:noWrap/>
            <w:vAlign w:val="bottom"/>
            <w:hideMark/>
          </w:tcPr>
          <w:p w14:paraId="5F419B2A" w14:textId="77777777" w:rsidR="00534C7E" w:rsidRPr="00534C7E" w:rsidRDefault="00534C7E" w:rsidP="00534C7E">
            <w:pPr>
              <w:jc w:val="right"/>
              <w:rPr>
                <w:rFonts w:ascii="Arial" w:hAnsi="Arial" w:cs="Arial"/>
                <w:color w:val="000000"/>
              </w:rPr>
            </w:pPr>
            <w:r w:rsidRPr="00534C7E">
              <w:rPr>
                <w:rFonts w:ascii="Arial" w:hAnsi="Arial" w:cs="Arial"/>
                <w:color w:val="000000"/>
              </w:rPr>
              <w:t>1.000</w:t>
            </w:r>
          </w:p>
        </w:tc>
        <w:tc>
          <w:tcPr>
            <w:tcW w:w="993" w:type="dxa"/>
            <w:tcBorders>
              <w:top w:val="nil"/>
              <w:left w:val="nil"/>
              <w:bottom w:val="nil"/>
              <w:right w:val="nil"/>
            </w:tcBorders>
            <w:shd w:val="clear" w:color="000000" w:fill="FFFFFF"/>
            <w:noWrap/>
            <w:vAlign w:val="bottom"/>
            <w:hideMark/>
          </w:tcPr>
          <w:p w14:paraId="72EA7B23" w14:textId="77777777" w:rsidR="00534C7E" w:rsidRPr="00534C7E" w:rsidRDefault="00534C7E" w:rsidP="00534C7E">
            <w:pPr>
              <w:jc w:val="right"/>
              <w:rPr>
                <w:rFonts w:ascii="Arial" w:hAnsi="Arial" w:cs="Arial"/>
                <w:color w:val="000000"/>
              </w:rPr>
            </w:pPr>
            <w:r w:rsidRPr="00534C7E">
              <w:rPr>
                <w:rFonts w:ascii="Arial" w:hAnsi="Arial" w:cs="Arial"/>
                <w:color w:val="000000"/>
              </w:rPr>
              <w:t>0.561</w:t>
            </w:r>
          </w:p>
        </w:tc>
        <w:tc>
          <w:tcPr>
            <w:tcW w:w="850" w:type="dxa"/>
            <w:tcBorders>
              <w:top w:val="nil"/>
              <w:left w:val="nil"/>
              <w:bottom w:val="nil"/>
              <w:right w:val="nil"/>
            </w:tcBorders>
            <w:shd w:val="clear" w:color="000000" w:fill="FFFFFF"/>
            <w:noWrap/>
            <w:vAlign w:val="bottom"/>
            <w:hideMark/>
          </w:tcPr>
          <w:p w14:paraId="2882E899"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922" w:type="dxa"/>
            <w:tcBorders>
              <w:top w:val="nil"/>
              <w:left w:val="nil"/>
              <w:bottom w:val="nil"/>
              <w:right w:val="nil"/>
            </w:tcBorders>
            <w:shd w:val="clear" w:color="000000" w:fill="FFFFFF"/>
            <w:noWrap/>
            <w:vAlign w:val="bottom"/>
            <w:hideMark/>
          </w:tcPr>
          <w:p w14:paraId="41220B3A"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921" w:type="dxa"/>
            <w:tcBorders>
              <w:top w:val="nil"/>
              <w:left w:val="nil"/>
              <w:bottom w:val="nil"/>
              <w:right w:val="nil"/>
            </w:tcBorders>
            <w:shd w:val="clear" w:color="000000" w:fill="FFFFFF"/>
            <w:noWrap/>
            <w:vAlign w:val="bottom"/>
            <w:hideMark/>
          </w:tcPr>
          <w:p w14:paraId="52157B26" w14:textId="77777777" w:rsidR="00534C7E" w:rsidRPr="00534C7E" w:rsidRDefault="00534C7E" w:rsidP="00534C7E">
            <w:pPr>
              <w:jc w:val="right"/>
              <w:rPr>
                <w:rFonts w:ascii="Arial" w:hAnsi="Arial" w:cs="Arial"/>
                <w:color w:val="000000"/>
              </w:rPr>
            </w:pPr>
            <w:r w:rsidRPr="00534C7E">
              <w:rPr>
                <w:rFonts w:ascii="Arial" w:hAnsi="Arial" w:cs="Arial"/>
                <w:color w:val="000000"/>
              </w:rPr>
              <w:t>1.000</w:t>
            </w:r>
          </w:p>
        </w:tc>
        <w:tc>
          <w:tcPr>
            <w:tcW w:w="992" w:type="dxa"/>
            <w:tcBorders>
              <w:top w:val="nil"/>
              <w:left w:val="nil"/>
              <w:bottom w:val="nil"/>
              <w:right w:val="nil"/>
            </w:tcBorders>
            <w:shd w:val="clear" w:color="000000" w:fill="FFFFFF"/>
            <w:noWrap/>
            <w:vAlign w:val="bottom"/>
            <w:hideMark/>
          </w:tcPr>
          <w:p w14:paraId="1D223ACC" w14:textId="77777777" w:rsidR="00534C7E" w:rsidRPr="00534C7E" w:rsidRDefault="00534C7E" w:rsidP="00534C7E">
            <w:pPr>
              <w:jc w:val="right"/>
              <w:rPr>
                <w:rFonts w:ascii="Arial" w:hAnsi="Arial" w:cs="Arial"/>
                <w:color w:val="000000"/>
              </w:rPr>
            </w:pPr>
            <w:r w:rsidRPr="00534C7E">
              <w:rPr>
                <w:rFonts w:ascii="Arial" w:hAnsi="Arial" w:cs="Arial"/>
                <w:color w:val="000000"/>
              </w:rPr>
              <w:t>0.333</w:t>
            </w:r>
          </w:p>
        </w:tc>
      </w:tr>
      <w:tr w:rsidR="00534C7E" w:rsidRPr="00534C7E" w14:paraId="5A925ED5" w14:textId="77777777" w:rsidTr="00CE7AAA">
        <w:trPr>
          <w:trHeight w:val="43"/>
        </w:trPr>
        <w:tc>
          <w:tcPr>
            <w:tcW w:w="1277" w:type="dxa"/>
            <w:tcBorders>
              <w:top w:val="nil"/>
              <w:left w:val="nil"/>
              <w:bottom w:val="nil"/>
              <w:right w:val="nil"/>
            </w:tcBorders>
            <w:shd w:val="clear" w:color="000000" w:fill="FFFFFF"/>
            <w:noWrap/>
            <w:vAlign w:val="center"/>
            <w:hideMark/>
          </w:tcPr>
          <w:p w14:paraId="51A83D35" w14:textId="77777777" w:rsidR="00534C7E" w:rsidRPr="00534C7E" w:rsidRDefault="00534C7E" w:rsidP="00534C7E">
            <w:pPr>
              <w:rPr>
                <w:rFonts w:ascii="Arial" w:hAnsi="Arial" w:cs="Arial"/>
                <w:b/>
                <w:bCs/>
                <w:color w:val="000000"/>
              </w:rPr>
            </w:pPr>
            <w:r w:rsidRPr="00534C7E">
              <w:rPr>
                <w:rFonts w:ascii="Arial" w:hAnsi="Arial" w:cs="Arial"/>
                <w:b/>
                <w:bCs/>
                <w:color w:val="000000"/>
              </w:rPr>
              <w:t>Deposits</w:t>
            </w:r>
          </w:p>
        </w:tc>
        <w:tc>
          <w:tcPr>
            <w:tcW w:w="1241" w:type="dxa"/>
            <w:tcBorders>
              <w:top w:val="nil"/>
              <w:left w:val="nil"/>
              <w:bottom w:val="nil"/>
              <w:right w:val="nil"/>
            </w:tcBorders>
            <w:shd w:val="clear" w:color="000000" w:fill="FFFFFF"/>
            <w:noWrap/>
            <w:vAlign w:val="bottom"/>
            <w:hideMark/>
          </w:tcPr>
          <w:p w14:paraId="3E40E93B"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1236" w:type="dxa"/>
            <w:tcBorders>
              <w:top w:val="nil"/>
              <w:left w:val="nil"/>
              <w:bottom w:val="nil"/>
              <w:right w:val="nil"/>
            </w:tcBorders>
            <w:shd w:val="clear" w:color="000000" w:fill="FFFFFF"/>
            <w:noWrap/>
            <w:vAlign w:val="bottom"/>
            <w:hideMark/>
          </w:tcPr>
          <w:p w14:paraId="5B404124"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1066" w:type="dxa"/>
            <w:tcBorders>
              <w:top w:val="nil"/>
              <w:left w:val="nil"/>
              <w:bottom w:val="nil"/>
              <w:right w:val="nil"/>
            </w:tcBorders>
            <w:shd w:val="clear" w:color="000000" w:fill="FFFFFF"/>
            <w:noWrap/>
            <w:vAlign w:val="bottom"/>
            <w:hideMark/>
          </w:tcPr>
          <w:p w14:paraId="4B0FF192"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993" w:type="dxa"/>
            <w:tcBorders>
              <w:top w:val="nil"/>
              <w:left w:val="nil"/>
              <w:bottom w:val="nil"/>
              <w:right w:val="nil"/>
            </w:tcBorders>
            <w:shd w:val="clear" w:color="000000" w:fill="FFFFFF"/>
            <w:noWrap/>
            <w:vAlign w:val="bottom"/>
            <w:hideMark/>
          </w:tcPr>
          <w:p w14:paraId="3DB352AB" w14:textId="77777777" w:rsidR="00534C7E" w:rsidRPr="00534C7E" w:rsidRDefault="00534C7E" w:rsidP="00534C7E">
            <w:pPr>
              <w:jc w:val="right"/>
              <w:rPr>
                <w:rFonts w:ascii="Arial" w:hAnsi="Arial" w:cs="Arial"/>
                <w:color w:val="000000"/>
              </w:rPr>
            </w:pPr>
            <w:r w:rsidRPr="00534C7E">
              <w:rPr>
                <w:rFonts w:ascii="Arial" w:hAnsi="Arial" w:cs="Arial"/>
                <w:color w:val="000000"/>
              </w:rPr>
              <w:t>1.000</w:t>
            </w:r>
          </w:p>
        </w:tc>
        <w:tc>
          <w:tcPr>
            <w:tcW w:w="850" w:type="dxa"/>
            <w:tcBorders>
              <w:top w:val="nil"/>
              <w:left w:val="nil"/>
              <w:bottom w:val="nil"/>
              <w:right w:val="nil"/>
            </w:tcBorders>
            <w:shd w:val="clear" w:color="000000" w:fill="FFFFFF"/>
            <w:noWrap/>
            <w:vAlign w:val="bottom"/>
            <w:hideMark/>
          </w:tcPr>
          <w:p w14:paraId="237741CA"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922" w:type="dxa"/>
            <w:tcBorders>
              <w:top w:val="nil"/>
              <w:left w:val="nil"/>
              <w:bottom w:val="nil"/>
              <w:right w:val="nil"/>
            </w:tcBorders>
            <w:shd w:val="clear" w:color="000000" w:fill="FFFFFF"/>
            <w:noWrap/>
            <w:vAlign w:val="bottom"/>
            <w:hideMark/>
          </w:tcPr>
          <w:p w14:paraId="3123A9CA"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921" w:type="dxa"/>
            <w:tcBorders>
              <w:top w:val="nil"/>
              <w:left w:val="nil"/>
              <w:bottom w:val="nil"/>
              <w:right w:val="nil"/>
            </w:tcBorders>
            <w:shd w:val="clear" w:color="000000" w:fill="FFFFFF"/>
            <w:noWrap/>
            <w:vAlign w:val="bottom"/>
            <w:hideMark/>
          </w:tcPr>
          <w:p w14:paraId="40358831" w14:textId="77777777" w:rsidR="00534C7E" w:rsidRPr="00534C7E" w:rsidRDefault="00534C7E" w:rsidP="00534C7E">
            <w:pPr>
              <w:rPr>
                <w:rFonts w:ascii="Arial" w:hAnsi="Arial" w:cs="Arial"/>
                <w:color w:val="000000"/>
              </w:rPr>
            </w:pPr>
            <w:r w:rsidRPr="00534C7E">
              <w:rPr>
                <w:rFonts w:ascii="Arial" w:hAnsi="Arial" w:cs="Arial"/>
                <w:color w:val="000000"/>
              </w:rPr>
              <w:t> </w:t>
            </w:r>
          </w:p>
        </w:tc>
        <w:tc>
          <w:tcPr>
            <w:tcW w:w="992" w:type="dxa"/>
            <w:tcBorders>
              <w:top w:val="nil"/>
              <w:left w:val="nil"/>
              <w:bottom w:val="nil"/>
              <w:right w:val="nil"/>
            </w:tcBorders>
            <w:shd w:val="clear" w:color="000000" w:fill="FFFFFF"/>
            <w:noWrap/>
            <w:vAlign w:val="bottom"/>
            <w:hideMark/>
          </w:tcPr>
          <w:p w14:paraId="585C3755" w14:textId="77777777" w:rsidR="00BD225C" w:rsidRDefault="00BD225C" w:rsidP="00534C7E">
            <w:pPr>
              <w:jc w:val="right"/>
              <w:rPr>
                <w:rFonts w:ascii="Arial" w:hAnsi="Arial" w:cs="Arial"/>
                <w:color w:val="000000"/>
              </w:rPr>
            </w:pPr>
          </w:p>
          <w:p w14:paraId="60B6A986" w14:textId="602A7876" w:rsidR="00534C7E" w:rsidRPr="00534C7E" w:rsidRDefault="00534C7E" w:rsidP="00534C7E">
            <w:pPr>
              <w:jc w:val="right"/>
              <w:rPr>
                <w:rFonts w:ascii="Arial" w:hAnsi="Arial" w:cs="Arial"/>
                <w:color w:val="000000"/>
              </w:rPr>
            </w:pPr>
            <w:r w:rsidRPr="00534C7E">
              <w:rPr>
                <w:rFonts w:ascii="Arial" w:hAnsi="Arial" w:cs="Arial"/>
                <w:color w:val="000000"/>
              </w:rPr>
              <w:t>1.000</w:t>
            </w:r>
          </w:p>
        </w:tc>
      </w:tr>
    </w:tbl>
    <w:p w14:paraId="396D3E9A" w14:textId="2F077CB4" w:rsidR="00534C7E" w:rsidRPr="00534C7E" w:rsidRDefault="00534C7E" w:rsidP="00534C7E">
      <w:pPr>
        <w:spacing w:line="360" w:lineRule="auto"/>
        <w:jc w:val="both"/>
        <w:rPr>
          <w:rFonts w:ascii="Arial" w:hAnsi="Arial" w:cs="Arial"/>
          <w:lang w:val="en-US"/>
        </w:rPr>
      </w:pPr>
    </w:p>
    <w:p w14:paraId="40597333" w14:textId="104463C6" w:rsidR="00033711" w:rsidRDefault="00CE6C68" w:rsidP="00534C7E">
      <w:pPr>
        <w:spacing w:line="360" w:lineRule="auto"/>
        <w:jc w:val="both"/>
        <w:rPr>
          <w:rFonts w:ascii="Arial" w:hAnsi="Arial" w:cs="Arial"/>
          <w:lang w:val="en-US"/>
        </w:rPr>
      </w:pPr>
      <w:r>
        <w:rPr>
          <w:rFonts w:ascii="Arial" w:hAnsi="Arial" w:cs="Arial"/>
          <w:lang w:val="en-US"/>
        </w:rPr>
        <w:t xml:space="preserve">      </w:t>
      </w:r>
      <w:r w:rsidR="00C703FE">
        <w:rPr>
          <w:rFonts w:ascii="Arial" w:hAnsi="Arial" w:cs="Arial"/>
          <w:lang w:val="en-US"/>
        </w:rPr>
        <w:t xml:space="preserve">As we can see from table 4.2, the profitability (ROA), bank size, and deposits all had the negative relationship correlation with liquidity which means when these three variables increase that the liquidity will decrease in conventional banks. </w:t>
      </w:r>
      <w:r w:rsidR="00033711">
        <w:rPr>
          <w:rFonts w:ascii="Arial" w:hAnsi="Arial" w:cs="Arial"/>
          <w:lang w:val="en-US"/>
        </w:rPr>
        <w:t>According</w:t>
      </w:r>
      <w:r w:rsidR="00C703FE">
        <w:rPr>
          <w:rFonts w:ascii="Arial" w:hAnsi="Arial" w:cs="Arial"/>
          <w:lang w:val="en-US"/>
        </w:rPr>
        <w:t xml:space="preserve"> to </w:t>
      </w:r>
      <w:r w:rsidR="00033711" w:rsidRPr="00033711">
        <w:rPr>
          <w:rFonts w:ascii="Arial" w:hAnsi="Arial" w:cs="Arial"/>
          <w:lang w:val="en-US"/>
        </w:rPr>
        <w:t>the guide Evans (1996) suggests for the absolute value</w:t>
      </w:r>
      <w:r w:rsidR="00033711">
        <w:rPr>
          <w:rFonts w:ascii="Arial" w:hAnsi="Arial" w:cs="Arial"/>
          <w:lang w:val="en-US"/>
        </w:rPr>
        <w:t xml:space="preserve"> which can see as table 4.3, the negative relationship among these variables were </w:t>
      </w:r>
      <w:r w:rsidR="00033711" w:rsidRPr="00033711">
        <w:rPr>
          <w:rFonts w:ascii="Arial" w:hAnsi="Arial" w:cs="Arial"/>
          <w:lang w:val="en-US"/>
        </w:rPr>
        <w:t xml:space="preserve">very weak </w:t>
      </w:r>
      <w:r w:rsidR="00033711">
        <w:rPr>
          <w:rFonts w:ascii="Arial" w:hAnsi="Arial" w:cs="Arial"/>
          <w:lang w:val="en-US"/>
        </w:rPr>
        <w:t>c</w:t>
      </w:r>
      <w:r w:rsidR="00033711" w:rsidRPr="00033711">
        <w:rPr>
          <w:rFonts w:ascii="Arial" w:hAnsi="Arial" w:cs="Arial"/>
          <w:lang w:val="en-US"/>
        </w:rPr>
        <w:t>orrelation</w:t>
      </w:r>
      <w:r w:rsidR="00033711">
        <w:rPr>
          <w:rFonts w:ascii="Arial" w:hAnsi="Arial" w:cs="Arial"/>
          <w:lang w:val="en-US"/>
        </w:rPr>
        <w:t xml:space="preserve"> since all </w:t>
      </w:r>
      <w:r w:rsidR="00033711" w:rsidRPr="00033711">
        <w:rPr>
          <w:rFonts w:ascii="Arial" w:hAnsi="Arial" w:cs="Arial"/>
          <w:lang w:val="en-US"/>
        </w:rPr>
        <w:t>correlation value</w:t>
      </w:r>
      <w:r w:rsidR="00033711">
        <w:rPr>
          <w:rFonts w:ascii="Arial" w:hAnsi="Arial" w:cs="Arial"/>
          <w:lang w:val="en-US"/>
        </w:rPr>
        <w:t>s less than 0.20.</w:t>
      </w:r>
      <w:r>
        <w:rPr>
          <w:rFonts w:ascii="Arial" w:hAnsi="Arial" w:cs="Arial"/>
          <w:lang w:val="en-US"/>
        </w:rPr>
        <w:t xml:space="preserve"> </w:t>
      </w:r>
      <w:r w:rsidRPr="00CE6C68">
        <w:rPr>
          <w:rFonts w:ascii="Arial" w:hAnsi="Arial" w:cs="Arial"/>
          <w:lang w:val="en-US"/>
        </w:rPr>
        <w:t>According to Singh and Sharma (2016) integrated that except bank size had a moderate negative correlation with liquidity, ROA had a very weak positive correlation with liquidity and deposits had a very weak negative correlation.</w:t>
      </w:r>
    </w:p>
    <w:p w14:paraId="47C4B1E0" w14:textId="652FBC02" w:rsidR="00033711" w:rsidRPr="00033711" w:rsidRDefault="00033711" w:rsidP="00033711">
      <w:pPr>
        <w:spacing w:after="480" w:line="360" w:lineRule="auto"/>
        <w:jc w:val="center"/>
        <w:rPr>
          <w:rFonts w:ascii="Arial" w:hAnsi="Arial" w:cs="Arial"/>
          <w:b/>
          <w:bCs/>
          <w:lang w:val="en-US"/>
        </w:rPr>
      </w:pPr>
      <w:r w:rsidRPr="00F25D65">
        <w:rPr>
          <w:rFonts w:ascii="Arial" w:hAnsi="Arial" w:cs="Arial"/>
          <w:b/>
          <w:bCs/>
        </w:rPr>
        <w:t>Table 4.</w:t>
      </w:r>
      <w:r w:rsidR="003E5C0F">
        <w:rPr>
          <w:rFonts w:ascii="Arial" w:hAnsi="Arial" w:cs="Arial"/>
          <w:b/>
          <w:bCs/>
        </w:rPr>
        <w:t>5</w:t>
      </w:r>
      <w:r w:rsidRPr="00F25D65">
        <w:rPr>
          <w:rFonts w:ascii="Arial" w:hAnsi="Arial" w:cs="Arial"/>
          <w:b/>
          <w:bCs/>
        </w:rPr>
        <w:t xml:space="preserve">: </w:t>
      </w:r>
      <w:r>
        <w:rPr>
          <w:rFonts w:ascii="Arial" w:hAnsi="Arial" w:cs="Arial"/>
          <w:b/>
          <w:bCs/>
        </w:rPr>
        <w:t xml:space="preserve">The Guide for </w:t>
      </w:r>
      <w:r w:rsidRPr="00534C7E">
        <w:rPr>
          <w:rFonts w:ascii="Arial" w:hAnsi="Arial" w:cs="Arial"/>
          <w:b/>
          <w:bCs/>
          <w:color w:val="000000"/>
        </w:rPr>
        <w:t xml:space="preserve">Correlation </w:t>
      </w:r>
    </w:p>
    <w:tbl>
      <w:tblPr>
        <w:tblStyle w:val="GridTable2-Accent1"/>
        <w:tblW w:w="9198" w:type="dxa"/>
        <w:tblLook w:val="04A0" w:firstRow="1" w:lastRow="0" w:firstColumn="1" w:lastColumn="0" w:noHBand="0" w:noVBand="1"/>
      </w:tblPr>
      <w:tblGrid>
        <w:gridCol w:w="4033"/>
        <w:gridCol w:w="5165"/>
      </w:tblGrid>
      <w:tr w:rsidR="00033711" w:rsidRPr="00033711" w14:paraId="58ED651F" w14:textId="77777777" w:rsidTr="00EF7C5F">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033" w:type="dxa"/>
            <w:noWrap/>
            <w:hideMark/>
          </w:tcPr>
          <w:p w14:paraId="2FE1851F" w14:textId="711CD5D3" w:rsidR="00033711" w:rsidRPr="00033711" w:rsidRDefault="00033711" w:rsidP="00033711">
            <w:pPr>
              <w:jc w:val="center"/>
              <w:rPr>
                <w:rFonts w:ascii="Arial" w:hAnsi="Arial" w:cs="Arial"/>
                <w:color w:val="000000"/>
              </w:rPr>
            </w:pPr>
            <w:r w:rsidRPr="00033711">
              <w:rPr>
                <w:rFonts w:ascii="Arial" w:hAnsi="Arial" w:cs="Arial"/>
                <w:color w:val="000000"/>
              </w:rPr>
              <w:t>Correlation Value</w:t>
            </w:r>
          </w:p>
        </w:tc>
        <w:tc>
          <w:tcPr>
            <w:tcW w:w="5165" w:type="dxa"/>
            <w:noWrap/>
            <w:hideMark/>
          </w:tcPr>
          <w:p w14:paraId="79BCBEB7" w14:textId="7A440339" w:rsidR="00033711" w:rsidRPr="00033711" w:rsidRDefault="00033711" w:rsidP="0003371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033711">
              <w:rPr>
                <w:rFonts w:ascii="Arial" w:hAnsi="Arial" w:cs="Arial"/>
                <w:color w:val="000000"/>
              </w:rPr>
              <w:t>Strength of the Correlation</w:t>
            </w:r>
          </w:p>
        </w:tc>
      </w:tr>
      <w:tr w:rsidR="00033711" w:rsidRPr="00033711" w14:paraId="563E5019" w14:textId="77777777" w:rsidTr="00EF7C5F">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033" w:type="dxa"/>
            <w:noWrap/>
            <w:hideMark/>
          </w:tcPr>
          <w:p w14:paraId="2280A959" w14:textId="77777777" w:rsidR="00033711" w:rsidRDefault="00033711" w:rsidP="00033711">
            <w:pPr>
              <w:jc w:val="center"/>
              <w:rPr>
                <w:rFonts w:ascii="Arial" w:hAnsi="Arial" w:cs="Arial"/>
                <w:color w:val="000000"/>
              </w:rPr>
            </w:pPr>
          </w:p>
          <w:p w14:paraId="264D2CCE" w14:textId="223D3E02" w:rsidR="00033711" w:rsidRPr="00033711" w:rsidRDefault="00033711" w:rsidP="00033711">
            <w:pPr>
              <w:jc w:val="center"/>
              <w:rPr>
                <w:rFonts w:ascii="Arial" w:hAnsi="Arial" w:cs="Arial"/>
                <w:b w:val="0"/>
                <w:bCs w:val="0"/>
                <w:color w:val="000000"/>
              </w:rPr>
            </w:pPr>
            <w:r w:rsidRPr="00033711">
              <w:rPr>
                <w:rFonts w:ascii="Arial" w:hAnsi="Arial" w:cs="Arial"/>
                <w:b w:val="0"/>
                <w:bCs w:val="0"/>
                <w:color w:val="000000"/>
              </w:rPr>
              <w:t xml:space="preserve">00-.19 </w:t>
            </w:r>
          </w:p>
        </w:tc>
        <w:tc>
          <w:tcPr>
            <w:tcW w:w="5165" w:type="dxa"/>
            <w:noWrap/>
            <w:hideMark/>
          </w:tcPr>
          <w:p w14:paraId="1CA6C88F" w14:textId="77777777" w:rsidR="00033711" w:rsidRDefault="00033711" w:rsidP="0003371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79BCACCE" w14:textId="4462C831" w:rsidR="00033711" w:rsidRPr="00033711" w:rsidRDefault="00033711" w:rsidP="0003371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33711">
              <w:rPr>
                <w:rFonts w:ascii="Arial" w:hAnsi="Arial" w:cs="Arial"/>
                <w:color w:val="000000"/>
              </w:rPr>
              <w:t xml:space="preserve">Very weak </w:t>
            </w:r>
          </w:p>
        </w:tc>
      </w:tr>
      <w:tr w:rsidR="00033711" w:rsidRPr="00033711" w14:paraId="4A837F15" w14:textId="77777777" w:rsidTr="00EF7C5F">
        <w:trPr>
          <w:trHeight w:val="446"/>
        </w:trPr>
        <w:tc>
          <w:tcPr>
            <w:cnfStyle w:val="001000000000" w:firstRow="0" w:lastRow="0" w:firstColumn="1" w:lastColumn="0" w:oddVBand="0" w:evenVBand="0" w:oddHBand="0" w:evenHBand="0" w:firstRowFirstColumn="0" w:firstRowLastColumn="0" w:lastRowFirstColumn="0" w:lastRowLastColumn="0"/>
            <w:tcW w:w="4033" w:type="dxa"/>
            <w:noWrap/>
            <w:hideMark/>
          </w:tcPr>
          <w:p w14:paraId="7B9E4E6B" w14:textId="77777777" w:rsidR="00033711" w:rsidRDefault="00033711" w:rsidP="00033711">
            <w:pPr>
              <w:jc w:val="center"/>
              <w:rPr>
                <w:rFonts w:ascii="Arial" w:hAnsi="Arial" w:cs="Arial"/>
                <w:color w:val="000000"/>
              </w:rPr>
            </w:pPr>
          </w:p>
          <w:p w14:paraId="2F93B343" w14:textId="3CED6DE9" w:rsidR="00033711" w:rsidRPr="00033711" w:rsidRDefault="00033711" w:rsidP="00033711">
            <w:pPr>
              <w:jc w:val="center"/>
              <w:rPr>
                <w:rFonts w:ascii="Arial" w:hAnsi="Arial" w:cs="Arial"/>
                <w:b w:val="0"/>
                <w:bCs w:val="0"/>
                <w:color w:val="000000"/>
              </w:rPr>
            </w:pPr>
            <w:r w:rsidRPr="00033711">
              <w:rPr>
                <w:rFonts w:ascii="Arial" w:hAnsi="Arial" w:cs="Arial"/>
                <w:b w:val="0"/>
                <w:bCs w:val="0"/>
                <w:color w:val="000000"/>
              </w:rPr>
              <w:t xml:space="preserve">0.20-.39 </w:t>
            </w:r>
          </w:p>
        </w:tc>
        <w:tc>
          <w:tcPr>
            <w:tcW w:w="5165" w:type="dxa"/>
            <w:noWrap/>
            <w:hideMark/>
          </w:tcPr>
          <w:p w14:paraId="62293391" w14:textId="77777777" w:rsidR="00033711" w:rsidRDefault="00033711" w:rsidP="0003371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5050E58F" w14:textId="4568D7BC" w:rsidR="00033711" w:rsidRPr="00033711" w:rsidRDefault="00033711" w:rsidP="0003371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3711">
              <w:rPr>
                <w:rFonts w:ascii="Arial" w:hAnsi="Arial" w:cs="Arial"/>
                <w:color w:val="000000"/>
              </w:rPr>
              <w:t xml:space="preserve">Weak </w:t>
            </w:r>
          </w:p>
        </w:tc>
      </w:tr>
      <w:tr w:rsidR="00033711" w:rsidRPr="00033711" w14:paraId="1CA4B895" w14:textId="77777777" w:rsidTr="00EF7C5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033" w:type="dxa"/>
            <w:noWrap/>
            <w:hideMark/>
          </w:tcPr>
          <w:p w14:paraId="666B5B48" w14:textId="77777777" w:rsidR="00033711" w:rsidRDefault="00033711" w:rsidP="00033711">
            <w:pPr>
              <w:jc w:val="center"/>
              <w:rPr>
                <w:rFonts w:ascii="Arial" w:hAnsi="Arial" w:cs="Arial"/>
                <w:color w:val="000000"/>
              </w:rPr>
            </w:pPr>
          </w:p>
          <w:p w14:paraId="31AF2431" w14:textId="033369B8" w:rsidR="00033711" w:rsidRPr="00033711" w:rsidRDefault="00033711" w:rsidP="00033711">
            <w:pPr>
              <w:jc w:val="center"/>
              <w:rPr>
                <w:rFonts w:ascii="Arial" w:hAnsi="Arial" w:cs="Arial"/>
                <w:b w:val="0"/>
                <w:bCs w:val="0"/>
                <w:color w:val="000000"/>
              </w:rPr>
            </w:pPr>
            <w:r w:rsidRPr="00033711">
              <w:rPr>
                <w:rFonts w:ascii="Arial" w:hAnsi="Arial" w:cs="Arial"/>
                <w:b w:val="0"/>
                <w:bCs w:val="0"/>
                <w:color w:val="000000"/>
              </w:rPr>
              <w:t xml:space="preserve">0.40-.59 </w:t>
            </w:r>
          </w:p>
        </w:tc>
        <w:tc>
          <w:tcPr>
            <w:tcW w:w="5165" w:type="dxa"/>
            <w:noWrap/>
            <w:hideMark/>
          </w:tcPr>
          <w:p w14:paraId="255D2976" w14:textId="77777777" w:rsidR="00033711" w:rsidRDefault="00033711" w:rsidP="0003371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70C444B" w14:textId="61AC2D92" w:rsidR="00033711" w:rsidRPr="00033711" w:rsidRDefault="00033711" w:rsidP="0003371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33711">
              <w:rPr>
                <w:rFonts w:ascii="Arial" w:hAnsi="Arial" w:cs="Arial"/>
                <w:color w:val="000000"/>
              </w:rPr>
              <w:t xml:space="preserve">Moderate </w:t>
            </w:r>
          </w:p>
        </w:tc>
      </w:tr>
      <w:tr w:rsidR="00033711" w:rsidRPr="00033711" w14:paraId="608F0118" w14:textId="77777777" w:rsidTr="00EF7C5F">
        <w:trPr>
          <w:trHeight w:val="297"/>
        </w:trPr>
        <w:tc>
          <w:tcPr>
            <w:cnfStyle w:val="001000000000" w:firstRow="0" w:lastRow="0" w:firstColumn="1" w:lastColumn="0" w:oddVBand="0" w:evenVBand="0" w:oddHBand="0" w:evenHBand="0" w:firstRowFirstColumn="0" w:firstRowLastColumn="0" w:lastRowFirstColumn="0" w:lastRowLastColumn="0"/>
            <w:tcW w:w="4033" w:type="dxa"/>
            <w:noWrap/>
            <w:hideMark/>
          </w:tcPr>
          <w:p w14:paraId="0BB8ECA9" w14:textId="77777777" w:rsidR="00033711" w:rsidRDefault="00033711" w:rsidP="00033711">
            <w:pPr>
              <w:jc w:val="center"/>
              <w:rPr>
                <w:rFonts w:ascii="Arial" w:hAnsi="Arial" w:cs="Arial"/>
                <w:color w:val="000000"/>
              </w:rPr>
            </w:pPr>
          </w:p>
          <w:p w14:paraId="7649DC9B" w14:textId="3F99D624" w:rsidR="00033711" w:rsidRPr="00033711" w:rsidRDefault="00033711" w:rsidP="00033711">
            <w:pPr>
              <w:jc w:val="center"/>
              <w:rPr>
                <w:rFonts w:ascii="Arial" w:hAnsi="Arial" w:cs="Arial"/>
                <w:b w:val="0"/>
                <w:bCs w:val="0"/>
                <w:color w:val="000000"/>
              </w:rPr>
            </w:pPr>
            <w:r w:rsidRPr="00033711">
              <w:rPr>
                <w:rFonts w:ascii="Arial" w:hAnsi="Arial" w:cs="Arial"/>
                <w:b w:val="0"/>
                <w:bCs w:val="0"/>
                <w:color w:val="000000"/>
              </w:rPr>
              <w:t xml:space="preserve">0.60-.79 </w:t>
            </w:r>
          </w:p>
        </w:tc>
        <w:tc>
          <w:tcPr>
            <w:tcW w:w="5165" w:type="dxa"/>
            <w:noWrap/>
            <w:hideMark/>
          </w:tcPr>
          <w:p w14:paraId="2CAC660C" w14:textId="77777777" w:rsidR="00033711" w:rsidRDefault="00033711" w:rsidP="0003371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0AA11428" w14:textId="020C4B2B" w:rsidR="00033711" w:rsidRPr="00033711" w:rsidRDefault="00033711" w:rsidP="0003371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3711">
              <w:rPr>
                <w:rFonts w:ascii="Arial" w:hAnsi="Arial" w:cs="Arial"/>
                <w:color w:val="000000"/>
              </w:rPr>
              <w:t xml:space="preserve">Strong </w:t>
            </w:r>
          </w:p>
        </w:tc>
      </w:tr>
      <w:tr w:rsidR="00033711" w:rsidRPr="00033711" w14:paraId="2CEDF7A6" w14:textId="77777777" w:rsidTr="00EF7C5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033" w:type="dxa"/>
            <w:noWrap/>
            <w:hideMark/>
          </w:tcPr>
          <w:p w14:paraId="6D71DE1C" w14:textId="77777777" w:rsidR="00033711" w:rsidRDefault="00033711" w:rsidP="00033711">
            <w:pPr>
              <w:jc w:val="center"/>
              <w:rPr>
                <w:rFonts w:ascii="Arial" w:hAnsi="Arial" w:cs="Arial"/>
                <w:color w:val="000000"/>
              </w:rPr>
            </w:pPr>
          </w:p>
          <w:p w14:paraId="6929E942" w14:textId="505BD11B" w:rsidR="00033711" w:rsidRPr="00033711" w:rsidRDefault="00033711" w:rsidP="00033711">
            <w:pPr>
              <w:jc w:val="center"/>
              <w:rPr>
                <w:rFonts w:ascii="Arial" w:hAnsi="Arial" w:cs="Arial"/>
                <w:b w:val="0"/>
                <w:bCs w:val="0"/>
                <w:color w:val="000000"/>
              </w:rPr>
            </w:pPr>
            <w:r w:rsidRPr="00033711">
              <w:rPr>
                <w:rFonts w:ascii="Arial" w:hAnsi="Arial" w:cs="Arial"/>
                <w:b w:val="0"/>
                <w:bCs w:val="0"/>
                <w:color w:val="000000"/>
              </w:rPr>
              <w:t xml:space="preserve">0.80-1.0 </w:t>
            </w:r>
          </w:p>
        </w:tc>
        <w:tc>
          <w:tcPr>
            <w:tcW w:w="5165" w:type="dxa"/>
            <w:noWrap/>
            <w:hideMark/>
          </w:tcPr>
          <w:p w14:paraId="0DE371AB" w14:textId="77777777" w:rsidR="00033711" w:rsidRDefault="00033711" w:rsidP="0003371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7E66644" w14:textId="6CD3A164" w:rsidR="00033711" w:rsidRPr="00033711" w:rsidRDefault="00033711" w:rsidP="0003371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33711">
              <w:rPr>
                <w:rFonts w:ascii="Arial" w:hAnsi="Arial" w:cs="Arial"/>
                <w:color w:val="000000"/>
              </w:rPr>
              <w:t xml:space="preserve">Very Strong </w:t>
            </w:r>
          </w:p>
        </w:tc>
      </w:tr>
    </w:tbl>
    <w:p w14:paraId="5B965F79" w14:textId="77777777" w:rsidR="00033711" w:rsidRDefault="00033711" w:rsidP="00534C7E">
      <w:pPr>
        <w:spacing w:line="360" w:lineRule="auto"/>
        <w:jc w:val="both"/>
        <w:rPr>
          <w:rFonts w:ascii="Arial" w:hAnsi="Arial" w:cs="Arial"/>
          <w:lang w:val="en-US"/>
        </w:rPr>
      </w:pPr>
    </w:p>
    <w:p w14:paraId="336090C6" w14:textId="38F34F8B" w:rsidR="00534C7E" w:rsidRPr="00471C61" w:rsidRDefault="00CE6C68" w:rsidP="00471C61">
      <w:pPr>
        <w:spacing w:line="360" w:lineRule="auto"/>
        <w:jc w:val="both"/>
        <w:rPr>
          <w:rFonts w:ascii="Arial" w:hAnsi="Arial" w:cs="Arial"/>
          <w:lang w:val="en-US"/>
        </w:rPr>
      </w:pPr>
      <w:r>
        <w:rPr>
          <w:rFonts w:ascii="Arial" w:hAnsi="Arial" w:cs="Arial"/>
          <w:lang w:val="en-US"/>
        </w:rPr>
        <w:lastRenderedPageBreak/>
        <w:t>In Islamic banks, profitability (ROA), bank size, and deposits all had the weak positive relationship correlation with liquidity.</w:t>
      </w:r>
      <w:r w:rsidR="00BD225C">
        <w:rPr>
          <w:rFonts w:ascii="Arial" w:hAnsi="Arial" w:cs="Arial"/>
          <w:lang w:val="en-US"/>
        </w:rPr>
        <w:t xml:space="preserve"> And the deposits had the highest relationship </w:t>
      </w:r>
      <w:r w:rsidR="00E73105">
        <w:rPr>
          <w:rFonts w:ascii="Arial" w:hAnsi="Arial" w:cs="Arial"/>
          <w:lang w:val="en-US"/>
        </w:rPr>
        <w:t xml:space="preserve">correlation with liquidity </w:t>
      </w:r>
      <w:r w:rsidR="00BD225C">
        <w:rPr>
          <w:rFonts w:ascii="Arial" w:hAnsi="Arial" w:cs="Arial"/>
          <w:lang w:val="en-US"/>
        </w:rPr>
        <w:t>among these variables.</w:t>
      </w:r>
      <w:r w:rsidR="00471C61">
        <w:rPr>
          <w:rFonts w:ascii="Arial" w:hAnsi="Arial" w:cs="Arial"/>
          <w:lang w:val="en-US"/>
        </w:rPr>
        <w:t xml:space="preserve"> The result of bank size had weak positive relationship correlation with liquidity which same as </w:t>
      </w:r>
      <w:r w:rsidR="00471C61" w:rsidRPr="00471C61">
        <w:rPr>
          <w:rFonts w:ascii="Arial" w:hAnsi="Arial" w:cs="Arial"/>
          <w:lang w:val="en-US"/>
        </w:rPr>
        <w:t>Sukmana and Suryaningtyas</w:t>
      </w:r>
      <w:r w:rsidR="00471C61">
        <w:rPr>
          <w:rFonts w:ascii="Arial" w:hAnsi="Arial" w:cs="Arial"/>
          <w:lang w:val="en-US"/>
        </w:rPr>
        <w:t xml:space="preserve"> (2016)’s integration, but the profitability (ROA) had very weak correlation with liquidity in their research.</w:t>
      </w:r>
    </w:p>
    <w:p w14:paraId="5A1FBC60" w14:textId="77777777" w:rsidR="00534C7E" w:rsidRPr="00115918" w:rsidRDefault="00534C7E" w:rsidP="00115918"/>
    <w:p w14:paraId="51239ADC" w14:textId="7893FEE4" w:rsidR="00D43AA5" w:rsidRPr="00D85FA6" w:rsidRDefault="00D43AA5" w:rsidP="00D43AA5">
      <w:pPr>
        <w:pStyle w:val="Heading3"/>
        <w:spacing w:after="480" w:line="259" w:lineRule="auto"/>
        <w:ind w:left="720"/>
        <w:rPr>
          <w:rFonts w:ascii="Arial" w:hAnsi="Arial" w:cs="Arial"/>
          <w:b/>
        </w:rPr>
      </w:pPr>
      <w:bookmarkStart w:id="80" w:name="_Toc27578614"/>
      <w:r w:rsidRPr="00D85FA6">
        <w:rPr>
          <w:rFonts w:ascii="Arial" w:hAnsi="Arial" w:cs="Arial"/>
          <w:b/>
        </w:rPr>
        <w:t xml:space="preserve">4.2.2 </w:t>
      </w:r>
      <w:r w:rsidRPr="00BB0D48">
        <w:rPr>
          <w:rFonts w:ascii="Arial" w:hAnsi="Arial" w:cs="Arial"/>
          <w:b/>
        </w:rPr>
        <w:t>Regression Analysis</w:t>
      </w:r>
      <w:bookmarkEnd w:id="80"/>
    </w:p>
    <w:p w14:paraId="089217B8" w14:textId="5D95E9C1" w:rsidR="008D0B71" w:rsidRPr="008D0B71" w:rsidRDefault="001B1F36" w:rsidP="001B1F36">
      <w:pPr>
        <w:spacing w:line="360" w:lineRule="auto"/>
        <w:jc w:val="both"/>
        <w:rPr>
          <w:rFonts w:ascii="Arial" w:hAnsi="Arial" w:cs="Arial"/>
          <w:bCs/>
        </w:rPr>
      </w:pPr>
      <w:r>
        <w:rPr>
          <w:rFonts w:ascii="Arial" w:hAnsi="Arial" w:cs="Arial"/>
          <w:lang w:val="en-US"/>
        </w:rPr>
        <w:t xml:space="preserve">     </w:t>
      </w:r>
      <w:r w:rsidRPr="001B1F36">
        <w:rPr>
          <w:rFonts w:ascii="Arial" w:hAnsi="Arial" w:cs="Arial"/>
          <w:lang w:val="en-US"/>
        </w:rPr>
        <w:t xml:space="preserve">Regression analysis is used to describe the relationship between two or more </w:t>
      </w:r>
      <w:r w:rsidR="00B9653B" w:rsidRPr="001B1F36">
        <w:rPr>
          <w:rFonts w:ascii="Arial" w:hAnsi="Arial" w:cs="Arial"/>
          <w:lang w:val="en-US"/>
        </w:rPr>
        <w:t>variables (</w:t>
      </w:r>
      <w:r w:rsidRPr="001B1F36">
        <w:rPr>
          <w:rFonts w:ascii="Arial" w:hAnsi="Arial" w:cs="Arial"/>
          <w:lang w:val="en-US"/>
        </w:rPr>
        <w:t>Alan, 2019). In this study, the regression analysis used to measure the relationship between liquidity, profitability, bank size, and deposits.</w:t>
      </w:r>
      <w:r w:rsidR="00B9653B">
        <w:rPr>
          <w:rFonts w:ascii="Arial" w:hAnsi="Arial" w:cs="Arial"/>
          <w:lang w:val="en-US"/>
        </w:rPr>
        <w:t xml:space="preserve"> In order to compare the liquidity risk management between conventional and Islamic banks</w:t>
      </w:r>
      <w:r w:rsidR="00164BE4">
        <w:rPr>
          <w:rFonts w:ascii="Arial" w:hAnsi="Arial" w:cs="Arial"/>
          <w:lang w:val="en-US"/>
        </w:rPr>
        <w:t>.</w:t>
      </w:r>
      <w:r w:rsidR="00A603E1">
        <w:rPr>
          <w:rFonts w:ascii="Arial" w:hAnsi="Arial" w:cs="Arial"/>
          <w:lang w:val="en-US"/>
        </w:rPr>
        <w:t xml:space="preserve"> </w:t>
      </w:r>
      <w:r w:rsidR="00A603E1" w:rsidRPr="00A603E1">
        <w:rPr>
          <w:rFonts w:ascii="Arial" w:hAnsi="Arial" w:cs="Arial"/>
          <w:lang w:val="en-US"/>
        </w:rPr>
        <w:t>R squared explains the percentage change in response variables.</w:t>
      </w:r>
      <w:r w:rsidR="00164BE4">
        <w:rPr>
          <w:rFonts w:ascii="Arial" w:hAnsi="Arial" w:cs="Arial"/>
          <w:lang w:val="en-US"/>
        </w:rPr>
        <w:t xml:space="preserve"> </w:t>
      </w:r>
      <w:r w:rsidR="00164BE4" w:rsidRPr="00164BE4">
        <w:rPr>
          <w:rFonts w:ascii="Arial" w:hAnsi="Arial" w:cs="Arial"/>
          <w:lang w:val="en-US"/>
        </w:rPr>
        <w:t>Table 4.</w:t>
      </w:r>
      <w:r w:rsidR="008D0B71">
        <w:rPr>
          <w:rFonts w:ascii="Arial" w:hAnsi="Arial" w:cs="Arial"/>
          <w:lang w:val="en-US"/>
        </w:rPr>
        <w:t>6</w:t>
      </w:r>
      <w:r w:rsidR="00164BE4" w:rsidRPr="00164BE4">
        <w:rPr>
          <w:rFonts w:ascii="Arial" w:hAnsi="Arial" w:cs="Arial"/>
          <w:lang w:val="en-US"/>
        </w:rPr>
        <w:t xml:space="preserve"> shows the R square which was the result tells us the percent variation in the vales of the dependent variables explained by the independent variables. The results obtained from SPSS output that </w:t>
      </w:r>
      <m:oMath>
        <m:sSup>
          <m:sSupPr>
            <m:ctrlPr>
              <w:rPr>
                <w:rFonts w:ascii="Cambria Math" w:hAnsi="Cambria Math" w:cs="Arial"/>
                <w:bCs/>
              </w:rPr>
            </m:ctrlPr>
          </m:sSupPr>
          <m:e>
            <m:r>
              <w:rPr>
                <w:rFonts w:ascii="Cambria Math" w:hAnsi="Cambria Math" w:cs="Arial"/>
              </w:rPr>
              <m:t>R</m:t>
            </m:r>
          </m:e>
          <m:sup>
            <m:r>
              <w:rPr>
                <w:rFonts w:ascii="Cambria Math" w:hAnsi="Cambria Math" w:cs="Arial"/>
              </w:rPr>
              <m:t>2</m:t>
            </m:r>
          </m:sup>
        </m:sSup>
      </m:oMath>
      <w:r w:rsidR="00B74F07" w:rsidRPr="00B74F07">
        <w:rPr>
          <w:rFonts w:ascii="Arial" w:hAnsi="Arial" w:cs="Arial"/>
          <w:bCs/>
        </w:rPr>
        <w:t>=</w:t>
      </w:r>
      <w:r w:rsidR="00B74F07">
        <w:rPr>
          <w:rFonts w:ascii="Arial" w:hAnsi="Arial" w:cs="Arial"/>
          <w:bCs/>
        </w:rPr>
        <w:t xml:space="preserve">0.074 for conventional banks, meaning about 7.4% of variation in liquidity is explained by </w:t>
      </w:r>
      <w:r w:rsidR="00B74F07" w:rsidRPr="00164BE4">
        <w:rPr>
          <w:rFonts w:ascii="Arial" w:hAnsi="Arial" w:cs="Arial"/>
          <w:lang w:val="en-US"/>
        </w:rPr>
        <w:t>profitability, bank size, deposits</w:t>
      </w:r>
      <w:r w:rsidR="00B74F07">
        <w:rPr>
          <w:rFonts w:ascii="Arial" w:hAnsi="Arial" w:cs="Arial"/>
          <w:lang w:val="en-US"/>
        </w:rPr>
        <w:t xml:space="preserve"> in </w:t>
      </w:r>
      <w:r w:rsidR="00B74F07">
        <w:rPr>
          <w:rFonts w:ascii="Arial" w:hAnsi="Arial" w:cs="Arial"/>
          <w:bCs/>
        </w:rPr>
        <w:t xml:space="preserve">conventional banks. And </w:t>
      </w:r>
      <m:oMath>
        <m:sSup>
          <m:sSupPr>
            <m:ctrlPr>
              <w:rPr>
                <w:rFonts w:ascii="Cambria Math" w:hAnsi="Cambria Math" w:cs="Arial"/>
                <w:bCs/>
              </w:rPr>
            </m:ctrlPr>
          </m:sSupPr>
          <m:e>
            <m:r>
              <w:rPr>
                <w:rFonts w:ascii="Cambria Math" w:hAnsi="Cambria Math" w:cs="Arial"/>
              </w:rPr>
              <m:t>R</m:t>
            </m:r>
          </m:e>
          <m:sup>
            <m:r>
              <w:rPr>
                <w:rFonts w:ascii="Cambria Math" w:hAnsi="Cambria Math" w:cs="Arial"/>
              </w:rPr>
              <m:t>2</m:t>
            </m:r>
          </m:sup>
        </m:sSup>
      </m:oMath>
      <w:r w:rsidR="00B74F07" w:rsidRPr="00B74F07">
        <w:rPr>
          <w:rFonts w:ascii="Arial" w:hAnsi="Arial" w:cs="Arial"/>
          <w:bCs/>
        </w:rPr>
        <w:t>=</w:t>
      </w:r>
      <w:r w:rsidR="00B74F07">
        <w:rPr>
          <w:rFonts w:ascii="Arial" w:hAnsi="Arial" w:cs="Arial"/>
          <w:bCs/>
        </w:rPr>
        <w:t xml:space="preserve">0.228 for Islamic banks, meaning about 22.8% of variation in liquidity </w:t>
      </w:r>
      <w:r w:rsidR="008D0B71">
        <w:rPr>
          <w:rFonts w:ascii="Arial" w:hAnsi="Arial" w:cs="Arial"/>
          <w:bCs/>
        </w:rPr>
        <w:t xml:space="preserve">is explained by </w:t>
      </w:r>
      <w:r w:rsidR="008D0B71" w:rsidRPr="00164BE4">
        <w:rPr>
          <w:rFonts w:ascii="Arial" w:hAnsi="Arial" w:cs="Arial"/>
          <w:lang w:val="en-US"/>
        </w:rPr>
        <w:t>profitability, bank size, deposits</w:t>
      </w:r>
      <w:r w:rsidR="008D0B71">
        <w:rPr>
          <w:rFonts w:ascii="Arial" w:hAnsi="Arial" w:cs="Arial"/>
          <w:lang w:val="en-US"/>
        </w:rPr>
        <w:t xml:space="preserve"> in </w:t>
      </w:r>
      <w:r w:rsidR="008D0B71">
        <w:rPr>
          <w:rFonts w:ascii="Arial" w:hAnsi="Arial" w:cs="Arial"/>
          <w:bCs/>
          <w:lang w:val="en-US"/>
        </w:rPr>
        <w:t xml:space="preserve">Islamic </w:t>
      </w:r>
      <w:r w:rsidR="008D0B71">
        <w:rPr>
          <w:rFonts w:ascii="Arial" w:hAnsi="Arial" w:cs="Arial"/>
          <w:bCs/>
        </w:rPr>
        <w:t>banks.</w:t>
      </w:r>
    </w:p>
    <w:p w14:paraId="7A005A86" w14:textId="57C56B7C" w:rsidR="001463EA" w:rsidRPr="001463EA" w:rsidRDefault="001463EA" w:rsidP="001463EA">
      <w:pPr>
        <w:spacing w:after="480" w:line="360" w:lineRule="auto"/>
        <w:jc w:val="center"/>
        <w:rPr>
          <w:rFonts w:ascii="Arial" w:hAnsi="Arial" w:cs="Arial"/>
          <w:b/>
          <w:bCs/>
          <w:lang w:val="en-US"/>
        </w:rPr>
      </w:pPr>
      <w:r w:rsidRPr="00F25D65">
        <w:rPr>
          <w:rFonts w:ascii="Arial" w:hAnsi="Arial" w:cs="Arial"/>
          <w:b/>
          <w:bCs/>
        </w:rPr>
        <w:t>Table 4.</w:t>
      </w:r>
      <w:r w:rsidR="003E5C0F">
        <w:rPr>
          <w:rFonts w:ascii="Arial" w:hAnsi="Arial" w:cs="Arial"/>
          <w:b/>
          <w:bCs/>
        </w:rPr>
        <w:t>6</w:t>
      </w:r>
      <w:r w:rsidRPr="00F25D65">
        <w:rPr>
          <w:rFonts w:ascii="Arial" w:hAnsi="Arial" w:cs="Arial"/>
          <w:b/>
          <w:bCs/>
        </w:rPr>
        <w:t xml:space="preserve">: </w:t>
      </w:r>
      <w:r>
        <w:rPr>
          <w:rFonts w:ascii="Arial" w:hAnsi="Arial" w:cs="Arial"/>
          <w:b/>
          <w:bCs/>
        </w:rPr>
        <w:t>The C</w:t>
      </w:r>
      <w:r w:rsidRPr="001463EA">
        <w:rPr>
          <w:rFonts w:ascii="Arial" w:hAnsi="Arial" w:cs="Arial"/>
          <w:b/>
          <w:bCs/>
        </w:rPr>
        <w:t xml:space="preserve">oefficient of </w:t>
      </w:r>
      <w:r>
        <w:rPr>
          <w:rFonts w:ascii="Arial" w:hAnsi="Arial" w:cs="Arial"/>
          <w:b/>
          <w:bCs/>
        </w:rPr>
        <w:t>D</w:t>
      </w:r>
      <w:r w:rsidRPr="001463EA">
        <w:rPr>
          <w:rFonts w:ascii="Arial" w:hAnsi="Arial" w:cs="Arial"/>
          <w:b/>
          <w:bCs/>
        </w:rPr>
        <w:t>etermination(</w:t>
      </w:r>
      <m:oMath>
        <m:sSup>
          <m:sSupPr>
            <m:ctrlPr>
              <w:rPr>
                <w:rFonts w:ascii="Cambria Math" w:hAnsi="Cambria Math" w:cs="Arial"/>
                <w:b/>
              </w:rPr>
            </m:ctrlPr>
          </m:sSupPr>
          <m:e>
            <m:r>
              <m:rPr>
                <m:sty m:val="bi"/>
              </m:rPr>
              <w:rPr>
                <w:rFonts w:ascii="Cambria Math" w:hAnsi="Cambria Math" w:cs="Arial"/>
              </w:rPr>
              <m:t>R</m:t>
            </m:r>
          </m:e>
          <m:sup>
            <m:r>
              <m:rPr>
                <m:sty m:val="bi"/>
              </m:rPr>
              <w:rPr>
                <w:rFonts w:ascii="Cambria Math" w:hAnsi="Cambria Math" w:cs="Arial"/>
              </w:rPr>
              <m:t>2</m:t>
            </m:r>
          </m:sup>
        </m:sSup>
      </m:oMath>
      <w:r w:rsidRPr="00164BE4">
        <w:rPr>
          <w:rFonts w:ascii="Arial" w:hAnsi="Arial" w:cs="Arial"/>
          <w:b/>
        </w:rPr>
        <w:t>)</w:t>
      </w:r>
    </w:p>
    <w:tbl>
      <w:tblPr>
        <w:tblStyle w:val="GridTable3-Accent1"/>
        <w:tblW w:w="8647" w:type="dxa"/>
        <w:tblLook w:val="04A0" w:firstRow="1" w:lastRow="0" w:firstColumn="1" w:lastColumn="0" w:noHBand="0" w:noVBand="1"/>
      </w:tblPr>
      <w:tblGrid>
        <w:gridCol w:w="2435"/>
        <w:gridCol w:w="910"/>
        <w:gridCol w:w="1050"/>
        <w:gridCol w:w="1134"/>
        <w:gridCol w:w="1275"/>
        <w:gridCol w:w="1843"/>
      </w:tblGrid>
      <w:tr w:rsidR="001463EA" w:rsidRPr="001463EA" w14:paraId="797469C2" w14:textId="77777777" w:rsidTr="008D0B71">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8647" w:type="dxa"/>
            <w:gridSpan w:val="6"/>
            <w:noWrap/>
            <w:hideMark/>
          </w:tcPr>
          <w:p w14:paraId="74D0630A" w14:textId="77777777" w:rsidR="001463EA" w:rsidRPr="00A603E1" w:rsidRDefault="001463EA">
            <w:pPr>
              <w:jc w:val="center"/>
              <w:rPr>
                <w:rFonts w:ascii="Arial" w:hAnsi="Arial" w:cs="Arial"/>
                <w:color w:val="000000"/>
              </w:rPr>
            </w:pPr>
            <w:r w:rsidRPr="00A603E1">
              <w:rPr>
                <w:rFonts w:ascii="Arial" w:hAnsi="Arial" w:cs="Arial"/>
                <w:color w:val="000000"/>
              </w:rPr>
              <w:t>Model Summary</w:t>
            </w:r>
          </w:p>
        </w:tc>
      </w:tr>
      <w:tr w:rsidR="001463EA" w:rsidRPr="001463EA" w14:paraId="7D842943" w14:textId="77777777" w:rsidTr="008D0B71">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435" w:type="dxa"/>
            <w:noWrap/>
            <w:hideMark/>
          </w:tcPr>
          <w:p w14:paraId="46D00863" w14:textId="77777777" w:rsidR="001463EA" w:rsidRDefault="001463EA">
            <w:pPr>
              <w:rPr>
                <w:rFonts w:ascii="Arial" w:hAnsi="Arial" w:cs="Arial"/>
                <w:color w:val="000000"/>
              </w:rPr>
            </w:pPr>
          </w:p>
          <w:p w14:paraId="020A2819" w14:textId="0AC51C01" w:rsidR="001463EA" w:rsidRPr="001463EA" w:rsidRDefault="001463EA">
            <w:pPr>
              <w:rPr>
                <w:rFonts w:ascii="Arial" w:hAnsi="Arial" w:cs="Arial"/>
                <w:b/>
                <w:bCs/>
                <w:color w:val="000000"/>
              </w:rPr>
            </w:pPr>
            <w:r w:rsidRPr="001463EA">
              <w:rPr>
                <w:rFonts w:ascii="Arial" w:hAnsi="Arial" w:cs="Arial"/>
                <w:b/>
                <w:bCs/>
                <w:color w:val="000000"/>
              </w:rPr>
              <w:t>Types of the Bank</w:t>
            </w:r>
          </w:p>
        </w:tc>
        <w:tc>
          <w:tcPr>
            <w:tcW w:w="910" w:type="dxa"/>
            <w:hideMark/>
          </w:tcPr>
          <w:p w14:paraId="373BEDF7" w14:textId="77777777" w:rsid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5AB0FADB" w14:textId="35DE9662" w:rsidR="001463EA" w:rsidRP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1463EA">
              <w:rPr>
                <w:rFonts w:ascii="Arial" w:hAnsi="Arial" w:cs="Arial"/>
                <w:b/>
                <w:bCs/>
                <w:color w:val="000000"/>
              </w:rPr>
              <w:t>Model</w:t>
            </w:r>
          </w:p>
        </w:tc>
        <w:tc>
          <w:tcPr>
            <w:tcW w:w="1050" w:type="dxa"/>
            <w:hideMark/>
          </w:tcPr>
          <w:p w14:paraId="523F2EC5" w14:textId="77777777" w:rsid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5294911B" w14:textId="1124F7B2" w:rsidR="001463EA" w:rsidRP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1463EA">
              <w:rPr>
                <w:rFonts w:ascii="Arial" w:hAnsi="Arial" w:cs="Arial"/>
                <w:b/>
                <w:bCs/>
                <w:color w:val="000000"/>
              </w:rPr>
              <w:t>R</w:t>
            </w:r>
          </w:p>
        </w:tc>
        <w:tc>
          <w:tcPr>
            <w:tcW w:w="1134" w:type="dxa"/>
            <w:hideMark/>
          </w:tcPr>
          <w:p w14:paraId="5056CF7E" w14:textId="77777777" w:rsid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288F98B8" w14:textId="5CF223DD" w:rsidR="001463EA" w:rsidRP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1463EA">
              <w:rPr>
                <w:rFonts w:ascii="Arial" w:hAnsi="Arial" w:cs="Arial"/>
                <w:b/>
                <w:bCs/>
                <w:color w:val="000000"/>
              </w:rPr>
              <w:t>R Square</w:t>
            </w:r>
          </w:p>
        </w:tc>
        <w:tc>
          <w:tcPr>
            <w:tcW w:w="1275" w:type="dxa"/>
            <w:hideMark/>
          </w:tcPr>
          <w:p w14:paraId="48E15DC4" w14:textId="77777777" w:rsid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27E29181" w14:textId="2D62F86E" w:rsidR="001463EA" w:rsidRP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1463EA">
              <w:rPr>
                <w:rFonts w:ascii="Arial" w:hAnsi="Arial" w:cs="Arial"/>
                <w:b/>
                <w:bCs/>
                <w:color w:val="000000"/>
              </w:rPr>
              <w:t>Adjusted R Square</w:t>
            </w:r>
          </w:p>
        </w:tc>
        <w:tc>
          <w:tcPr>
            <w:tcW w:w="1843" w:type="dxa"/>
            <w:hideMark/>
          </w:tcPr>
          <w:p w14:paraId="39F4C05B" w14:textId="77777777" w:rsidR="001463EA" w:rsidRP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1463EA">
              <w:rPr>
                <w:rFonts w:ascii="Arial" w:hAnsi="Arial" w:cs="Arial"/>
                <w:b/>
                <w:bCs/>
                <w:color w:val="000000"/>
              </w:rPr>
              <w:t>Std. Error of the Estimate</w:t>
            </w:r>
          </w:p>
        </w:tc>
      </w:tr>
      <w:tr w:rsidR="001463EA" w:rsidRPr="001463EA" w14:paraId="6B892C6B" w14:textId="77777777" w:rsidTr="008D0B71">
        <w:trPr>
          <w:trHeight w:val="528"/>
        </w:trPr>
        <w:tc>
          <w:tcPr>
            <w:cnfStyle w:val="001000000000" w:firstRow="0" w:lastRow="0" w:firstColumn="1" w:lastColumn="0" w:oddVBand="0" w:evenVBand="0" w:oddHBand="0" w:evenHBand="0" w:firstRowFirstColumn="0" w:firstRowLastColumn="0" w:lastRowFirstColumn="0" w:lastRowLastColumn="0"/>
            <w:tcW w:w="2435" w:type="dxa"/>
            <w:noWrap/>
            <w:hideMark/>
          </w:tcPr>
          <w:p w14:paraId="25819FAB" w14:textId="77777777" w:rsidR="001463EA" w:rsidRDefault="001463EA">
            <w:pPr>
              <w:rPr>
                <w:rFonts w:ascii="Arial" w:hAnsi="Arial" w:cs="Arial"/>
                <w:color w:val="000000"/>
              </w:rPr>
            </w:pPr>
          </w:p>
          <w:p w14:paraId="522FF71C" w14:textId="2CF3F16D" w:rsidR="001463EA" w:rsidRPr="001463EA" w:rsidRDefault="001463EA">
            <w:pPr>
              <w:rPr>
                <w:rFonts w:ascii="Arial" w:hAnsi="Arial" w:cs="Arial"/>
                <w:b/>
                <w:bCs/>
                <w:color w:val="000000"/>
              </w:rPr>
            </w:pPr>
            <w:r w:rsidRPr="001463EA">
              <w:rPr>
                <w:rFonts w:ascii="Arial" w:hAnsi="Arial" w:cs="Arial"/>
                <w:b/>
                <w:bCs/>
                <w:color w:val="000000"/>
              </w:rPr>
              <w:t>Conventional Banks</w:t>
            </w:r>
          </w:p>
        </w:tc>
        <w:tc>
          <w:tcPr>
            <w:tcW w:w="910" w:type="dxa"/>
            <w:noWrap/>
            <w:hideMark/>
          </w:tcPr>
          <w:p w14:paraId="384E3FD7" w14:textId="77777777" w:rsidR="001463EA" w:rsidRDefault="001463E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1527CC1C" w14:textId="1ECCF7E1" w:rsidR="001463EA" w:rsidRPr="001463EA" w:rsidRDefault="001463E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63EA">
              <w:rPr>
                <w:rFonts w:ascii="Arial" w:hAnsi="Arial" w:cs="Arial"/>
                <w:color w:val="000000"/>
              </w:rPr>
              <w:t>1</w:t>
            </w:r>
          </w:p>
        </w:tc>
        <w:tc>
          <w:tcPr>
            <w:tcW w:w="1050" w:type="dxa"/>
            <w:noWrap/>
            <w:hideMark/>
          </w:tcPr>
          <w:p w14:paraId="245126AC" w14:textId="77777777" w:rsidR="001463EA" w:rsidRDefault="001463E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32CE06F8" w14:textId="38761003" w:rsidR="001463EA" w:rsidRPr="001463EA" w:rsidRDefault="001463E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63EA">
              <w:rPr>
                <w:rFonts w:ascii="Arial" w:hAnsi="Arial" w:cs="Arial"/>
                <w:color w:val="000000"/>
              </w:rPr>
              <w:t>0.272</w:t>
            </w:r>
          </w:p>
        </w:tc>
        <w:tc>
          <w:tcPr>
            <w:tcW w:w="1134" w:type="dxa"/>
            <w:noWrap/>
            <w:hideMark/>
          </w:tcPr>
          <w:p w14:paraId="7733BF86" w14:textId="77777777" w:rsidR="001463EA" w:rsidRDefault="001463E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24EE25CC" w14:textId="58455752" w:rsidR="001463EA" w:rsidRPr="001463EA" w:rsidRDefault="001463E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63EA">
              <w:rPr>
                <w:rFonts w:ascii="Arial" w:hAnsi="Arial" w:cs="Arial"/>
                <w:color w:val="000000"/>
              </w:rPr>
              <w:t>0.074</w:t>
            </w:r>
          </w:p>
        </w:tc>
        <w:tc>
          <w:tcPr>
            <w:tcW w:w="1275" w:type="dxa"/>
            <w:noWrap/>
            <w:hideMark/>
          </w:tcPr>
          <w:p w14:paraId="2B9E0D20" w14:textId="77777777" w:rsidR="001463EA" w:rsidRDefault="001463E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5F2CC472" w14:textId="1747769C" w:rsidR="001463EA" w:rsidRPr="001463EA" w:rsidRDefault="001463E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63EA">
              <w:rPr>
                <w:rFonts w:ascii="Arial" w:hAnsi="Arial" w:cs="Arial"/>
                <w:color w:val="000000"/>
              </w:rPr>
              <w:t>-0.178</w:t>
            </w:r>
          </w:p>
        </w:tc>
        <w:tc>
          <w:tcPr>
            <w:tcW w:w="1843" w:type="dxa"/>
            <w:noWrap/>
            <w:hideMark/>
          </w:tcPr>
          <w:p w14:paraId="2BFCA35A" w14:textId="77777777" w:rsidR="001463EA" w:rsidRDefault="001463E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5379323D" w14:textId="696A3EEB" w:rsidR="001463EA" w:rsidRPr="001463EA" w:rsidRDefault="001463E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463EA">
              <w:rPr>
                <w:rFonts w:ascii="Arial" w:hAnsi="Arial" w:cs="Arial"/>
                <w:color w:val="000000"/>
              </w:rPr>
              <w:t>0.03229</w:t>
            </w:r>
          </w:p>
        </w:tc>
      </w:tr>
      <w:tr w:rsidR="001463EA" w:rsidRPr="001463EA" w14:paraId="148B92C7" w14:textId="77777777" w:rsidTr="008D0B7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435" w:type="dxa"/>
            <w:noWrap/>
            <w:hideMark/>
          </w:tcPr>
          <w:p w14:paraId="6EC15ACB" w14:textId="77777777" w:rsidR="001463EA" w:rsidRDefault="001463EA">
            <w:pPr>
              <w:rPr>
                <w:rFonts w:ascii="Arial" w:hAnsi="Arial" w:cs="Arial"/>
                <w:color w:val="000000"/>
              </w:rPr>
            </w:pPr>
          </w:p>
          <w:p w14:paraId="0879F20C" w14:textId="78D71804" w:rsidR="001463EA" w:rsidRPr="001463EA" w:rsidRDefault="001463EA">
            <w:pPr>
              <w:rPr>
                <w:rFonts w:ascii="Arial" w:hAnsi="Arial" w:cs="Arial"/>
                <w:color w:val="000000"/>
              </w:rPr>
            </w:pPr>
            <w:r w:rsidRPr="001463EA">
              <w:rPr>
                <w:rFonts w:ascii="Arial" w:hAnsi="Arial" w:cs="Arial"/>
                <w:b/>
                <w:bCs/>
                <w:color w:val="000000"/>
              </w:rPr>
              <w:t>Islamic Banks</w:t>
            </w:r>
          </w:p>
        </w:tc>
        <w:tc>
          <w:tcPr>
            <w:tcW w:w="910" w:type="dxa"/>
            <w:noWrap/>
            <w:hideMark/>
          </w:tcPr>
          <w:p w14:paraId="3496F8A1" w14:textId="77777777" w:rsid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9475C7F" w14:textId="3754358B" w:rsidR="001463EA" w:rsidRP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63EA">
              <w:rPr>
                <w:rFonts w:ascii="Arial" w:hAnsi="Arial" w:cs="Arial"/>
                <w:color w:val="000000"/>
              </w:rPr>
              <w:t>1</w:t>
            </w:r>
          </w:p>
        </w:tc>
        <w:tc>
          <w:tcPr>
            <w:tcW w:w="1050" w:type="dxa"/>
            <w:noWrap/>
            <w:hideMark/>
          </w:tcPr>
          <w:p w14:paraId="20D570C7" w14:textId="77777777" w:rsid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1B45F6F" w14:textId="67B188AE" w:rsidR="001463EA" w:rsidRP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63EA">
              <w:rPr>
                <w:rFonts w:ascii="Arial" w:hAnsi="Arial" w:cs="Arial"/>
                <w:color w:val="000000"/>
              </w:rPr>
              <w:t>0.478</w:t>
            </w:r>
          </w:p>
        </w:tc>
        <w:tc>
          <w:tcPr>
            <w:tcW w:w="1134" w:type="dxa"/>
            <w:noWrap/>
            <w:hideMark/>
          </w:tcPr>
          <w:p w14:paraId="2FFBBDEA" w14:textId="77777777" w:rsid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FBE035D" w14:textId="62AA07D7" w:rsidR="001463EA" w:rsidRP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63EA">
              <w:rPr>
                <w:rFonts w:ascii="Arial" w:hAnsi="Arial" w:cs="Arial"/>
                <w:color w:val="000000"/>
              </w:rPr>
              <w:t>0.228</w:t>
            </w:r>
          </w:p>
        </w:tc>
        <w:tc>
          <w:tcPr>
            <w:tcW w:w="1275" w:type="dxa"/>
            <w:noWrap/>
            <w:hideMark/>
          </w:tcPr>
          <w:p w14:paraId="6DEAC590" w14:textId="77777777" w:rsid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793B8B1" w14:textId="480B2081" w:rsidR="001463EA" w:rsidRP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63EA">
              <w:rPr>
                <w:rFonts w:ascii="Arial" w:hAnsi="Arial" w:cs="Arial"/>
                <w:color w:val="000000"/>
              </w:rPr>
              <w:t>0.018</w:t>
            </w:r>
          </w:p>
        </w:tc>
        <w:tc>
          <w:tcPr>
            <w:tcW w:w="1843" w:type="dxa"/>
            <w:noWrap/>
            <w:hideMark/>
          </w:tcPr>
          <w:p w14:paraId="02A32690" w14:textId="77777777" w:rsid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92110BA" w14:textId="16136F57" w:rsidR="001463EA" w:rsidRPr="001463EA" w:rsidRDefault="001463E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463EA">
              <w:rPr>
                <w:rFonts w:ascii="Arial" w:hAnsi="Arial" w:cs="Arial"/>
                <w:color w:val="000000"/>
              </w:rPr>
              <w:t>0.01561</w:t>
            </w:r>
          </w:p>
        </w:tc>
      </w:tr>
    </w:tbl>
    <w:p w14:paraId="3CBD1C4A" w14:textId="1E9D1897" w:rsidR="002D5816" w:rsidRPr="00B74F07" w:rsidRDefault="00B74F07" w:rsidP="00B74F07">
      <w:pPr>
        <w:pStyle w:val="ListParagraph"/>
        <w:numPr>
          <w:ilvl w:val="0"/>
          <w:numId w:val="18"/>
        </w:numPr>
        <w:spacing w:line="360" w:lineRule="auto"/>
        <w:rPr>
          <w:rFonts w:ascii="Arial" w:hAnsi="Arial" w:cs="Arial"/>
        </w:rPr>
      </w:pPr>
      <w:r w:rsidRPr="00B74F07">
        <w:rPr>
          <w:rFonts w:ascii="Arial" w:hAnsi="Arial" w:cs="Arial"/>
        </w:rPr>
        <w:t>Predicts: ROA, Bank Size, Deposits</w:t>
      </w:r>
    </w:p>
    <w:p w14:paraId="4E9F7E9E" w14:textId="5A2B096A" w:rsidR="00B74F07" w:rsidRPr="00A603E1" w:rsidRDefault="00B74F07" w:rsidP="00B74F07">
      <w:pPr>
        <w:pStyle w:val="ListParagraph"/>
        <w:numPr>
          <w:ilvl w:val="0"/>
          <w:numId w:val="18"/>
        </w:numPr>
        <w:spacing w:line="360" w:lineRule="auto"/>
        <w:rPr>
          <w:rFonts w:ascii="Arial" w:hAnsi="Arial" w:cs="Arial"/>
        </w:rPr>
      </w:pPr>
      <w:r w:rsidRPr="00B74F07">
        <w:rPr>
          <w:rFonts w:ascii="Arial" w:hAnsi="Arial" w:cs="Arial"/>
        </w:rPr>
        <w:t>Dependent Variable:</w:t>
      </w:r>
      <w:r>
        <w:rPr>
          <w:rFonts w:ascii="Arial" w:hAnsi="Arial" w:cs="Arial"/>
        </w:rPr>
        <w:t xml:space="preserve"> Liquidity</w:t>
      </w:r>
    </w:p>
    <w:p w14:paraId="1E38D3DC" w14:textId="54CFDC1A" w:rsidR="005C604D" w:rsidRDefault="00A603E1" w:rsidP="00A603E1">
      <w:pPr>
        <w:spacing w:line="360" w:lineRule="auto"/>
        <w:jc w:val="both"/>
        <w:rPr>
          <w:rFonts w:ascii="Arial" w:hAnsi="Arial" w:cs="Arial"/>
          <w:bCs/>
        </w:rPr>
      </w:pPr>
      <w:r>
        <w:rPr>
          <w:rFonts w:ascii="Arial" w:hAnsi="Arial" w:cs="Arial"/>
          <w:bCs/>
          <w:lang w:val="en-US"/>
        </w:rPr>
        <w:lastRenderedPageBreak/>
        <w:t xml:space="preserve">Thus, the Islamic </w:t>
      </w:r>
      <w:r>
        <w:rPr>
          <w:rFonts w:ascii="Arial" w:hAnsi="Arial" w:cs="Arial"/>
          <w:bCs/>
        </w:rPr>
        <w:t>banks had a better variable to predict liquidity ratio compare to conventional banks.</w:t>
      </w:r>
    </w:p>
    <w:p w14:paraId="226EC012" w14:textId="42EC2ECB" w:rsidR="008C6FEE" w:rsidRDefault="008C6FEE" w:rsidP="00A603E1">
      <w:pPr>
        <w:spacing w:line="360" w:lineRule="auto"/>
        <w:jc w:val="both"/>
      </w:pPr>
    </w:p>
    <w:p w14:paraId="1D214B1C" w14:textId="47346F00" w:rsidR="008C6FEE" w:rsidRDefault="000D3824" w:rsidP="00A603E1">
      <w:pPr>
        <w:spacing w:line="360" w:lineRule="auto"/>
        <w:jc w:val="both"/>
        <w:rPr>
          <w:rFonts w:ascii="Arial" w:hAnsi="Arial" w:cs="Arial"/>
        </w:rPr>
      </w:pPr>
      <w:r>
        <w:rPr>
          <w:rFonts w:ascii="Arial" w:hAnsi="Arial" w:cs="Arial"/>
        </w:rPr>
        <w:t xml:space="preserve">      </w:t>
      </w:r>
      <w:r w:rsidR="008C6FEE" w:rsidRPr="008C6FEE">
        <w:rPr>
          <w:rFonts w:ascii="Arial" w:hAnsi="Arial" w:cs="Arial"/>
        </w:rPr>
        <w:t>In general, the conventional banks' analysis yielded a significant model with an F value of 0.293 and significant at the 0.01 level. The derived model is:</w:t>
      </w:r>
    </w:p>
    <w:p w14:paraId="5CF4724E" w14:textId="77777777" w:rsidR="008C6FEE" w:rsidRPr="008C6FEE" w:rsidRDefault="008C6FEE" w:rsidP="00A603E1">
      <w:pPr>
        <w:spacing w:line="360" w:lineRule="auto"/>
        <w:jc w:val="both"/>
        <w:rPr>
          <w:rFonts w:ascii="Arial" w:hAnsi="Arial" w:cs="Arial"/>
        </w:rPr>
      </w:pPr>
    </w:p>
    <w:p w14:paraId="273E747C" w14:textId="01C7C853" w:rsidR="008C6FEE" w:rsidRPr="000D3824" w:rsidRDefault="008C6FEE" w:rsidP="008C6FEE">
      <w:pPr>
        <w:spacing w:line="360" w:lineRule="auto"/>
        <w:jc w:val="both"/>
        <w:rPr>
          <w:rFonts w:ascii="Arial" w:hAnsi="Arial" w:cs="Arial"/>
          <w:i/>
          <w:iCs/>
          <w:lang w:val="en-US"/>
        </w:rPr>
      </w:pPr>
      <w:r w:rsidRPr="008C6FEE">
        <w:rPr>
          <w:rFonts w:ascii="Arial" w:hAnsi="Arial" w:cs="Arial"/>
          <w:i/>
          <w:iCs/>
          <w:lang w:val="en-US"/>
        </w:rPr>
        <w:t>Liquidity Risk Management=-0.710*Profitability-0.002*Bank Size-0.028*Deposits</w:t>
      </w:r>
    </w:p>
    <w:p w14:paraId="685CD7D7" w14:textId="77777777" w:rsidR="008C6FEE" w:rsidRPr="008C6FEE" w:rsidRDefault="008C6FEE" w:rsidP="008C6FEE">
      <w:pPr>
        <w:spacing w:line="360" w:lineRule="auto"/>
        <w:jc w:val="both"/>
        <w:rPr>
          <w:rFonts w:ascii="Arial" w:hAnsi="Arial" w:cs="Arial"/>
        </w:rPr>
      </w:pPr>
    </w:p>
    <w:p w14:paraId="6985518A" w14:textId="3691681D" w:rsidR="008C6FEE" w:rsidRPr="008C6FEE" w:rsidRDefault="008C6FEE" w:rsidP="008C6FEE">
      <w:pPr>
        <w:spacing w:line="360" w:lineRule="auto"/>
        <w:jc w:val="both"/>
        <w:rPr>
          <w:rFonts w:ascii="Arial" w:hAnsi="Arial" w:cs="Arial"/>
        </w:rPr>
      </w:pPr>
      <w:r w:rsidRPr="008C6FEE">
        <w:rPr>
          <w:rFonts w:ascii="Arial" w:hAnsi="Arial" w:cs="Arial"/>
        </w:rPr>
        <w:t>And the Islamic banks analysis yielded a significant model with an F value of 1.084 and significant at the 0.01 level. The derived model is:</w:t>
      </w:r>
    </w:p>
    <w:p w14:paraId="087168A2" w14:textId="77777777" w:rsidR="008C6FEE" w:rsidRDefault="008C6FEE" w:rsidP="008C6FEE">
      <w:pPr>
        <w:spacing w:line="360" w:lineRule="auto"/>
        <w:jc w:val="both"/>
      </w:pPr>
      <w:r>
        <w:t xml:space="preserve"> </w:t>
      </w:r>
    </w:p>
    <w:p w14:paraId="432C65BF" w14:textId="48B5FB2A" w:rsidR="008C6FEE" w:rsidRPr="008C6FEE" w:rsidRDefault="008C6FEE" w:rsidP="008C6FEE">
      <w:pPr>
        <w:spacing w:line="360" w:lineRule="auto"/>
        <w:jc w:val="center"/>
        <w:rPr>
          <w:rFonts w:ascii="Arial" w:hAnsi="Arial" w:cs="Arial"/>
          <w:i/>
          <w:iCs/>
        </w:rPr>
      </w:pPr>
      <w:r w:rsidRPr="008C6FEE">
        <w:rPr>
          <w:rFonts w:ascii="Arial" w:hAnsi="Arial" w:cs="Arial"/>
          <w:i/>
          <w:iCs/>
          <w:lang w:val="en-US"/>
        </w:rPr>
        <w:t>Liquidity Risk Management=-0.827*Profitability+0.004*Bank Size+0.051*Deposits</w:t>
      </w:r>
    </w:p>
    <w:p w14:paraId="11FACE78" w14:textId="5DCF8717" w:rsidR="008C6FEE" w:rsidRDefault="008C6FEE" w:rsidP="00A603E1">
      <w:pPr>
        <w:spacing w:line="360" w:lineRule="auto"/>
        <w:jc w:val="both"/>
      </w:pPr>
    </w:p>
    <w:p w14:paraId="7D7E71B7" w14:textId="75B989CD" w:rsidR="008C6FEE" w:rsidRDefault="000D3824" w:rsidP="00A603E1">
      <w:pPr>
        <w:spacing w:line="360" w:lineRule="auto"/>
        <w:jc w:val="both"/>
      </w:pPr>
      <w:r w:rsidRPr="008C6FEE">
        <w:rPr>
          <w:rFonts w:ascii="Arial" w:hAnsi="Arial" w:cs="Arial"/>
          <w:lang w:val="en-US"/>
        </w:rPr>
        <w:t xml:space="preserve">Liquidity </w:t>
      </w:r>
      <w:r>
        <w:rPr>
          <w:rFonts w:ascii="Arial" w:hAnsi="Arial" w:cs="Arial"/>
          <w:lang w:val="en-US"/>
        </w:rPr>
        <w:t>ri</w:t>
      </w:r>
      <w:r w:rsidRPr="008C6FEE">
        <w:rPr>
          <w:rFonts w:ascii="Arial" w:hAnsi="Arial" w:cs="Arial"/>
          <w:lang w:val="en-US"/>
        </w:rPr>
        <w:t xml:space="preserve">sk </w:t>
      </w:r>
      <w:r>
        <w:rPr>
          <w:rFonts w:ascii="Arial" w:hAnsi="Arial" w:cs="Arial"/>
          <w:lang w:val="en-US"/>
        </w:rPr>
        <w:t>m</w:t>
      </w:r>
      <w:r w:rsidRPr="008C6FEE">
        <w:rPr>
          <w:rFonts w:ascii="Arial" w:hAnsi="Arial" w:cs="Arial"/>
          <w:lang w:val="en-US"/>
        </w:rPr>
        <w:t>anagement</w:t>
      </w:r>
      <w:r>
        <w:rPr>
          <w:rFonts w:ascii="Arial" w:hAnsi="Arial" w:cs="Arial"/>
          <w:lang w:val="en-US"/>
        </w:rPr>
        <w:t xml:space="preserve"> was found to be negative correlated with profitability, bank size, and deposits in conventional banks. In Islamic banks, l</w:t>
      </w:r>
      <w:r w:rsidRPr="008C6FEE">
        <w:rPr>
          <w:rFonts w:ascii="Arial" w:hAnsi="Arial" w:cs="Arial"/>
          <w:lang w:val="en-US"/>
        </w:rPr>
        <w:t xml:space="preserve">iquidity </w:t>
      </w:r>
      <w:r>
        <w:rPr>
          <w:rFonts w:ascii="Arial" w:hAnsi="Arial" w:cs="Arial"/>
          <w:lang w:val="en-US"/>
        </w:rPr>
        <w:t>r</w:t>
      </w:r>
      <w:r w:rsidRPr="008C6FEE">
        <w:rPr>
          <w:rFonts w:ascii="Arial" w:hAnsi="Arial" w:cs="Arial"/>
          <w:lang w:val="en-US"/>
        </w:rPr>
        <w:t xml:space="preserve">isk </w:t>
      </w:r>
      <w:r>
        <w:rPr>
          <w:rFonts w:ascii="Arial" w:hAnsi="Arial" w:cs="Arial"/>
          <w:lang w:val="en-US"/>
        </w:rPr>
        <w:t>m</w:t>
      </w:r>
      <w:r w:rsidRPr="008C6FEE">
        <w:rPr>
          <w:rFonts w:ascii="Arial" w:hAnsi="Arial" w:cs="Arial"/>
          <w:lang w:val="en-US"/>
        </w:rPr>
        <w:t>anagement</w:t>
      </w:r>
      <w:r>
        <w:rPr>
          <w:rFonts w:ascii="Arial" w:hAnsi="Arial" w:cs="Arial"/>
          <w:lang w:val="en-US"/>
        </w:rPr>
        <w:t xml:space="preserve"> was found to be positive correlated with profitability, bank size, and deposits</w:t>
      </w:r>
      <w:r w:rsidR="00AA6A8B">
        <w:rPr>
          <w:rFonts w:ascii="Arial" w:hAnsi="Arial" w:cs="Arial"/>
          <w:lang w:val="en-US"/>
        </w:rPr>
        <w:t>.</w:t>
      </w:r>
      <w:r w:rsidR="00AA6A8B" w:rsidRPr="00AA6A8B">
        <w:t xml:space="preserve"> </w:t>
      </w:r>
      <w:r w:rsidR="00AA6A8B" w:rsidRPr="00AA6A8B">
        <w:rPr>
          <w:rFonts w:ascii="Arial" w:hAnsi="Arial" w:cs="Arial"/>
          <w:lang w:val="en-US"/>
        </w:rPr>
        <w:t>however, the equation is not able to predict the liquidity risk condition of the conventional and Islamic banks at a statistically significant level.</w:t>
      </w:r>
    </w:p>
    <w:p w14:paraId="2A135A6E" w14:textId="693EF0C2" w:rsidR="008C6FEE" w:rsidRDefault="008C6FEE" w:rsidP="00A603E1">
      <w:pPr>
        <w:spacing w:line="360" w:lineRule="auto"/>
        <w:jc w:val="both"/>
      </w:pPr>
    </w:p>
    <w:p w14:paraId="61F69CA2" w14:textId="524E81E7" w:rsidR="007461FD" w:rsidRPr="00D408A4" w:rsidRDefault="00D408A4" w:rsidP="00D408A4">
      <w:pPr>
        <w:spacing w:line="360" w:lineRule="auto"/>
        <w:jc w:val="both"/>
        <w:rPr>
          <w:rFonts w:ascii="Arial" w:hAnsi="Arial" w:cs="Arial"/>
          <w:lang w:val="en-US"/>
        </w:rPr>
      </w:pPr>
      <w:r>
        <w:rPr>
          <w:rFonts w:ascii="Arial" w:hAnsi="Arial" w:cs="Arial"/>
          <w:lang w:val="en-US"/>
        </w:rPr>
        <w:t xml:space="preserve">      </w:t>
      </w:r>
      <w:r w:rsidRPr="00D408A4">
        <w:rPr>
          <w:rFonts w:ascii="Arial" w:hAnsi="Arial" w:cs="Arial"/>
          <w:lang w:val="en-US"/>
        </w:rPr>
        <w:t>Table 4.</w:t>
      </w:r>
      <w:r w:rsidR="008D0B71">
        <w:rPr>
          <w:rFonts w:ascii="Arial" w:hAnsi="Arial" w:cs="Arial"/>
          <w:lang w:val="en-US"/>
        </w:rPr>
        <w:t>7</w:t>
      </w:r>
      <w:r w:rsidRPr="00D408A4">
        <w:rPr>
          <w:rFonts w:ascii="Arial" w:hAnsi="Arial" w:cs="Arial"/>
          <w:lang w:val="en-US"/>
        </w:rPr>
        <w:t xml:space="preserve">shows the regressions coefficients of both conventional and Islamic banks. As we can see that there negative correlated between the dependent variable and independent variables. However, the profitability had the strongest relationship with liquidity compare to bank size and deposits. On the other hand, there are positively correlated between liquidity and profitability, bank size and deposits in </w:t>
      </w:r>
      <w:r w:rsidR="007461FD" w:rsidRPr="00D408A4">
        <w:rPr>
          <w:rFonts w:ascii="Arial" w:hAnsi="Arial" w:cs="Arial"/>
          <w:lang w:val="en-US"/>
        </w:rPr>
        <w:t>Islamic banks. Profitability also had the strongest relationship with liquidity compare to bank size and deposits.</w:t>
      </w:r>
      <w:r w:rsidR="007461FD">
        <w:rPr>
          <w:rFonts w:ascii="Arial" w:hAnsi="Arial" w:cs="Arial"/>
          <w:lang w:val="en-US"/>
        </w:rPr>
        <w:t xml:space="preserve"> As we can see the P-value for both banks were more than 0.05 which indicated these three variables did not have significant impact.</w:t>
      </w:r>
    </w:p>
    <w:p w14:paraId="07AE8626" w14:textId="77777777" w:rsidR="008D0B71" w:rsidRDefault="008D0B71" w:rsidP="002E7F58">
      <w:pPr>
        <w:spacing w:after="480" w:line="360" w:lineRule="auto"/>
        <w:jc w:val="center"/>
        <w:rPr>
          <w:rFonts w:ascii="Arial" w:hAnsi="Arial" w:cs="Arial"/>
          <w:b/>
          <w:bCs/>
        </w:rPr>
      </w:pPr>
    </w:p>
    <w:p w14:paraId="086E6F2D" w14:textId="77777777" w:rsidR="008D0B71" w:rsidRDefault="008D0B71" w:rsidP="002E7F58">
      <w:pPr>
        <w:spacing w:after="480" w:line="360" w:lineRule="auto"/>
        <w:jc w:val="center"/>
        <w:rPr>
          <w:rFonts w:ascii="Arial" w:hAnsi="Arial" w:cs="Arial"/>
          <w:b/>
          <w:bCs/>
        </w:rPr>
      </w:pPr>
    </w:p>
    <w:p w14:paraId="53FCEC17" w14:textId="4D5D1EAB" w:rsidR="005C604D" w:rsidRPr="002E7F58" w:rsidRDefault="002E7F58" w:rsidP="002E7F58">
      <w:pPr>
        <w:spacing w:after="480" w:line="360" w:lineRule="auto"/>
        <w:jc w:val="center"/>
        <w:rPr>
          <w:rFonts w:ascii="Arial" w:hAnsi="Arial" w:cs="Arial"/>
          <w:b/>
          <w:bCs/>
          <w:lang w:val="en-US"/>
        </w:rPr>
      </w:pPr>
      <w:r w:rsidRPr="00F25D65">
        <w:rPr>
          <w:rFonts w:ascii="Arial" w:hAnsi="Arial" w:cs="Arial"/>
          <w:b/>
          <w:bCs/>
        </w:rPr>
        <w:lastRenderedPageBreak/>
        <w:t>Table 4.</w:t>
      </w:r>
      <w:r w:rsidR="003E5C0F">
        <w:rPr>
          <w:rFonts w:ascii="Arial" w:hAnsi="Arial" w:cs="Arial"/>
          <w:b/>
          <w:bCs/>
        </w:rPr>
        <w:t>7</w:t>
      </w:r>
      <w:r w:rsidRPr="00F25D65">
        <w:rPr>
          <w:rFonts w:ascii="Arial" w:hAnsi="Arial" w:cs="Arial"/>
          <w:b/>
          <w:bCs/>
        </w:rPr>
        <w:t xml:space="preserve">: </w:t>
      </w:r>
      <w:r>
        <w:rPr>
          <w:rFonts w:ascii="Arial" w:hAnsi="Arial" w:cs="Arial"/>
          <w:b/>
          <w:bCs/>
        </w:rPr>
        <w:t xml:space="preserve">The </w:t>
      </w:r>
      <w:r w:rsidR="008C6FEE" w:rsidRPr="00A603E1">
        <w:rPr>
          <w:rFonts w:ascii="Arial" w:hAnsi="Arial" w:cs="Arial"/>
          <w:b/>
          <w:bCs/>
        </w:rPr>
        <w:t>Regression Coefficients</w:t>
      </w:r>
    </w:p>
    <w:tbl>
      <w:tblPr>
        <w:tblStyle w:val="PlainTable1"/>
        <w:tblW w:w="8642" w:type="dxa"/>
        <w:tblLook w:val="04A0" w:firstRow="1" w:lastRow="0" w:firstColumn="1" w:lastColumn="0" w:noHBand="0" w:noVBand="1"/>
      </w:tblPr>
      <w:tblGrid>
        <w:gridCol w:w="1696"/>
        <w:gridCol w:w="1457"/>
        <w:gridCol w:w="1095"/>
        <w:gridCol w:w="992"/>
        <w:gridCol w:w="1457"/>
        <w:gridCol w:w="830"/>
        <w:gridCol w:w="1115"/>
      </w:tblGrid>
      <w:tr w:rsidR="00A603E1" w:rsidRPr="00A603E1" w14:paraId="78A8E82C" w14:textId="77777777" w:rsidTr="008D0B71">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642" w:type="dxa"/>
            <w:gridSpan w:val="7"/>
            <w:noWrap/>
            <w:hideMark/>
          </w:tcPr>
          <w:p w14:paraId="6CA2E8A8" w14:textId="77777777" w:rsidR="002E7F58" w:rsidRDefault="002E7F58" w:rsidP="00A603E1">
            <w:pPr>
              <w:jc w:val="center"/>
              <w:rPr>
                <w:rFonts w:ascii="Arial" w:hAnsi="Arial" w:cs="Arial"/>
                <w:b w:val="0"/>
                <w:bCs w:val="0"/>
                <w:color w:val="000000"/>
                <w:sz w:val="28"/>
                <w:szCs w:val="28"/>
              </w:rPr>
            </w:pPr>
          </w:p>
          <w:p w14:paraId="03E4B964" w14:textId="2701017D" w:rsidR="00A603E1" w:rsidRPr="00A603E1" w:rsidRDefault="00A603E1" w:rsidP="00A603E1">
            <w:pPr>
              <w:jc w:val="center"/>
              <w:rPr>
                <w:rFonts w:ascii="Arial" w:hAnsi="Arial" w:cs="Arial"/>
                <w:color w:val="000000"/>
              </w:rPr>
            </w:pPr>
            <w:r w:rsidRPr="00A603E1">
              <w:rPr>
                <w:rFonts w:ascii="Arial" w:hAnsi="Arial" w:cs="Arial"/>
                <w:color w:val="000000"/>
                <w:sz w:val="28"/>
                <w:szCs w:val="28"/>
              </w:rPr>
              <w:t>Regression Coefficients</w:t>
            </w:r>
          </w:p>
        </w:tc>
      </w:tr>
      <w:tr w:rsidR="00D408A4" w:rsidRPr="00A603E1" w14:paraId="76719C9E" w14:textId="77777777" w:rsidTr="008D0B7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5240" w:type="dxa"/>
            <w:gridSpan w:val="4"/>
            <w:noWrap/>
            <w:hideMark/>
          </w:tcPr>
          <w:p w14:paraId="49290F45" w14:textId="77777777" w:rsidR="002E7F58" w:rsidRDefault="002E7F58" w:rsidP="00A603E1">
            <w:pPr>
              <w:jc w:val="center"/>
              <w:rPr>
                <w:rFonts w:ascii="Arial" w:hAnsi="Arial" w:cs="Arial"/>
                <w:b w:val="0"/>
                <w:bCs w:val="0"/>
                <w:color w:val="000000"/>
              </w:rPr>
            </w:pPr>
          </w:p>
          <w:p w14:paraId="02DFDEB1" w14:textId="40C4637A" w:rsidR="00A603E1" w:rsidRPr="00A603E1" w:rsidRDefault="00A603E1" w:rsidP="00A603E1">
            <w:pPr>
              <w:jc w:val="center"/>
              <w:rPr>
                <w:rFonts w:ascii="Arial" w:hAnsi="Arial" w:cs="Arial"/>
                <w:color w:val="000000"/>
              </w:rPr>
            </w:pPr>
            <w:r w:rsidRPr="00A603E1">
              <w:rPr>
                <w:rFonts w:ascii="Arial" w:hAnsi="Arial" w:cs="Arial"/>
                <w:color w:val="000000"/>
              </w:rPr>
              <w:t>Conventional Banks</w:t>
            </w:r>
          </w:p>
        </w:tc>
        <w:tc>
          <w:tcPr>
            <w:tcW w:w="3402" w:type="dxa"/>
            <w:gridSpan w:val="3"/>
            <w:noWrap/>
            <w:hideMark/>
          </w:tcPr>
          <w:p w14:paraId="54F4F97F"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616EE5C5" w14:textId="473B9CA3"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A603E1">
              <w:rPr>
                <w:rFonts w:ascii="Arial" w:hAnsi="Arial" w:cs="Arial"/>
                <w:b/>
                <w:bCs/>
                <w:color w:val="000000"/>
              </w:rPr>
              <w:t>Islamic Bank</w:t>
            </w:r>
          </w:p>
        </w:tc>
      </w:tr>
      <w:tr w:rsidR="00D408A4" w:rsidRPr="00A603E1" w14:paraId="58CF492D" w14:textId="77777777" w:rsidTr="008D0B71">
        <w:trPr>
          <w:trHeight w:val="35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9924D81" w14:textId="77777777" w:rsidR="002E7F58" w:rsidRDefault="002E7F58" w:rsidP="00A603E1">
            <w:pPr>
              <w:jc w:val="center"/>
              <w:rPr>
                <w:rFonts w:ascii="Arial" w:hAnsi="Arial" w:cs="Arial"/>
                <w:b w:val="0"/>
                <w:bCs w:val="0"/>
                <w:color w:val="000000"/>
              </w:rPr>
            </w:pPr>
          </w:p>
          <w:p w14:paraId="7F92595F" w14:textId="074E8007" w:rsidR="00A603E1" w:rsidRPr="00A603E1" w:rsidRDefault="00A603E1" w:rsidP="00A603E1">
            <w:pPr>
              <w:jc w:val="center"/>
              <w:rPr>
                <w:rFonts w:ascii="Arial" w:hAnsi="Arial" w:cs="Arial"/>
                <w:color w:val="000000"/>
              </w:rPr>
            </w:pPr>
            <w:r w:rsidRPr="00A603E1">
              <w:rPr>
                <w:rFonts w:ascii="Arial" w:hAnsi="Arial" w:cs="Arial"/>
                <w:color w:val="000000"/>
              </w:rPr>
              <w:t>Independent Variable</w:t>
            </w:r>
          </w:p>
        </w:tc>
        <w:tc>
          <w:tcPr>
            <w:tcW w:w="1457" w:type="dxa"/>
            <w:noWrap/>
            <w:hideMark/>
          </w:tcPr>
          <w:p w14:paraId="0AB24B77" w14:textId="77777777" w:rsidR="002E7F58" w:rsidRDefault="002E7F58"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2C7B9B02" w14:textId="551466A3"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A603E1">
              <w:rPr>
                <w:rFonts w:ascii="Arial" w:hAnsi="Arial" w:cs="Arial"/>
                <w:b/>
                <w:bCs/>
                <w:color w:val="000000"/>
              </w:rPr>
              <w:t>Coefficient</w:t>
            </w:r>
          </w:p>
        </w:tc>
        <w:tc>
          <w:tcPr>
            <w:tcW w:w="1095" w:type="dxa"/>
            <w:noWrap/>
            <w:hideMark/>
          </w:tcPr>
          <w:p w14:paraId="0679C0F7" w14:textId="77777777" w:rsidR="00D408A4" w:rsidRDefault="00D408A4"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1CF65B31" w14:textId="302E9793"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A603E1">
              <w:rPr>
                <w:rFonts w:ascii="Arial" w:hAnsi="Arial" w:cs="Arial"/>
                <w:b/>
                <w:bCs/>
                <w:color w:val="000000"/>
              </w:rPr>
              <w:t>T-value</w:t>
            </w:r>
          </w:p>
        </w:tc>
        <w:tc>
          <w:tcPr>
            <w:tcW w:w="992" w:type="dxa"/>
            <w:noWrap/>
            <w:hideMark/>
          </w:tcPr>
          <w:p w14:paraId="5BD43CCE" w14:textId="77777777" w:rsidR="002E7F58" w:rsidRDefault="002E7F58"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32153ADF" w14:textId="5396D0C7"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A603E1">
              <w:rPr>
                <w:rFonts w:ascii="Arial" w:hAnsi="Arial" w:cs="Arial"/>
                <w:b/>
                <w:bCs/>
                <w:color w:val="000000"/>
              </w:rPr>
              <w:t>Sig.</w:t>
            </w:r>
          </w:p>
        </w:tc>
        <w:tc>
          <w:tcPr>
            <w:tcW w:w="1457" w:type="dxa"/>
            <w:noWrap/>
            <w:hideMark/>
          </w:tcPr>
          <w:p w14:paraId="7CE1B8DC" w14:textId="77777777" w:rsidR="002E7F58" w:rsidRDefault="002E7F58"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73804F35" w14:textId="7505DC4F"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A603E1">
              <w:rPr>
                <w:rFonts w:ascii="Arial" w:hAnsi="Arial" w:cs="Arial"/>
                <w:b/>
                <w:bCs/>
                <w:color w:val="000000"/>
              </w:rPr>
              <w:t>Coefficient</w:t>
            </w:r>
          </w:p>
        </w:tc>
        <w:tc>
          <w:tcPr>
            <w:tcW w:w="830" w:type="dxa"/>
            <w:noWrap/>
            <w:hideMark/>
          </w:tcPr>
          <w:p w14:paraId="49986E4B" w14:textId="77777777" w:rsidR="00D408A4" w:rsidRDefault="00D408A4"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1C6B8810" w14:textId="5FF809AF"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A603E1">
              <w:rPr>
                <w:rFonts w:ascii="Arial" w:hAnsi="Arial" w:cs="Arial"/>
                <w:b/>
                <w:bCs/>
                <w:color w:val="000000"/>
              </w:rPr>
              <w:t>T-value</w:t>
            </w:r>
          </w:p>
        </w:tc>
        <w:tc>
          <w:tcPr>
            <w:tcW w:w="1115" w:type="dxa"/>
            <w:noWrap/>
            <w:hideMark/>
          </w:tcPr>
          <w:p w14:paraId="447B91D7" w14:textId="77777777" w:rsidR="002E7F58" w:rsidRDefault="002E7F58"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p w14:paraId="644F7F30" w14:textId="7A7DBAFE"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A603E1">
              <w:rPr>
                <w:rFonts w:ascii="Arial" w:hAnsi="Arial" w:cs="Arial"/>
                <w:b/>
                <w:bCs/>
                <w:color w:val="000000"/>
              </w:rPr>
              <w:t>Sig.</w:t>
            </w:r>
          </w:p>
        </w:tc>
      </w:tr>
      <w:tr w:rsidR="00D408A4" w:rsidRPr="00A603E1" w14:paraId="7158087F" w14:textId="77777777" w:rsidTr="008D0B7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CCB5CAF" w14:textId="77777777" w:rsidR="002E7F58" w:rsidRDefault="002E7F58" w:rsidP="00A603E1">
            <w:pPr>
              <w:jc w:val="center"/>
              <w:rPr>
                <w:rFonts w:ascii="Arial" w:hAnsi="Arial" w:cs="Arial"/>
                <w:b w:val="0"/>
                <w:bCs w:val="0"/>
                <w:color w:val="000000"/>
              </w:rPr>
            </w:pPr>
          </w:p>
          <w:p w14:paraId="23371D0A" w14:textId="28C3DB93" w:rsidR="00A603E1" w:rsidRPr="00A603E1" w:rsidRDefault="00A603E1" w:rsidP="00A603E1">
            <w:pPr>
              <w:jc w:val="center"/>
              <w:rPr>
                <w:rFonts w:ascii="Arial" w:hAnsi="Arial" w:cs="Arial"/>
                <w:color w:val="000000"/>
              </w:rPr>
            </w:pPr>
            <w:r w:rsidRPr="00A603E1">
              <w:rPr>
                <w:rFonts w:ascii="Arial" w:hAnsi="Arial" w:cs="Arial"/>
                <w:color w:val="000000"/>
              </w:rPr>
              <w:t>Profitability</w:t>
            </w:r>
          </w:p>
        </w:tc>
        <w:tc>
          <w:tcPr>
            <w:tcW w:w="1457" w:type="dxa"/>
            <w:noWrap/>
            <w:hideMark/>
          </w:tcPr>
          <w:p w14:paraId="1929F61F"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461CC5F" w14:textId="2CB43A36"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-0.710</w:t>
            </w:r>
          </w:p>
        </w:tc>
        <w:tc>
          <w:tcPr>
            <w:tcW w:w="1095" w:type="dxa"/>
            <w:noWrap/>
            <w:hideMark/>
          </w:tcPr>
          <w:p w14:paraId="3A642362"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6EA13C9" w14:textId="297CF8DE"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-0.618</w:t>
            </w:r>
          </w:p>
        </w:tc>
        <w:tc>
          <w:tcPr>
            <w:tcW w:w="992" w:type="dxa"/>
            <w:noWrap/>
            <w:hideMark/>
          </w:tcPr>
          <w:p w14:paraId="0B6DECF6"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D05AD21" w14:textId="2C426D75"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0.549</w:t>
            </w:r>
          </w:p>
        </w:tc>
        <w:tc>
          <w:tcPr>
            <w:tcW w:w="1457" w:type="dxa"/>
            <w:noWrap/>
            <w:hideMark/>
          </w:tcPr>
          <w:p w14:paraId="0AEFF630"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DCFC426" w14:textId="17E01771"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0.827</w:t>
            </w:r>
          </w:p>
        </w:tc>
        <w:tc>
          <w:tcPr>
            <w:tcW w:w="830" w:type="dxa"/>
            <w:noWrap/>
            <w:hideMark/>
          </w:tcPr>
          <w:p w14:paraId="6871EB4A"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6A4B4A1" w14:textId="1D553228"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1.057</w:t>
            </w:r>
          </w:p>
        </w:tc>
        <w:tc>
          <w:tcPr>
            <w:tcW w:w="1115" w:type="dxa"/>
            <w:noWrap/>
            <w:hideMark/>
          </w:tcPr>
          <w:p w14:paraId="4CD8FE0B"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7B2619F" w14:textId="5778B588"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0.313</w:t>
            </w:r>
          </w:p>
        </w:tc>
      </w:tr>
      <w:tr w:rsidR="00D408A4" w:rsidRPr="00A603E1" w14:paraId="10FC78F8" w14:textId="77777777" w:rsidTr="008D0B71">
        <w:trPr>
          <w:trHeight w:val="335"/>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9E57E2B" w14:textId="77777777" w:rsidR="002E7F58" w:rsidRDefault="002E7F58" w:rsidP="00A603E1">
            <w:pPr>
              <w:jc w:val="center"/>
              <w:rPr>
                <w:rFonts w:ascii="Arial" w:hAnsi="Arial" w:cs="Arial"/>
                <w:b w:val="0"/>
                <w:bCs w:val="0"/>
                <w:color w:val="000000"/>
              </w:rPr>
            </w:pPr>
          </w:p>
          <w:p w14:paraId="594AD404" w14:textId="20AF8DF4" w:rsidR="00A603E1" w:rsidRPr="00A603E1" w:rsidRDefault="00A603E1" w:rsidP="00A603E1">
            <w:pPr>
              <w:jc w:val="center"/>
              <w:rPr>
                <w:rFonts w:ascii="Arial" w:hAnsi="Arial" w:cs="Arial"/>
                <w:color w:val="000000"/>
              </w:rPr>
            </w:pPr>
            <w:r w:rsidRPr="00A603E1">
              <w:rPr>
                <w:rFonts w:ascii="Arial" w:hAnsi="Arial" w:cs="Arial"/>
                <w:color w:val="000000"/>
              </w:rPr>
              <w:t>Bank size</w:t>
            </w:r>
          </w:p>
        </w:tc>
        <w:tc>
          <w:tcPr>
            <w:tcW w:w="1457" w:type="dxa"/>
            <w:noWrap/>
            <w:hideMark/>
          </w:tcPr>
          <w:p w14:paraId="4CB40433" w14:textId="77777777" w:rsidR="002E7F58" w:rsidRDefault="002E7F58"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26B47C3D" w14:textId="79D3C831"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603E1">
              <w:rPr>
                <w:rFonts w:ascii="Arial" w:hAnsi="Arial" w:cs="Arial"/>
                <w:color w:val="000000"/>
              </w:rPr>
              <w:t>-0.002</w:t>
            </w:r>
          </w:p>
        </w:tc>
        <w:tc>
          <w:tcPr>
            <w:tcW w:w="1095" w:type="dxa"/>
            <w:noWrap/>
            <w:hideMark/>
          </w:tcPr>
          <w:p w14:paraId="6ADD23E6" w14:textId="77777777" w:rsidR="002E7F58" w:rsidRDefault="002E7F58"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750F0161" w14:textId="2EAE2C10"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603E1">
              <w:rPr>
                <w:rFonts w:ascii="Arial" w:hAnsi="Arial" w:cs="Arial"/>
                <w:color w:val="000000"/>
              </w:rPr>
              <w:t>-0.467</w:t>
            </w:r>
          </w:p>
        </w:tc>
        <w:tc>
          <w:tcPr>
            <w:tcW w:w="992" w:type="dxa"/>
            <w:noWrap/>
            <w:hideMark/>
          </w:tcPr>
          <w:p w14:paraId="0B9771F7" w14:textId="77777777" w:rsidR="002E7F58" w:rsidRDefault="002E7F58"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5BB4E28B" w14:textId="13284979"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603E1">
              <w:rPr>
                <w:rFonts w:ascii="Arial" w:hAnsi="Arial" w:cs="Arial"/>
                <w:color w:val="000000"/>
              </w:rPr>
              <w:t>0.65</w:t>
            </w:r>
          </w:p>
        </w:tc>
        <w:tc>
          <w:tcPr>
            <w:tcW w:w="1457" w:type="dxa"/>
            <w:noWrap/>
            <w:hideMark/>
          </w:tcPr>
          <w:p w14:paraId="2E33BD96" w14:textId="77777777" w:rsidR="002E7F58" w:rsidRDefault="002E7F58"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4563D586" w14:textId="32C44264"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603E1">
              <w:rPr>
                <w:rFonts w:ascii="Arial" w:hAnsi="Arial" w:cs="Arial"/>
                <w:color w:val="000000"/>
              </w:rPr>
              <w:t>0.004</w:t>
            </w:r>
          </w:p>
        </w:tc>
        <w:tc>
          <w:tcPr>
            <w:tcW w:w="830" w:type="dxa"/>
            <w:noWrap/>
            <w:hideMark/>
          </w:tcPr>
          <w:p w14:paraId="76422623" w14:textId="77777777" w:rsidR="002E7F58" w:rsidRDefault="002E7F58"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22034628" w14:textId="755C7003"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603E1">
              <w:rPr>
                <w:rFonts w:ascii="Arial" w:hAnsi="Arial" w:cs="Arial"/>
                <w:color w:val="000000"/>
              </w:rPr>
              <w:t>0.845</w:t>
            </w:r>
          </w:p>
        </w:tc>
        <w:tc>
          <w:tcPr>
            <w:tcW w:w="1115" w:type="dxa"/>
            <w:noWrap/>
            <w:hideMark/>
          </w:tcPr>
          <w:p w14:paraId="23080AB7" w14:textId="77777777" w:rsidR="002E7F58" w:rsidRDefault="002E7F58"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72A72327" w14:textId="3B96CB75" w:rsidR="00A603E1" w:rsidRPr="00A603E1" w:rsidRDefault="00A603E1" w:rsidP="00A603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603E1">
              <w:rPr>
                <w:rFonts w:ascii="Arial" w:hAnsi="Arial" w:cs="Arial"/>
                <w:color w:val="000000"/>
              </w:rPr>
              <w:t>0.416</w:t>
            </w:r>
          </w:p>
        </w:tc>
      </w:tr>
      <w:tr w:rsidR="00D408A4" w:rsidRPr="00A603E1" w14:paraId="1A5FB1B2" w14:textId="77777777" w:rsidTr="008D0B7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F9EB9E5" w14:textId="77777777" w:rsidR="002E7F58" w:rsidRDefault="002E7F58" w:rsidP="00A603E1">
            <w:pPr>
              <w:jc w:val="center"/>
              <w:rPr>
                <w:rFonts w:ascii="Arial" w:hAnsi="Arial" w:cs="Arial"/>
                <w:b w:val="0"/>
                <w:bCs w:val="0"/>
                <w:color w:val="000000"/>
              </w:rPr>
            </w:pPr>
          </w:p>
          <w:p w14:paraId="40B987DA" w14:textId="4425F7C3" w:rsidR="00A603E1" w:rsidRPr="00A603E1" w:rsidRDefault="00A603E1" w:rsidP="00A603E1">
            <w:pPr>
              <w:jc w:val="center"/>
              <w:rPr>
                <w:rFonts w:ascii="Arial" w:hAnsi="Arial" w:cs="Arial"/>
                <w:color w:val="000000"/>
              </w:rPr>
            </w:pPr>
            <w:r w:rsidRPr="00A603E1">
              <w:rPr>
                <w:rFonts w:ascii="Arial" w:hAnsi="Arial" w:cs="Arial"/>
                <w:color w:val="000000"/>
              </w:rPr>
              <w:t>Deposits</w:t>
            </w:r>
          </w:p>
        </w:tc>
        <w:tc>
          <w:tcPr>
            <w:tcW w:w="1457" w:type="dxa"/>
            <w:noWrap/>
            <w:hideMark/>
          </w:tcPr>
          <w:p w14:paraId="18525469"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89D9428" w14:textId="3111F0DE"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-0.280</w:t>
            </w:r>
          </w:p>
        </w:tc>
        <w:tc>
          <w:tcPr>
            <w:tcW w:w="1095" w:type="dxa"/>
            <w:noWrap/>
            <w:hideMark/>
          </w:tcPr>
          <w:p w14:paraId="49FA8EBB" w14:textId="77777777" w:rsidR="002E7F58"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w:t>
            </w:r>
          </w:p>
          <w:p w14:paraId="404993D4" w14:textId="40B71056"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0.358</w:t>
            </w:r>
          </w:p>
        </w:tc>
        <w:tc>
          <w:tcPr>
            <w:tcW w:w="992" w:type="dxa"/>
            <w:noWrap/>
            <w:hideMark/>
          </w:tcPr>
          <w:p w14:paraId="139D62B3"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1B908ED" w14:textId="4BFBBD63"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0.727</w:t>
            </w:r>
          </w:p>
        </w:tc>
        <w:tc>
          <w:tcPr>
            <w:tcW w:w="1457" w:type="dxa"/>
            <w:noWrap/>
            <w:hideMark/>
          </w:tcPr>
          <w:p w14:paraId="301128C1"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2984EEE" w14:textId="11FCF35E"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0.051</w:t>
            </w:r>
          </w:p>
        </w:tc>
        <w:tc>
          <w:tcPr>
            <w:tcW w:w="830" w:type="dxa"/>
            <w:noWrap/>
            <w:hideMark/>
          </w:tcPr>
          <w:p w14:paraId="2E3C398E"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7818CA56" w14:textId="62BE0114"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0.933</w:t>
            </w:r>
          </w:p>
        </w:tc>
        <w:tc>
          <w:tcPr>
            <w:tcW w:w="1115" w:type="dxa"/>
            <w:noWrap/>
            <w:hideMark/>
          </w:tcPr>
          <w:p w14:paraId="596BC7FC" w14:textId="77777777" w:rsidR="002E7F58" w:rsidRDefault="002E7F58"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A174930" w14:textId="068FE5B3" w:rsidR="00A603E1" w:rsidRPr="00A603E1" w:rsidRDefault="00A603E1" w:rsidP="00A603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3E1">
              <w:rPr>
                <w:rFonts w:ascii="Arial" w:hAnsi="Arial" w:cs="Arial"/>
                <w:color w:val="000000"/>
              </w:rPr>
              <w:t>0.371</w:t>
            </w:r>
          </w:p>
        </w:tc>
      </w:tr>
    </w:tbl>
    <w:p w14:paraId="1BBA3099" w14:textId="77777777" w:rsidR="005C604D" w:rsidRDefault="005C604D" w:rsidP="00335E20"/>
    <w:p w14:paraId="48BBB5F8" w14:textId="38E6AC27" w:rsidR="00F06E62" w:rsidRDefault="00AA6A8B" w:rsidP="00AA6A8B">
      <w:pPr>
        <w:spacing w:line="360" w:lineRule="auto"/>
        <w:jc w:val="both"/>
      </w:pPr>
      <w:r w:rsidRPr="00AA6A8B">
        <w:rPr>
          <w:rFonts w:ascii="Arial" w:hAnsi="Arial" w:cs="Arial"/>
          <w:lang w:val="en-US"/>
        </w:rPr>
        <w:t>However, this result same as Rahman and Banana (2016) investigated which can see as appendix 5, the significance level also more the 0.05 for bank size and profitability (ROA).</w:t>
      </w:r>
      <w:r w:rsidR="00F629FD">
        <w:rPr>
          <w:rFonts w:ascii="Arial" w:hAnsi="Arial" w:cs="Arial"/>
          <w:lang w:val="en-US"/>
        </w:rPr>
        <w:t xml:space="preserve"> </w:t>
      </w:r>
      <w:r w:rsidR="00F629FD" w:rsidRPr="00F629FD">
        <w:rPr>
          <w:rFonts w:ascii="Arial" w:hAnsi="Arial" w:cs="Arial"/>
          <w:lang w:val="en-US"/>
        </w:rPr>
        <w:t>According to Siti Fatimah, Aisyah and Zulkefly's (2016) research paper also have the same result.</w:t>
      </w:r>
      <w:r w:rsidR="005760B3">
        <w:rPr>
          <w:rFonts w:ascii="Arial" w:hAnsi="Arial" w:cs="Arial"/>
          <w:lang w:val="en-US"/>
        </w:rPr>
        <w:t xml:space="preserve"> Thus, the three independent variables did not have significant impact on LRM on both conventional and Islamic banking in Malaysia.</w:t>
      </w:r>
    </w:p>
    <w:p w14:paraId="230C5F4B" w14:textId="431809BA" w:rsidR="00F06E62" w:rsidRDefault="00F06E62" w:rsidP="00335E20"/>
    <w:p w14:paraId="0C3A04A2" w14:textId="105A3C7C" w:rsidR="00F06E62" w:rsidRDefault="00F06E62" w:rsidP="00335E20"/>
    <w:p w14:paraId="70CF150B" w14:textId="1BCC6383" w:rsidR="00F06E62" w:rsidRDefault="00F06E62" w:rsidP="00335E20"/>
    <w:p w14:paraId="0B124793" w14:textId="111633C5" w:rsidR="00F06E62" w:rsidRDefault="00F06E62" w:rsidP="00335E20"/>
    <w:p w14:paraId="1BCCC571" w14:textId="11BD226B" w:rsidR="00F06E62" w:rsidRDefault="00F06E62" w:rsidP="00335E20"/>
    <w:p w14:paraId="1FDE1740" w14:textId="35E7F5C6" w:rsidR="00F06E62" w:rsidRDefault="00F06E62" w:rsidP="00335E20"/>
    <w:p w14:paraId="1ECC74CA" w14:textId="3FCED22C" w:rsidR="00F06E62" w:rsidRDefault="00F06E62" w:rsidP="00335E20"/>
    <w:p w14:paraId="7C61C004" w14:textId="4D105815" w:rsidR="008D7996" w:rsidRDefault="008D7996" w:rsidP="00335E20"/>
    <w:p w14:paraId="070FF693" w14:textId="0A7309D2" w:rsidR="008D7996" w:rsidRDefault="008D7996" w:rsidP="00335E20"/>
    <w:p w14:paraId="7A4C7B67" w14:textId="77777777" w:rsidR="008D7996" w:rsidRDefault="008D7996" w:rsidP="00335E20"/>
    <w:p w14:paraId="0BDDAFF9" w14:textId="7D6252E9" w:rsidR="00F06E62" w:rsidRDefault="00F06E62" w:rsidP="00335E20"/>
    <w:p w14:paraId="40139F1E" w14:textId="6887DAED" w:rsidR="00F06E62" w:rsidRDefault="00F06E62" w:rsidP="00335E20"/>
    <w:p w14:paraId="08969432" w14:textId="08FF1A20" w:rsidR="00F06E62" w:rsidRDefault="00F06E62" w:rsidP="00335E20"/>
    <w:p w14:paraId="4FB9F308" w14:textId="249D3591" w:rsidR="005760B3" w:rsidRPr="00771ED7" w:rsidRDefault="005760B3" w:rsidP="005760B3">
      <w:pPr>
        <w:pStyle w:val="Heading1"/>
        <w:spacing w:after="480"/>
        <w:ind w:left="142"/>
        <w:jc w:val="center"/>
        <w:rPr>
          <w:rFonts w:ascii="Arial" w:hAnsi="Arial" w:cs="Arial"/>
          <w:b/>
          <w:sz w:val="24"/>
          <w:lang w:val="en-US"/>
        </w:rPr>
      </w:pPr>
      <w:bookmarkStart w:id="81" w:name="_Toc27578615"/>
      <w:r>
        <w:rPr>
          <w:rFonts w:ascii="Arial" w:hAnsi="Arial" w:cs="Arial"/>
          <w:b/>
          <w:sz w:val="24"/>
        </w:rPr>
        <w:lastRenderedPageBreak/>
        <w:t xml:space="preserve">Chapter 5 </w:t>
      </w:r>
      <w:r w:rsidRPr="005760B3">
        <w:rPr>
          <w:rFonts w:ascii="Arial" w:hAnsi="Arial" w:cs="Arial"/>
          <w:b/>
          <w:sz w:val="24"/>
        </w:rPr>
        <w:t>Conclusions and Recommendations</w:t>
      </w:r>
      <w:bookmarkEnd w:id="81"/>
    </w:p>
    <w:p w14:paraId="2BAD5C4A" w14:textId="7271A38C" w:rsidR="005760B3" w:rsidRDefault="005760B3" w:rsidP="005760B3">
      <w:pPr>
        <w:pStyle w:val="Heading2"/>
        <w:spacing w:after="480"/>
        <w:ind w:left="708"/>
        <w:rPr>
          <w:rFonts w:ascii="Arial" w:hAnsi="Arial" w:cs="Arial"/>
          <w:b/>
          <w:sz w:val="24"/>
          <w:szCs w:val="24"/>
        </w:rPr>
      </w:pPr>
      <w:bookmarkStart w:id="82" w:name="_Toc27578616"/>
      <w:r>
        <w:rPr>
          <w:rFonts w:ascii="Arial" w:hAnsi="Arial" w:cs="Arial"/>
          <w:b/>
          <w:sz w:val="24"/>
          <w:szCs w:val="24"/>
        </w:rPr>
        <w:t>5.1 Introduction</w:t>
      </w:r>
      <w:bookmarkEnd w:id="82"/>
      <w:r>
        <w:rPr>
          <w:rFonts w:ascii="Arial" w:hAnsi="Arial" w:cs="Arial"/>
          <w:b/>
          <w:sz w:val="24"/>
          <w:szCs w:val="24"/>
        </w:rPr>
        <w:t xml:space="preserve"> </w:t>
      </w:r>
    </w:p>
    <w:p w14:paraId="3D9A01E3" w14:textId="72523F38" w:rsidR="00771ED7" w:rsidRPr="00FF0B12" w:rsidRDefault="00FF0B12" w:rsidP="00FF0B12">
      <w:pPr>
        <w:spacing w:line="360" w:lineRule="auto"/>
        <w:jc w:val="both"/>
        <w:rPr>
          <w:rFonts w:ascii="Arial" w:hAnsi="Arial" w:cs="Arial"/>
        </w:rPr>
      </w:pPr>
      <w:r>
        <w:rPr>
          <w:rFonts w:ascii="Arial" w:hAnsi="Arial" w:cs="Arial"/>
        </w:rPr>
        <w:t xml:space="preserve">      </w:t>
      </w:r>
      <w:r w:rsidRPr="00FF0B12">
        <w:rPr>
          <w:rFonts w:ascii="Arial" w:hAnsi="Arial" w:cs="Arial"/>
        </w:rPr>
        <w:t xml:space="preserve">After completed the finding and discussion of this study, the researcher will conclude the overall outcome of this study and provide the recommendations banks, and future researchers. And the limitation </w:t>
      </w:r>
      <w:r w:rsidR="0058280C" w:rsidRPr="00FF0B12">
        <w:rPr>
          <w:rFonts w:ascii="Arial" w:hAnsi="Arial" w:cs="Arial"/>
        </w:rPr>
        <w:t>of</w:t>
      </w:r>
      <w:r w:rsidRPr="00FF0B12">
        <w:rPr>
          <w:rFonts w:ascii="Arial" w:hAnsi="Arial" w:cs="Arial"/>
        </w:rPr>
        <w:t xml:space="preserve"> this study also will be discussed in this chapter. Finally, the researcher will express the personal reflections experienced in doing this research.</w:t>
      </w:r>
    </w:p>
    <w:p w14:paraId="3CB5B3CC" w14:textId="7791EAE7" w:rsidR="00771ED7" w:rsidRDefault="00771ED7" w:rsidP="00335E20"/>
    <w:p w14:paraId="6A6B86D1" w14:textId="58504A65" w:rsidR="0058280C" w:rsidRDefault="0058280C" w:rsidP="0058280C">
      <w:pPr>
        <w:pStyle w:val="Heading2"/>
        <w:spacing w:after="480"/>
        <w:ind w:left="708"/>
        <w:rPr>
          <w:rFonts w:ascii="Arial" w:hAnsi="Arial" w:cs="Arial"/>
          <w:b/>
          <w:sz w:val="24"/>
          <w:szCs w:val="24"/>
        </w:rPr>
      </w:pPr>
      <w:bookmarkStart w:id="83" w:name="_Toc27578617"/>
      <w:r>
        <w:rPr>
          <w:rFonts w:ascii="Arial" w:hAnsi="Arial" w:cs="Arial"/>
          <w:b/>
          <w:sz w:val="24"/>
          <w:szCs w:val="24"/>
        </w:rPr>
        <w:t xml:space="preserve">5.2 </w:t>
      </w:r>
      <w:r w:rsidRPr="0058280C">
        <w:rPr>
          <w:rFonts w:ascii="Arial" w:hAnsi="Arial" w:cs="Arial"/>
          <w:b/>
          <w:sz w:val="24"/>
          <w:szCs w:val="24"/>
        </w:rPr>
        <w:t>Observation of this Research</w:t>
      </w:r>
      <w:bookmarkEnd w:id="83"/>
    </w:p>
    <w:p w14:paraId="59336659" w14:textId="40D45C5F" w:rsidR="00C2535E" w:rsidRPr="00C2535E" w:rsidRDefault="00C2535E" w:rsidP="00C2535E">
      <w:pPr>
        <w:spacing w:line="360" w:lineRule="auto"/>
        <w:jc w:val="both"/>
        <w:rPr>
          <w:rFonts w:ascii="Arial" w:hAnsi="Arial" w:cs="Arial"/>
        </w:rPr>
      </w:pPr>
      <w:r>
        <w:rPr>
          <w:rFonts w:ascii="Arial" w:hAnsi="Arial" w:cs="Arial"/>
        </w:rPr>
        <w:t xml:space="preserve">      </w:t>
      </w:r>
      <w:r w:rsidRPr="00C2535E">
        <w:rPr>
          <w:rFonts w:ascii="Arial" w:hAnsi="Arial" w:cs="Arial"/>
        </w:rPr>
        <w:t xml:space="preserve">In the beginning that there are a lot of business research papers stated how liquidity risk management very important in today's business environment, especially in the banking industry. And also many research papers showed that conventional banks and Islamic banks have different liquidity risk management. Since there are two different banking system in Malaysia. Thus, to have a better understanding on both types of banks' LRM is very important to help banks development in the future. Based on the analysis and evaluation of knowledge on the literature review, a research model was established which were the LRM: a comparison of conventional and Islamic banking in Malaysia. however, according to İncekara and Çetinkaya (2019)  and Singh and Sharma (2016)'s research that there were many factors that can affect the liquidity of both banks. Those factors can be classified by bank-specific factors and microeconomic factors. Since the main target of this research was the banking industry, so this study adopted bank-specific factors which include profitability, bank size, and deposits. </w:t>
      </w:r>
    </w:p>
    <w:p w14:paraId="23EA3987" w14:textId="77777777" w:rsidR="00C2535E" w:rsidRPr="00C2535E" w:rsidRDefault="00C2535E" w:rsidP="00C2535E">
      <w:pPr>
        <w:spacing w:line="360" w:lineRule="auto"/>
        <w:jc w:val="both"/>
        <w:rPr>
          <w:rFonts w:ascii="Arial" w:hAnsi="Arial" w:cs="Arial"/>
        </w:rPr>
      </w:pPr>
    </w:p>
    <w:p w14:paraId="3A7F6348" w14:textId="692C93D1" w:rsidR="000D3824" w:rsidRPr="00C2535E" w:rsidRDefault="00C2535E" w:rsidP="00C2535E">
      <w:pPr>
        <w:spacing w:line="360" w:lineRule="auto"/>
        <w:jc w:val="both"/>
        <w:rPr>
          <w:rFonts w:ascii="Arial" w:hAnsi="Arial" w:cs="Arial"/>
        </w:rPr>
      </w:pPr>
      <w:r>
        <w:rPr>
          <w:rFonts w:ascii="Arial" w:hAnsi="Arial" w:cs="Arial"/>
        </w:rPr>
        <w:t xml:space="preserve">      </w:t>
      </w:r>
      <w:r w:rsidRPr="00C2535E">
        <w:rPr>
          <w:rFonts w:ascii="Arial" w:hAnsi="Arial" w:cs="Arial"/>
        </w:rPr>
        <w:t xml:space="preserve">The data collection and analysis also is very important for conducting this study. according to the previous study and based on the number of banks in Malaysia. This study adopted secondary data and there is a total of 30 banks have been selected. All the data collected from the banks' annual report. Through the analysis of all the data, the result showed the Islamic banks had a better LRM </w:t>
      </w:r>
      <w:r w:rsidRPr="00C2535E">
        <w:rPr>
          <w:rFonts w:ascii="Arial" w:hAnsi="Arial" w:cs="Arial"/>
        </w:rPr>
        <w:lastRenderedPageBreak/>
        <w:t>compare to conventional banks from 2014 to 2018. Moreover, there are negative correlations among the dependent variables and independent variables which means when the ROA, bank size, and deposits increase, the liquidity ratio will decrease in conventional banks. And there are positive correlations among the dependent variables and independent variables in Islamic banks based on data collected from 2014 to 2018. However, due to the P-value was more than 0.05 in the regression coefficients test. Thus, it indicated three independent variables did not have a significant impact on LRM on both conventional and Islamic banking in Malaysia. Siti Fatimah, Aisyah and Zulkefly (2016) got the same result when they conducted a research about the determinants of Liquidity Risk of Islamic Banks in Malaysia. In addition, according to Rahman and Banana (2016) investigated on Liquidity Risk Management between Conventional and Islamic Banks in Bangladesh that also got the P-value was more than 0.05 for bank size and profitability.</w:t>
      </w:r>
    </w:p>
    <w:p w14:paraId="4BBAFE72" w14:textId="77777777" w:rsidR="000D3824" w:rsidRDefault="000D3824" w:rsidP="00335E20"/>
    <w:p w14:paraId="09FE057F" w14:textId="5A8AE921" w:rsidR="0058280C" w:rsidRDefault="0058280C" w:rsidP="0058280C">
      <w:pPr>
        <w:pStyle w:val="Heading2"/>
        <w:spacing w:after="480"/>
        <w:ind w:left="708"/>
        <w:rPr>
          <w:rFonts w:ascii="Arial" w:hAnsi="Arial" w:cs="Arial"/>
          <w:b/>
          <w:sz w:val="24"/>
          <w:szCs w:val="24"/>
        </w:rPr>
      </w:pPr>
      <w:bookmarkStart w:id="84" w:name="_Toc27578618"/>
      <w:r>
        <w:rPr>
          <w:rFonts w:ascii="Arial" w:hAnsi="Arial" w:cs="Arial"/>
          <w:b/>
          <w:sz w:val="24"/>
          <w:szCs w:val="24"/>
        </w:rPr>
        <w:t>5.3 Recommendation</w:t>
      </w:r>
      <w:bookmarkEnd w:id="84"/>
    </w:p>
    <w:p w14:paraId="1E1E7626" w14:textId="288DB8D3" w:rsidR="0058280C" w:rsidRDefault="00354A14" w:rsidP="00CA5B79">
      <w:pPr>
        <w:spacing w:line="360" w:lineRule="auto"/>
        <w:jc w:val="both"/>
        <w:rPr>
          <w:rFonts w:ascii="Arial" w:hAnsi="Arial" w:cs="Arial"/>
        </w:rPr>
      </w:pPr>
      <w:r>
        <w:rPr>
          <w:rFonts w:ascii="Arial" w:hAnsi="Arial" w:cs="Arial"/>
        </w:rPr>
        <w:t xml:space="preserve">      </w:t>
      </w:r>
      <w:r w:rsidR="00CA5B79" w:rsidRPr="00CA5B79">
        <w:rPr>
          <w:rFonts w:ascii="Arial" w:hAnsi="Arial" w:cs="Arial"/>
        </w:rPr>
        <w:t xml:space="preserve">As the  regression analysis above that although there are negative relationship and positive relationship between conventional and Islamic banks, but since the P-values were more than 0.05. Thus,  these variables (includes profitability, bank size, and deposits) are insignificantly affecting the liquidity risk in the Malaysia banking industry. Thus, both conventional and Islamic banks do not need to consider profitability, bank size, and deposits when they want to implement LRM in Malaysia. Furthermore, there are other reasons caused these variables are insignificant, such as the data used are insufficient to support such a conclusion. More variables, increase the number of banks and increase the years of data should be considered for improving the reliability of the study. From descriptive statistics that we can see the average Islamic bank's liquidity ratio was higher than conventional banks from 2014 to 2018. According to table 4.2 Correlation matrix of the variables that the deposits had the highest relationship correlation with liquidity among these variables. Thus, researchers can emphasis </w:t>
      </w:r>
      <w:r w:rsidR="00CA5B79" w:rsidRPr="00CA5B79">
        <w:rPr>
          <w:rFonts w:ascii="Arial" w:hAnsi="Arial" w:cs="Arial"/>
        </w:rPr>
        <w:lastRenderedPageBreak/>
        <w:t>on deposits to reduce banking industry liquidity risk. Also, require to increase the variables and sample size for more reliable results in future studies.</w:t>
      </w:r>
    </w:p>
    <w:p w14:paraId="4C4CA020" w14:textId="77777777" w:rsidR="00CA5B79" w:rsidRPr="00CA5B79" w:rsidRDefault="00CA5B79" w:rsidP="00CA5B79">
      <w:pPr>
        <w:spacing w:line="360" w:lineRule="auto"/>
        <w:jc w:val="both"/>
        <w:rPr>
          <w:rFonts w:ascii="Arial" w:hAnsi="Arial" w:cs="Arial"/>
        </w:rPr>
      </w:pPr>
    </w:p>
    <w:p w14:paraId="5BDB6D91" w14:textId="3721746E" w:rsidR="0058280C" w:rsidRDefault="0058280C" w:rsidP="0058280C">
      <w:pPr>
        <w:pStyle w:val="Heading2"/>
        <w:spacing w:after="480"/>
        <w:ind w:left="708"/>
        <w:rPr>
          <w:rFonts w:ascii="Arial" w:hAnsi="Arial" w:cs="Arial"/>
          <w:b/>
          <w:sz w:val="24"/>
          <w:szCs w:val="24"/>
        </w:rPr>
      </w:pPr>
      <w:bookmarkStart w:id="85" w:name="_Toc27578619"/>
      <w:r>
        <w:rPr>
          <w:rFonts w:ascii="Arial" w:hAnsi="Arial" w:cs="Arial"/>
          <w:b/>
          <w:sz w:val="24"/>
          <w:szCs w:val="24"/>
        </w:rPr>
        <w:t xml:space="preserve">5.4 Limitation </w:t>
      </w:r>
      <w:r w:rsidRPr="0058280C">
        <w:rPr>
          <w:rFonts w:ascii="Arial" w:hAnsi="Arial" w:cs="Arial"/>
          <w:b/>
          <w:sz w:val="24"/>
          <w:szCs w:val="24"/>
        </w:rPr>
        <w:t>of this Research</w:t>
      </w:r>
      <w:bookmarkEnd w:id="85"/>
    </w:p>
    <w:p w14:paraId="67856005" w14:textId="5255D7BF" w:rsidR="002658C9" w:rsidRDefault="002B2F39" w:rsidP="002B2F39">
      <w:pPr>
        <w:spacing w:line="360" w:lineRule="auto"/>
        <w:jc w:val="both"/>
        <w:rPr>
          <w:rFonts w:ascii="Arial" w:hAnsi="Arial" w:cs="Arial"/>
        </w:rPr>
      </w:pPr>
      <w:r>
        <w:rPr>
          <w:rFonts w:ascii="Arial" w:hAnsi="Arial" w:cs="Arial"/>
        </w:rPr>
        <w:t xml:space="preserve">      </w:t>
      </w:r>
      <w:r w:rsidRPr="002B2F39">
        <w:rPr>
          <w:rFonts w:ascii="Arial" w:hAnsi="Arial" w:cs="Arial"/>
        </w:rPr>
        <w:t>During conducting this paper that there are also several limitations have been found</w:t>
      </w:r>
      <w:r w:rsidR="002658C9">
        <w:rPr>
          <w:rFonts w:ascii="Arial" w:hAnsi="Arial" w:cs="Arial"/>
        </w:rPr>
        <w:t xml:space="preserve"> which can see as below.</w:t>
      </w:r>
    </w:p>
    <w:p w14:paraId="4242AED3" w14:textId="77777777" w:rsidR="002658C9" w:rsidRDefault="002658C9" w:rsidP="002B2F39">
      <w:pPr>
        <w:spacing w:line="360" w:lineRule="auto"/>
        <w:jc w:val="both"/>
        <w:rPr>
          <w:rFonts w:ascii="Arial" w:hAnsi="Arial" w:cs="Arial"/>
        </w:rPr>
      </w:pPr>
    </w:p>
    <w:p w14:paraId="7F0D06A8" w14:textId="5F003F86" w:rsidR="002658C9" w:rsidRPr="002658C9" w:rsidRDefault="002658C9" w:rsidP="002658C9">
      <w:pPr>
        <w:pStyle w:val="Heading3"/>
        <w:spacing w:after="480" w:line="259" w:lineRule="auto"/>
        <w:ind w:left="720"/>
        <w:rPr>
          <w:rFonts w:ascii="Arial" w:hAnsi="Arial" w:cs="Arial"/>
          <w:b/>
        </w:rPr>
      </w:pPr>
      <w:bookmarkStart w:id="86" w:name="_Toc27578620"/>
      <w:r w:rsidRPr="002658C9">
        <w:rPr>
          <w:rFonts w:ascii="Arial" w:hAnsi="Arial" w:cs="Arial"/>
          <w:b/>
        </w:rPr>
        <w:t>5.4.1 Lack of Prior Research Studies on the Topic</w:t>
      </w:r>
      <w:bookmarkEnd w:id="86"/>
    </w:p>
    <w:p w14:paraId="53EF1CD6" w14:textId="1339B8D6" w:rsidR="002658C9" w:rsidRDefault="002658C9" w:rsidP="002B2F39">
      <w:pPr>
        <w:spacing w:line="360" w:lineRule="auto"/>
        <w:jc w:val="both"/>
        <w:rPr>
          <w:rFonts w:ascii="Arial" w:hAnsi="Arial" w:cs="Arial"/>
        </w:rPr>
      </w:pPr>
      <w:r>
        <w:rPr>
          <w:rFonts w:ascii="Arial" w:hAnsi="Arial" w:cs="Arial"/>
        </w:rPr>
        <w:t xml:space="preserve">     F</w:t>
      </w:r>
      <w:r w:rsidR="002B2F39" w:rsidRPr="002B2F39">
        <w:rPr>
          <w:rFonts w:ascii="Arial" w:hAnsi="Arial" w:cs="Arial"/>
        </w:rPr>
        <w:t xml:space="preserve">irst of all, is the research references. Lack of previous research paper in the LRM area. Although, there are many research papers on liquidity risk management, the comparison between conventional and Islamic banks only a few. A similar number of studies are being conducted such as Bangladesh, India, Pakistan and so on. Especially, there are do not have a research paper about the comparison between conventional and Islamic banks in Malaysia. Thus, when finally the p-value was more than 0.05 that it is hard to find the journey to support the result. </w:t>
      </w:r>
    </w:p>
    <w:p w14:paraId="2874979A" w14:textId="77777777" w:rsidR="002658C9" w:rsidRDefault="002658C9" w:rsidP="002B2F39">
      <w:pPr>
        <w:spacing w:line="360" w:lineRule="auto"/>
        <w:jc w:val="both"/>
        <w:rPr>
          <w:rFonts w:ascii="Arial" w:hAnsi="Arial" w:cs="Arial"/>
        </w:rPr>
      </w:pPr>
    </w:p>
    <w:p w14:paraId="78B6B5AD" w14:textId="386A5CA1" w:rsidR="002658C9" w:rsidRPr="002658C9" w:rsidRDefault="002658C9" w:rsidP="002658C9">
      <w:pPr>
        <w:pStyle w:val="Heading3"/>
        <w:spacing w:after="480" w:line="259" w:lineRule="auto"/>
        <w:ind w:left="720"/>
        <w:rPr>
          <w:rFonts w:ascii="Arial" w:hAnsi="Arial" w:cs="Arial"/>
          <w:b/>
        </w:rPr>
      </w:pPr>
      <w:bookmarkStart w:id="87" w:name="_Toc27578621"/>
      <w:r w:rsidRPr="002658C9">
        <w:rPr>
          <w:rFonts w:ascii="Arial" w:hAnsi="Arial" w:cs="Arial"/>
          <w:b/>
        </w:rPr>
        <w:t>5.4.</w:t>
      </w:r>
      <w:r>
        <w:rPr>
          <w:rFonts w:ascii="Arial" w:hAnsi="Arial" w:cs="Arial"/>
          <w:b/>
        </w:rPr>
        <w:t>2</w:t>
      </w:r>
      <w:r w:rsidRPr="002658C9">
        <w:rPr>
          <w:rFonts w:ascii="Arial" w:hAnsi="Arial" w:cs="Arial"/>
          <w:b/>
        </w:rPr>
        <w:t xml:space="preserve"> </w:t>
      </w:r>
      <w:r>
        <w:rPr>
          <w:rFonts w:ascii="Arial" w:hAnsi="Arial" w:cs="Arial"/>
          <w:b/>
        </w:rPr>
        <w:t>S</w:t>
      </w:r>
      <w:r w:rsidR="00AD0250">
        <w:rPr>
          <w:rFonts w:ascii="Arial" w:hAnsi="Arial" w:cs="Arial"/>
          <w:b/>
        </w:rPr>
        <w:t>a</w:t>
      </w:r>
      <w:r>
        <w:rPr>
          <w:rFonts w:ascii="Arial" w:hAnsi="Arial" w:cs="Arial"/>
          <w:b/>
        </w:rPr>
        <w:t>mple Size</w:t>
      </w:r>
      <w:bookmarkEnd w:id="87"/>
    </w:p>
    <w:p w14:paraId="197C69D8" w14:textId="7844DA2A" w:rsidR="002B2F39" w:rsidRDefault="002658C9" w:rsidP="002B2F39">
      <w:pPr>
        <w:spacing w:line="360" w:lineRule="auto"/>
        <w:jc w:val="both"/>
        <w:rPr>
          <w:rFonts w:ascii="Arial" w:hAnsi="Arial" w:cs="Arial"/>
        </w:rPr>
      </w:pPr>
      <w:r>
        <w:rPr>
          <w:rFonts w:ascii="Arial" w:hAnsi="Arial" w:cs="Arial"/>
        </w:rPr>
        <w:t xml:space="preserve">      </w:t>
      </w:r>
      <w:r w:rsidR="002B2F39" w:rsidRPr="002B2F39">
        <w:rPr>
          <w:rFonts w:ascii="Arial" w:hAnsi="Arial" w:cs="Arial"/>
        </w:rPr>
        <w:t>The next limitation is the sample size. There is a total of 16 Islamic banks and 27 conventional banks in Malaysia. since this study is to compare the LRM between both the bank and the sample size of  Islamic banks is too small. The small sample size can decrease statistical power and the significant relationships between variables will be difficult to find (Chris, 2019). As this study, the result showed that the relationships between variables were insignificant. Thus, to increase the sample size by increasing the number of banks or the years also important.</w:t>
      </w:r>
    </w:p>
    <w:p w14:paraId="2EE35AED" w14:textId="77777777" w:rsidR="002B2F39" w:rsidRPr="002B2F39" w:rsidRDefault="002B2F39" w:rsidP="002B2F39">
      <w:pPr>
        <w:spacing w:line="360" w:lineRule="auto"/>
        <w:jc w:val="both"/>
        <w:rPr>
          <w:rFonts w:ascii="Arial" w:hAnsi="Arial" w:cs="Arial"/>
        </w:rPr>
      </w:pPr>
    </w:p>
    <w:p w14:paraId="141BC8F4" w14:textId="3A967366" w:rsidR="002658C9" w:rsidRDefault="002658C9" w:rsidP="002658C9">
      <w:pPr>
        <w:pStyle w:val="Heading3"/>
        <w:spacing w:after="480" w:line="259" w:lineRule="auto"/>
        <w:ind w:left="720"/>
        <w:rPr>
          <w:rFonts w:ascii="Arial" w:hAnsi="Arial" w:cs="Arial"/>
          <w:b/>
          <w:lang w:val="en-US"/>
        </w:rPr>
      </w:pPr>
      <w:bookmarkStart w:id="88" w:name="_Toc27578622"/>
      <w:r w:rsidRPr="002658C9">
        <w:rPr>
          <w:rFonts w:ascii="Arial" w:hAnsi="Arial" w:cs="Arial"/>
          <w:b/>
        </w:rPr>
        <w:lastRenderedPageBreak/>
        <w:t>5.4.</w:t>
      </w:r>
      <w:r>
        <w:rPr>
          <w:rFonts w:ascii="Arial" w:hAnsi="Arial" w:cs="Arial"/>
          <w:b/>
        </w:rPr>
        <w:t>3</w:t>
      </w:r>
      <w:r w:rsidRPr="002658C9">
        <w:rPr>
          <w:rFonts w:ascii="Arial" w:hAnsi="Arial" w:cs="Arial"/>
          <w:b/>
        </w:rPr>
        <w:t xml:space="preserve"> </w:t>
      </w:r>
      <w:r>
        <w:rPr>
          <w:rFonts w:ascii="Arial" w:hAnsi="Arial" w:cs="Arial"/>
          <w:b/>
          <w:lang w:val="en-US"/>
        </w:rPr>
        <w:t>D</w:t>
      </w:r>
      <w:r>
        <w:rPr>
          <w:rFonts w:ascii="Arial" w:hAnsi="Arial" w:cs="Arial"/>
          <w:b/>
        </w:rPr>
        <w:t>at</w:t>
      </w:r>
      <w:r>
        <w:rPr>
          <w:rFonts w:ascii="Arial" w:hAnsi="Arial" w:cs="Arial"/>
          <w:b/>
          <w:lang w:val="en-US"/>
        </w:rPr>
        <w:t>a</w:t>
      </w:r>
      <w:r>
        <w:rPr>
          <w:rFonts w:ascii="Arial" w:hAnsi="Arial" w:cs="Arial" w:hint="eastAsia"/>
          <w:b/>
        </w:rPr>
        <w:t xml:space="preserve"> </w:t>
      </w:r>
      <w:r>
        <w:rPr>
          <w:rFonts w:ascii="Arial" w:hAnsi="Arial" w:cs="Arial"/>
          <w:b/>
        </w:rPr>
        <w:t>Co</w:t>
      </w:r>
      <w:r w:rsidRPr="00262C3F">
        <w:rPr>
          <w:rFonts w:ascii="Arial" w:hAnsi="Arial" w:cs="Arial"/>
          <w:b/>
          <w:color w:val="2F5496" w:themeColor="accent1" w:themeShade="BF"/>
        </w:rPr>
        <w:t>llection</w:t>
      </w:r>
      <w:bookmarkEnd w:id="88"/>
    </w:p>
    <w:p w14:paraId="38D5F116" w14:textId="31DB40C0" w:rsidR="002658C9" w:rsidRPr="002658C9" w:rsidRDefault="002658C9" w:rsidP="002658C9">
      <w:pPr>
        <w:spacing w:line="360" w:lineRule="auto"/>
        <w:jc w:val="both"/>
        <w:rPr>
          <w:rFonts w:ascii="Arial" w:hAnsi="Arial" w:cs="Arial"/>
          <w:lang w:val="en-US"/>
        </w:rPr>
      </w:pPr>
      <w:r>
        <w:rPr>
          <w:rFonts w:ascii="Arial" w:hAnsi="Arial" w:cs="Arial"/>
          <w:lang w:val="en-US"/>
        </w:rPr>
        <w:t xml:space="preserve">      </w:t>
      </w:r>
      <w:r w:rsidRPr="002658C9">
        <w:rPr>
          <w:rFonts w:ascii="Arial" w:hAnsi="Arial" w:cs="Arial"/>
          <w:lang w:val="en-US"/>
        </w:rPr>
        <w:t xml:space="preserve">During collecting data from banks' annual reports that the researcher found some banks' annual reports were scan files and not </w:t>
      </w:r>
      <w:r w:rsidR="00AD0250">
        <w:rPr>
          <w:rFonts w:ascii="Arial" w:hAnsi="Arial" w:cs="Arial"/>
          <w:lang w:val="en-US"/>
        </w:rPr>
        <w:t>c</w:t>
      </w:r>
      <w:r w:rsidR="00AD0250" w:rsidRPr="002658C9">
        <w:rPr>
          <w:rFonts w:ascii="Arial" w:hAnsi="Arial" w:cs="Arial"/>
          <w:lang w:val="en-US"/>
        </w:rPr>
        <w:t>learly</w:t>
      </w:r>
      <w:r w:rsidRPr="002658C9">
        <w:rPr>
          <w:rFonts w:ascii="Arial" w:hAnsi="Arial" w:cs="Arial"/>
          <w:lang w:val="en-US"/>
        </w:rPr>
        <w:t xml:space="preserve"> since the original reports deteriorate with age. Thus, these annual reports may lack authenticity. Moreover, some foreign Islamic and conventional banks adopted a different way to record their financial position and balance sheet which may cause calculation inaccurate.</w:t>
      </w:r>
    </w:p>
    <w:p w14:paraId="31AF72FA" w14:textId="77777777" w:rsidR="0058280C" w:rsidRPr="00C2535E" w:rsidRDefault="0058280C" w:rsidP="0058280C">
      <w:pPr>
        <w:rPr>
          <w:lang w:val="en-US"/>
        </w:rPr>
      </w:pPr>
    </w:p>
    <w:p w14:paraId="67948821" w14:textId="51579EA0" w:rsidR="0058280C" w:rsidRDefault="0058280C" w:rsidP="0058280C">
      <w:pPr>
        <w:pStyle w:val="Heading2"/>
        <w:spacing w:after="480"/>
        <w:ind w:left="708"/>
        <w:rPr>
          <w:rFonts w:ascii="Arial" w:hAnsi="Arial" w:cs="Arial"/>
          <w:b/>
          <w:sz w:val="24"/>
          <w:szCs w:val="24"/>
        </w:rPr>
      </w:pPr>
      <w:bookmarkStart w:id="89" w:name="_Toc27578623"/>
      <w:r>
        <w:rPr>
          <w:rFonts w:ascii="Arial" w:hAnsi="Arial" w:cs="Arial"/>
          <w:b/>
          <w:sz w:val="24"/>
          <w:szCs w:val="24"/>
        </w:rPr>
        <w:t xml:space="preserve">5.5 </w:t>
      </w:r>
      <w:r w:rsidR="00AD0250">
        <w:rPr>
          <w:rFonts w:ascii="Arial" w:hAnsi="Arial" w:cs="Arial"/>
          <w:b/>
          <w:sz w:val="24"/>
          <w:szCs w:val="24"/>
        </w:rPr>
        <w:t>Recommendation for Future Research</w:t>
      </w:r>
      <w:bookmarkEnd w:id="89"/>
    </w:p>
    <w:p w14:paraId="375F8C42" w14:textId="30F012B8" w:rsidR="0058280C" w:rsidRPr="00C74541" w:rsidRDefault="00C74541" w:rsidP="00C74541">
      <w:pPr>
        <w:spacing w:line="360" w:lineRule="auto"/>
        <w:jc w:val="both"/>
        <w:rPr>
          <w:rFonts w:ascii="Arial" w:hAnsi="Arial" w:cs="Arial"/>
        </w:rPr>
      </w:pPr>
      <w:r>
        <w:rPr>
          <w:rFonts w:ascii="Arial" w:hAnsi="Arial" w:cs="Arial"/>
        </w:rPr>
        <w:t xml:space="preserve">      </w:t>
      </w:r>
      <w:r w:rsidRPr="00C74541">
        <w:rPr>
          <w:rFonts w:ascii="Arial" w:hAnsi="Arial" w:cs="Arial"/>
        </w:rPr>
        <w:t>This study aimed to compare the LRM between the conventional and Islamic banking industry in Malaysia. As the result showed that there are no significant between three independent variables and dependent variables since the p-value more than 0.05 in both conventional and Islamic banks. Thus, profitability, bank size, and deposits have not to impact on the banks' liquidity ratio. Therefore, there are no signs there different  LRM between the conventional and Islamic banking industry in Malaysia. Eliminate the p-value,  this study already got Islamic banking had better LRM compare to conventional banking, and there is a negative correlation with liquidity ratio in Islamic banks and positive correlation with liquidity ratio in conventional banks. Thus, to obtain a more accurate evaluation of comparing the LRM between the conventional and Islamic banking industry the researcher can increase the sample size, independent variables and increase the time period on banks' annual reports in a future study.</w:t>
      </w:r>
    </w:p>
    <w:p w14:paraId="0B42F01A" w14:textId="5578A4FE" w:rsidR="005B3D14" w:rsidRDefault="005B3D14" w:rsidP="00335E20"/>
    <w:p w14:paraId="105E7A5F" w14:textId="2ED84D5A" w:rsidR="00F629FD" w:rsidRPr="00AC6DFC" w:rsidRDefault="00AD0250" w:rsidP="00AC6DFC">
      <w:pPr>
        <w:pStyle w:val="Heading2"/>
        <w:spacing w:after="480"/>
        <w:ind w:left="708"/>
        <w:rPr>
          <w:rFonts w:ascii="Arial" w:hAnsi="Arial" w:cs="Arial"/>
          <w:b/>
          <w:sz w:val="24"/>
          <w:szCs w:val="24"/>
        </w:rPr>
      </w:pPr>
      <w:bookmarkStart w:id="90" w:name="_Toc27578624"/>
      <w:r>
        <w:rPr>
          <w:rFonts w:ascii="Arial" w:hAnsi="Arial" w:cs="Arial"/>
          <w:b/>
          <w:sz w:val="24"/>
          <w:szCs w:val="24"/>
        </w:rPr>
        <w:t>5.6 Personal Reflections</w:t>
      </w:r>
      <w:bookmarkEnd w:id="90"/>
    </w:p>
    <w:p w14:paraId="12034C1D" w14:textId="1BC1D378" w:rsidR="00F629FD" w:rsidRPr="00AC6DFC" w:rsidRDefault="00AC6DFC" w:rsidP="00AC6DFC">
      <w:pPr>
        <w:spacing w:line="360" w:lineRule="auto"/>
        <w:jc w:val="both"/>
        <w:rPr>
          <w:rFonts w:ascii="Arial" w:hAnsi="Arial" w:cs="Arial"/>
        </w:rPr>
      </w:pPr>
      <w:r w:rsidRPr="00AC6DFC">
        <w:rPr>
          <w:rFonts w:ascii="Arial" w:hAnsi="Arial" w:cs="Arial"/>
        </w:rPr>
        <w:t xml:space="preserve">In the process of this business research, as a researcher that I learned many useful experiences. And </w:t>
      </w:r>
      <w:r w:rsidR="007461FD" w:rsidRPr="00AC6DFC">
        <w:rPr>
          <w:rFonts w:ascii="Arial" w:hAnsi="Arial" w:cs="Arial"/>
        </w:rPr>
        <w:t>I</w:t>
      </w:r>
      <w:r w:rsidRPr="00AC6DFC">
        <w:rPr>
          <w:rFonts w:ascii="Arial" w:hAnsi="Arial" w:cs="Arial"/>
        </w:rPr>
        <w:t xml:space="preserve"> hope the banking industry can have deeper understanding on LRM </w:t>
      </w:r>
      <w:r w:rsidR="007461FD" w:rsidRPr="00AC6DFC">
        <w:rPr>
          <w:rFonts w:ascii="Arial" w:hAnsi="Arial" w:cs="Arial"/>
        </w:rPr>
        <w:t>after</w:t>
      </w:r>
      <w:r w:rsidRPr="00AC6DFC">
        <w:rPr>
          <w:rFonts w:ascii="Arial" w:hAnsi="Arial" w:cs="Arial"/>
        </w:rPr>
        <w:t xml:space="preserve"> this research. In the first step, it was not easy to select a topic that as my through. As a researcher must search that enough information must be found to support the topic. Otherwise, you will find it difficult to support if the later results are inconsistent with your hypothesis. When </w:t>
      </w:r>
      <w:r w:rsidRPr="00AC6DFC">
        <w:rPr>
          <w:rFonts w:ascii="Arial" w:hAnsi="Arial" w:cs="Arial"/>
        </w:rPr>
        <w:lastRenderedPageBreak/>
        <w:t xml:space="preserve">conducting this study, profitability, bank size, and deposits chosen as independent variables. However, all these three variables were insignificant for the result of this study. Thus, I learned there are more independent variables that should be obtained in this study such as add some macroeconomic factors and increase the sample size. In order to increase the significant level of this study. One of the other benefits of this study for me was how to transfer the raw data to meaningful information by excel and </w:t>
      </w:r>
      <w:r>
        <w:rPr>
          <w:rFonts w:ascii="Arial" w:hAnsi="Arial" w:cs="Arial"/>
        </w:rPr>
        <w:t>SPSS</w:t>
      </w:r>
      <w:r w:rsidRPr="00AC6DFC">
        <w:rPr>
          <w:rFonts w:ascii="Arial" w:hAnsi="Arial" w:cs="Arial"/>
        </w:rPr>
        <w:t xml:space="preserve"> which improver my software skills. The time and emotional management also was an important lesson in itself. There are many challenges I have to face when conducting this paper. Such as change the topic after fist defines,  failed the reliability test and so on. A reasonable time and emotional management were very important. I would like to thank my supervisors for their help and advice to help me completed this paper.</w:t>
      </w:r>
    </w:p>
    <w:p w14:paraId="0CD0AAC6" w14:textId="4AA440B9" w:rsidR="00F629FD" w:rsidRPr="00AC6DFC" w:rsidRDefault="00F629FD" w:rsidP="00AC6DFC">
      <w:pPr>
        <w:spacing w:line="360" w:lineRule="auto"/>
        <w:jc w:val="both"/>
        <w:rPr>
          <w:rFonts w:ascii="Arial" w:hAnsi="Arial" w:cs="Arial"/>
        </w:rPr>
      </w:pPr>
    </w:p>
    <w:p w14:paraId="1A53E1BC" w14:textId="386660C7" w:rsidR="00F629FD" w:rsidRDefault="00F629FD" w:rsidP="00335E20"/>
    <w:p w14:paraId="4A9B82D7" w14:textId="79D94014" w:rsidR="00F629FD" w:rsidRDefault="00F629FD" w:rsidP="00335E20"/>
    <w:p w14:paraId="1E7C446A" w14:textId="218CEE4B" w:rsidR="00F629FD" w:rsidRDefault="00F629FD" w:rsidP="00335E20"/>
    <w:p w14:paraId="369E8811" w14:textId="427E0B6C" w:rsidR="00F629FD" w:rsidRDefault="00F629FD" w:rsidP="00335E20"/>
    <w:p w14:paraId="78890573" w14:textId="03674CD1" w:rsidR="00F629FD" w:rsidRDefault="00F629FD" w:rsidP="00335E20"/>
    <w:p w14:paraId="2CFAA7D9" w14:textId="3D477F64" w:rsidR="00F629FD" w:rsidRDefault="00F629FD" w:rsidP="00335E20"/>
    <w:p w14:paraId="7AEEE888" w14:textId="292030A9" w:rsidR="00F629FD" w:rsidRDefault="00F629FD" w:rsidP="00335E20"/>
    <w:p w14:paraId="52F78B06" w14:textId="4253E711" w:rsidR="00F629FD" w:rsidRDefault="00F629FD" w:rsidP="00335E20"/>
    <w:p w14:paraId="27D45DFB" w14:textId="2A3D1C86" w:rsidR="00F629FD" w:rsidRDefault="00F629FD" w:rsidP="00335E20"/>
    <w:p w14:paraId="057C0C5C" w14:textId="7013411C" w:rsidR="00F629FD" w:rsidRDefault="00F629FD" w:rsidP="00335E20"/>
    <w:p w14:paraId="2DB5CE7A" w14:textId="280D2560" w:rsidR="00F629FD" w:rsidRDefault="00F629FD" w:rsidP="00335E20"/>
    <w:p w14:paraId="1B5F89AD" w14:textId="79C3554B" w:rsidR="00F629FD" w:rsidRDefault="00F629FD" w:rsidP="00335E20"/>
    <w:p w14:paraId="55AC0EB6" w14:textId="1BF88E7D" w:rsidR="00F629FD" w:rsidRDefault="00F629FD" w:rsidP="00335E20"/>
    <w:p w14:paraId="297F13F3" w14:textId="5D1EB75A" w:rsidR="00F629FD" w:rsidRDefault="00F629FD" w:rsidP="00335E20"/>
    <w:p w14:paraId="7E6CD175" w14:textId="40FE9A35" w:rsidR="00F629FD" w:rsidRDefault="00F629FD" w:rsidP="00335E20"/>
    <w:p w14:paraId="026EC5B7" w14:textId="41B618CA" w:rsidR="00F629FD" w:rsidRDefault="00F629FD" w:rsidP="00335E20"/>
    <w:p w14:paraId="01E1CFCF" w14:textId="76212D78" w:rsidR="00F629FD" w:rsidRDefault="00F629FD" w:rsidP="00335E20"/>
    <w:p w14:paraId="71DA3BC4" w14:textId="1DEC22B0" w:rsidR="00F629FD" w:rsidRDefault="00F629FD" w:rsidP="00335E20"/>
    <w:p w14:paraId="06FB76DC" w14:textId="5124501C" w:rsidR="00F629FD" w:rsidRDefault="00F629FD" w:rsidP="00335E20"/>
    <w:p w14:paraId="79222526" w14:textId="5C47FA5E" w:rsidR="00F629FD" w:rsidRDefault="00F629FD" w:rsidP="00335E20"/>
    <w:p w14:paraId="505CC762" w14:textId="556A297D" w:rsidR="00F629FD" w:rsidRDefault="00F629FD" w:rsidP="00335E20"/>
    <w:p w14:paraId="64C69512" w14:textId="0163B2C4" w:rsidR="00F629FD" w:rsidRDefault="00F629FD" w:rsidP="00335E20"/>
    <w:p w14:paraId="68CDAFCA" w14:textId="3A8E6535" w:rsidR="00F629FD" w:rsidRDefault="00F629FD" w:rsidP="00335E20"/>
    <w:p w14:paraId="03CD7222" w14:textId="1CE8B4AB" w:rsidR="00F629FD" w:rsidRDefault="00F629FD" w:rsidP="00335E20"/>
    <w:p w14:paraId="2667D20C" w14:textId="6AC25F67" w:rsidR="00F629FD" w:rsidRDefault="00F629FD" w:rsidP="00335E20"/>
    <w:p w14:paraId="695209ED" w14:textId="77777777" w:rsidR="00AC6DFC" w:rsidRDefault="00AC6DFC" w:rsidP="00335E20"/>
    <w:p w14:paraId="6401D994" w14:textId="4ED3360A" w:rsidR="003F0F7B" w:rsidRPr="00495D62" w:rsidRDefault="003F0F7B" w:rsidP="0079679D">
      <w:pPr>
        <w:pStyle w:val="Heading1"/>
        <w:spacing w:line="360" w:lineRule="auto"/>
        <w:rPr>
          <w:rFonts w:ascii="Times New Roman" w:hAnsi="Times New Roman" w:cs="Times New Roman"/>
          <w:b/>
          <w:bCs/>
          <w:color w:val="000000" w:themeColor="text1"/>
        </w:rPr>
      </w:pPr>
      <w:bookmarkStart w:id="91" w:name="_Toc27578625"/>
      <w:r w:rsidRPr="00495D62">
        <w:rPr>
          <w:rFonts w:ascii="Times New Roman" w:hAnsi="Times New Roman" w:cs="Times New Roman"/>
          <w:b/>
          <w:bCs/>
          <w:color w:val="000000" w:themeColor="text1"/>
        </w:rPr>
        <w:lastRenderedPageBreak/>
        <w:t>Reference</w:t>
      </w:r>
      <w:bookmarkEnd w:id="91"/>
    </w:p>
    <w:p w14:paraId="5539E359" w14:textId="4DA102B5" w:rsidR="006A70F5" w:rsidRPr="00583B1E" w:rsidRDefault="006A70F5" w:rsidP="00583B1E">
      <w:pPr>
        <w:spacing w:after="480"/>
        <w:jc w:val="both"/>
        <w:rPr>
          <w:rFonts w:ascii="Arial" w:hAnsi="Arial" w:cs="Arial"/>
          <w:color w:val="000000"/>
          <w:shd w:val="clear" w:color="auto" w:fill="FFFFFF"/>
        </w:rPr>
      </w:pPr>
      <w:r w:rsidRPr="00583B1E">
        <w:rPr>
          <w:rFonts w:ascii="Arial" w:hAnsi="Arial" w:cs="Arial"/>
          <w:color w:val="000000"/>
          <w:shd w:val="clear" w:color="auto" w:fill="FFFFFF"/>
        </w:rPr>
        <w:t>Abd Rahim, M. (2009). </w:t>
      </w:r>
      <w:r w:rsidRPr="00583B1E">
        <w:rPr>
          <w:rFonts w:ascii="Arial" w:hAnsi="Arial" w:cs="Arial"/>
          <w:i/>
          <w:iCs/>
          <w:color w:val="000000"/>
        </w:rPr>
        <w:t>Statistical Methods in Research</w:t>
      </w:r>
      <w:r w:rsidRPr="00583B1E">
        <w:rPr>
          <w:rFonts w:ascii="Arial" w:hAnsi="Arial" w:cs="Arial"/>
          <w:color w:val="000000"/>
          <w:shd w:val="clear" w:color="auto" w:fill="FFFFFF"/>
        </w:rPr>
        <w:t>. Prentice Hall, p.165.</w:t>
      </w:r>
    </w:p>
    <w:p w14:paraId="6804A1FA" w14:textId="29AD6F32" w:rsidR="006A70F5" w:rsidRPr="00583B1E" w:rsidRDefault="006A70F5"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Alan, W. (2019).</w:t>
      </w:r>
      <w:r w:rsidRPr="00583B1E">
        <w:rPr>
          <w:rStyle w:val="apple-converted-space"/>
          <w:rFonts w:ascii="Arial" w:hAnsi="Arial" w:cs="Arial"/>
          <w:color w:val="000000"/>
          <w:shd w:val="clear" w:color="auto" w:fill="FFFFFF"/>
        </w:rPr>
        <w:t> </w:t>
      </w:r>
      <w:r w:rsidRPr="00583B1E">
        <w:rPr>
          <w:rFonts w:ascii="Arial" w:hAnsi="Arial" w:cs="Arial"/>
          <w:i/>
          <w:iCs/>
          <w:color w:val="000000"/>
        </w:rPr>
        <w:t>CHAPTER 1: Basic Concepts of Regression Analysis</w:t>
      </w:r>
      <w:r w:rsidRPr="00583B1E">
        <w:rPr>
          <w:rFonts w:ascii="Arial" w:hAnsi="Arial" w:cs="Arial"/>
          <w:color w:val="000000"/>
          <w:shd w:val="clear" w:color="auto" w:fill="FFFFFF"/>
        </w:rPr>
        <w:t>. [online] Personal.cb.cityu.edu.hk. Available at: http://personal.cb.cityu.edu.hk/msawan/teaching/FB8916/FB8916Ch1.pdf [Accessed 15 Dec. 2019].</w:t>
      </w:r>
    </w:p>
    <w:p w14:paraId="7D8FA7ED" w14:textId="7E31622C" w:rsidR="00CE0991" w:rsidRPr="00583B1E" w:rsidRDefault="00CE0991" w:rsidP="006B166C">
      <w:pPr>
        <w:spacing w:after="480" w:line="360" w:lineRule="auto"/>
        <w:jc w:val="both"/>
        <w:rPr>
          <w:rFonts w:ascii="Arial" w:hAnsi="Arial" w:cs="Arial"/>
        </w:rPr>
      </w:pPr>
      <w:proofErr w:type="spellStart"/>
      <w:r w:rsidRPr="00583B1E">
        <w:rPr>
          <w:rFonts w:ascii="Arial" w:hAnsi="Arial" w:cs="Arial"/>
          <w:color w:val="000000"/>
          <w:shd w:val="clear" w:color="auto" w:fill="FFFFFF"/>
        </w:rPr>
        <w:t>Affin</w:t>
      </w:r>
      <w:proofErr w:type="spellEnd"/>
      <w:r w:rsidRPr="00583B1E">
        <w:rPr>
          <w:rFonts w:ascii="Arial" w:hAnsi="Arial" w:cs="Arial"/>
          <w:color w:val="000000"/>
          <w:shd w:val="clear" w:color="auto" w:fill="FFFFFF"/>
        </w:rPr>
        <w:t xml:space="preserve"> Islamic Bank berhad. (2019).</w:t>
      </w:r>
      <w:r w:rsidRPr="00583B1E">
        <w:rPr>
          <w:rStyle w:val="apple-converted-space"/>
          <w:rFonts w:ascii="Arial" w:hAnsi="Arial" w:cs="Arial"/>
          <w:color w:val="000000"/>
          <w:shd w:val="clear" w:color="auto" w:fill="FFFFFF"/>
        </w:rPr>
        <w:t> </w:t>
      </w:r>
      <w:r w:rsidRPr="00583B1E">
        <w:rPr>
          <w:rFonts w:ascii="Arial" w:hAnsi="Arial" w:cs="Arial"/>
          <w:i/>
          <w:iCs/>
          <w:color w:val="000000"/>
        </w:rPr>
        <w:t>Annual Reports 2017</w:t>
      </w:r>
      <w:r w:rsidRPr="00583B1E">
        <w:rPr>
          <w:rFonts w:ascii="Arial" w:hAnsi="Arial" w:cs="Arial"/>
          <w:color w:val="000000"/>
          <w:shd w:val="clear" w:color="auto" w:fill="FFFFFF"/>
        </w:rPr>
        <w:t>. Available at: https://www.affinislamic.com.my/Investor-Relations/Reports-Presentation/Annual-Report/Annual-Reports-2017.aspx [Accessed 18 Nov. 2019].</w:t>
      </w:r>
    </w:p>
    <w:p w14:paraId="23E8EA30" w14:textId="1CE87A30" w:rsidR="006A70F5" w:rsidRPr="00583B1E" w:rsidRDefault="006A70F5" w:rsidP="006B166C">
      <w:pPr>
        <w:pStyle w:val="NormalWeb"/>
        <w:spacing w:after="480" w:afterAutospacing="0" w:line="360" w:lineRule="auto"/>
        <w:jc w:val="both"/>
        <w:rPr>
          <w:rFonts w:ascii="Arial" w:hAnsi="Arial" w:cs="Arial"/>
        </w:rPr>
      </w:pPr>
      <w:r w:rsidRPr="00583B1E">
        <w:rPr>
          <w:rFonts w:ascii="Arial" w:hAnsi="Arial" w:cs="Arial"/>
        </w:rPr>
        <w:t>Ahmad</w:t>
      </w:r>
      <w:r w:rsidRPr="00583B1E">
        <w:rPr>
          <w:rFonts w:ascii="Arial" w:eastAsia="SimSun" w:hAnsi="Arial" w:cs="Arial"/>
        </w:rPr>
        <w:t>，</w:t>
      </w:r>
      <w:r w:rsidRPr="00583B1E">
        <w:rPr>
          <w:rFonts w:ascii="Arial" w:hAnsi="Arial" w:cs="Arial"/>
        </w:rPr>
        <w:t xml:space="preserve"> Azam</w:t>
      </w:r>
      <w:r w:rsidRPr="00583B1E">
        <w:rPr>
          <w:rFonts w:ascii="Arial" w:eastAsia="SimSun" w:hAnsi="Arial" w:cs="Arial"/>
        </w:rPr>
        <w:t>，</w:t>
      </w:r>
      <w:r w:rsidRPr="00583B1E">
        <w:rPr>
          <w:rFonts w:ascii="Arial" w:hAnsi="Arial" w:cs="Arial"/>
        </w:rPr>
        <w:t xml:space="preserve"> Sulaiman</w:t>
      </w:r>
      <w:r w:rsidRPr="00583B1E">
        <w:rPr>
          <w:rFonts w:ascii="Arial" w:eastAsia="SimSun" w:hAnsi="Arial" w:cs="Arial"/>
        </w:rPr>
        <w:t>，</w:t>
      </w:r>
      <w:r w:rsidRPr="00583B1E">
        <w:rPr>
          <w:rFonts w:ascii="Arial" w:hAnsi="Arial" w:cs="Arial"/>
        </w:rPr>
        <w:t xml:space="preserve"> and Mohamad et al. (2013). How Islamic banks of Malaysia managing liquidity? An emphasis on confronting economic </w:t>
      </w:r>
      <w:proofErr w:type="spellStart"/>
      <w:r w:rsidRPr="00583B1E">
        <w:rPr>
          <w:rFonts w:ascii="Arial" w:hAnsi="Arial" w:cs="Arial"/>
        </w:rPr>
        <w:t>Cccles</w:t>
      </w:r>
      <w:proofErr w:type="spellEnd"/>
      <w:r w:rsidRPr="00583B1E">
        <w:rPr>
          <w:rFonts w:ascii="Arial" w:hAnsi="Arial" w:cs="Arial"/>
        </w:rPr>
        <w:t xml:space="preserve">. </w:t>
      </w:r>
      <w:r w:rsidRPr="00583B1E">
        <w:rPr>
          <w:rFonts w:ascii="Arial" w:hAnsi="Arial" w:cs="Arial"/>
          <w:i/>
          <w:iCs/>
        </w:rPr>
        <w:t>International Journal of Business and Social Science.</w:t>
      </w:r>
      <w:r w:rsidRPr="00583B1E">
        <w:rPr>
          <w:rFonts w:ascii="Arial" w:hAnsi="Arial" w:cs="Arial"/>
        </w:rPr>
        <w:t xml:space="preserve"> 4(7), 253-263. </w:t>
      </w:r>
    </w:p>
    <w:p w14:paraId="780E7384" w14:textId="7B8C9A38" w:rsidR="00CE0991" w:rsidRPr="00583B1E" w:rsidRDefault="00CE0991" w:rsidP="006B166C">
      <w:pPr>
        <w:spacing w:after="480" w:line="360" w:lineRule="auto"/>
        <w:jc w:val="both"/>
        <w:rPr>
          <w:rFonts w:ascii="Arial" w:hAnsi="Arial" w:cs="Arial"/>
        </w:rPr>
      </w:pPr>
      <w:r w:rsidRPr="00583B1E">
        <w:rPr>
          <w:rFonts w:ascii="Arial" w:hAnsi="Arial" w:cs="Arial"/>
          <w:color w:val="000000"/>
          <w:shd w:val="clear" w:color="auto" w:fill="FFFFFF"/>
        </w:rPr>
        <w:t>Affinbank.com.my. (2019). [online] Available at: https://www.affinbank.com.my/ [Accessed 18 Nov. 2019].</w:t>
      </w:r>
    </w:p>
    <w:p w14:paraId="0ADD120B" w14:textId="513EA522" w:rsidR="00CE0991" w:rsidRPr="00583B1E" w:rsidRDefault="00CE0991" w:rsidP="006B166C">
      <w:pPr>
        <w:spacing w:after="480" w:line="360" w:lineRule="auto"/>
        <w:jc w:val="both"/>
        <w:rPr>
          <w:rFonts w:ascii="Arial" w:hAnsi="Arial" w:cs="Arial"/>
        </w:rPr>
      </w:pPr>
      <w:r w:rsidRPr="00583B1E">
        <w:rPr>
          <w:rFonts w:ascii="Arial" w:hAnsi="Arial" w:cs="Arial"/>
          <w:color w:val="000000"/>
          <w:shd w:val="clear" w:color="auto" w:fill="FFFFFF"/>
        </w:rPr>
        <w:t>Alliancebank.com.my. (2019).</w:t>
      </w:r>
      <w:r w:rsidRPr="00583B1E">
        <w:rPr>
          <w:rStyle w:val="apple-converted-space"/>
          <w:rFonts w:ascii="Arial" w:hAnsi="Arial" w:cs="Arial"/>
          <w:color w:val="000000"/>
          <w:shd w:val="clear" w:color="auto" w:fill="FFFFFF"/>
        </w:rPr>
        <w:t> </w:t>
      </w:r>
      <w:r w:rsidRPr="00583B1E">
        <w:rPr>
          <w:rFonts w:ascii="Arial" w:hAnsi="Arial" w:cs="Arial"/>
          <w:i/>
          <w:iCs/>
          <w:color w:val="000000"/>
        </w:rPr>
        <w:t>Corporate | Alliance Bank Malaysia</w:t>
      </w:r>
      <w:r w:rsidRPr="00583B1E">
        <w:rPr>
          <w:rFonts w:ascii="Arial" w:hAnsi="Arial" w:cs="Arial"/>
          <w:color w:val="000000"/>
          <w:shd w:val="clear" w:color="auto" w:fill="FFFFFF"/>
        </w:rPr>
        <w:t>. [online] Available at: https://www.alliancebank.com.my/corporate/investor-relations/annual-reports.aspx [Accessed 18 Nov. 2019].</w:t>
      </w:r>
    </w:p>
    <w:p w14:paraId="20A51135" w14:textId="22311D52" w:rsidR="00CE0991" w:rsidRPr="00583B1E" w:rsidRDefault="00CE0991"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Ambankgroup.com. (2019).</w:t>
      </w:r>
      <w:r w:rsidRPr="00583B1E">
        <w:rPr>
          <w:rStyle w:val="apple-converted-space"/>
          <w:rFonts w:ascii="Arial" w:hAnsi="Arial" w:cs="Arial"/>
          <w:color w:val="000000"/>
          <w:shd w:val="clear" w:color="auto" w:fill="FFFFFF"/>
        </w:rPr>
        <w:t> </w:t>
      </w:r>
      <w:r w:rsidRPr="00583B1E">
        <w:rPr>
          <w:rFonts w:ascii="Arial" w:hAnsi="Arial" w:cs="Arial"/>
          <w:i/>
          <w:iCs/>
          <w:color w:val="000000"/>
        </w:rPr>
        <w:t>2017 | AmBank Group Malaysia</w:t>
      </w:r>
      <w:r w:rsidRPr="00583B1E">
        <w:rPr>
          <w:rFonts w:ascii="Arial" w:hAnsi="Arial" w:cs="Arial"/>
          <w:color w:val="000000"/>
          <w:shd w:val="clear" w:color="auto" w:fill="FFFFFF"/>
        </w:rPr>
        <w:t>. [online] Available at: https://www.ambankgroup.com/eng/InvestorRelations/AnnualReports/Pages/2017.aspx [Accessed 18 Nov. 2019].</w:t>
      </w:r>
    </w:p>
    <w:p w14:paraId="2B3B1CB7" w14:textId="77777777" w:rsidR="006A70F5" w:rsidRPr="00583B1E" w:rsidRDefault="006A70F5" w:rsidP="006B166C">
      <w:pPr>
        <w:spacing w:after="480" w:line="360" w:lineRule="auto"/>
        <w:jc w:val="both"/>
        <w:rPr>
          <w:rFonts w:ascii="Arial" w:hAnsi="Arial" w:cs="Arial"/>
        </w:rPr>
      </w:pPr>
      <w:r w:rsidRPr="00583B1E">
        <w:rPr>
          <w:rFonts w:ascii="Arial" w:hAnsi="Arial" w:cs="Arial"/>
          <w:color w:val="000000"/>
          <w:shd w:val="clear" w:color="auto" w:fill="FFFFFF"/>
        </w:rPr>
        <w:t>Bankislam.com.my. (2019).</w:t>
      </w:r>
      <w:r w:rsidRPr="00583B1E">
        <w:rPr>
          <w:rStyle w:val="apple-converted-space"/>
          <w:rFonts w:ascii="Arial" w:hAnsi="Arial" w:cs="Arial"/>
          <w:color w:val="000000"/>
          <w:shd w:val="clear" w:color="auto" w:fill="FFFFFF"/>
        </w:rPr>
        <w:t> </w:t>
      </w:r>
      <w:r w:rsidRPr="00583B1E">
        <w:rPr>
          <w:rFonts w:ascii="Arial" w:hAnsi="Arial" w:cs="Arial"/>
          <w:i/>
          <w:iCs/>
          <w:color w:val="000000"/>
        </w:rPr>
        <w:t>Annual Reports</w:t>
      </w:r>
      <w:r w:rsidRPr="00583B1E">
        <w:rPr>
          <w:rFonts w:ascii="Arial" w:hAnsi="Arial" w:cs="Arial"/>
          <w:color w:val="000000"/>
          <w:shd w:val="clear" w:color="auto" w:fill="FFFFFF"/>
        </w:rPr>
        <w:t>. Available at: http://www.bankislam.com.my/home/corporate-info/annual-reports/ [Accessed 18 Nov. 2019].</w:t>
      </w:r>
    </w:p>
    <w:p w14:paraId="18214291" w14:textId="77777777" w:rsidR="006A70F5" w:rsidRPr="00583B1E" w:rsidRDefault="006A70F5" w:rsidP="006B166C">
      <w:pPr>
        <w:spacing w:after="480" w:line="360" w:lineRule="auto"/>
        <w:jc w:val="both"/>
        <w:rPr>
          <w:rFonts w:ascii="Arial" w:hAnsi="Arial" w:cs="Arial"/>
        </w:rPr>
      </w:pPr>
      <w:r w:rsidRPr="00583B1E">
        <w:rPr>
          <w:rFonts w:ascii="Arial" w:hAnsi="Arial" w:cs="Arial"/>
          <w:color w:val="000000"/>
          <w:shd w:val="clear" w:color="auto" w:fill="FFFFFF"/>
        </w:rPr>
        <w:lastRenderedPageBreak/>
        <w:t>Bnm.gov.my. (2019).</w:t>
      </w:r>
      <w:r w:rsidRPr="00583B1E">
        <w:rPr>
          <w:rStyle w:val="apple-converted-space"/>
          <w:rFonts w:ascii="Arial" w:hAnsi="Arial" w:cs="Arial"/>
          <w:color w:val="000000"/>
          <w:shd w:val="clear" w:color="auto" w:fill="FFFFFF"/>
        </w:rPr>
        <w:t> </w:t>
      </w:r>
      <w:r w:rsidRPr="00583B1E">
        <w:rPr>
          <w:rFonts w:ascii="Arial" w:hAnsi="Arial" w:cs="Arial"/>
          <w:i/>
          <w:iCs/>
          <w:color w:val="000000"/>
        </w:rPr>
        <w:t>List of Licensed Financial Institutions in Malaysia | Bank Negara Malaysia | Central Bank of Malaysia</w:t>
      </w:r>
      <w:r w:rsidRPr="00583B1E">
        <w:rPr>
          <w:rFonts w:ascii="Arial" w:hAnsi="Arial" w:cs="Arial"/>
          <w:color w:val="000000"/>
          <w:shd w:val="clear" w:color="auto" w:fill="FFFFFF"/>
        </w:rPr>
        <w:t>. Available at: http://www.bnm.gov.my/index.php?ch=li&amp;cat=islamic&amp;type=IB&amp;fund=0&amp;cu=0 [Accessed 13 Nov. 2019].</w:t>
      </w:r>
    </w:p>
    <w:p w14:paraId="182853F9" w14:textId="5C0562AF" w:rsidR="006A70F5" w:rsidRPr="00583B1E" w:rsidRDefault="00CE0991" w:rsidP="006B166C">
      <w:pPr>
        <w:spacing w:after="480" w:line="360" w:lineRule="auto"/>
        <w:jc w:val="both"/>
        <w:rPr>
          <w:rFonts w:ascii="Arial" w:hAnsi="Arial" w:cs="Arial"/>
        </w:rPr>
      </w:pPr>
      <w:r w:rsidRPr="00583B1E">
        <w:rPr>
          <w:rFonts w:ascii="Arial" w:hAnsi="Arial" w:cs="Arial"/>
          <w:color w:val="000000"/>
          <w:shd w:val="clear" w:color="auto" w:fill="FFFFFF"/>
        </w:rPr>
        <w:t>Bank of America Merrill Lynch. (2019).</w:t>
      </w:r>
      <w:r w:rsidRPr="00583B1E">
        <w:rPr>
          <w:rStyle w:val="apple-converted-space"/>
          <w:rFonts w:ascii="Arial" w:hAnsi="Arial" w:cs="Arial"/>
          <w:color w:val="000000"/>
          <w:shd w:val="clear" w:color="auto" w:fill="FFFFFF"/>
        </w:rPr>
        <w:t> </w:t>
      </w:r>
      <w:r w:rsidRPr="00583B1E">
        <w:rPr>
          <w:rFonts w:ascii="Arial" w:hAnsi="Arial" w:cs="Arial"/>
          <w:i/>
          <w:iCs/>
          <w:color w:val="000000"/>
        </w:rPr>
        <w:t>Insights and Investments in Malaysia to Help You Succeed</w:t>
      </w:r>
      <w:r w:rsidRPr="00583B1E">
        <w:rPr>
          <w:rFonts w:ascii="Arial" w:hAnsi="Arial" w:cs="Arial"/>
          <w:color w:val="000000"/>
          <w:shd w:val="clear" w:color="auto" w:fill="FFFFFF"/>
        </w:rPr>
        <w:t>. [online] Available at: https://www.bofaml.com/en-us/content/apac-malaysia.html [Accessed 18 Nov. 2019].</w:t>
      </w:r>
    </w:p>
    <w:p w14:paraId="36614CF4" w14:textId="6461BDB1" w:rsidR="006A70F5" w:rsidRPr="00583B1E" w:rsidRDefault="006A70F5"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Cimb.com. (2019).</w:t>
      </w:r>
      <w:r w:rsidRPr="00583B1E">
        <w:rPr>
          <w:rStyle w:val="apple-converted-space"/>
          <w:rFonts w:ascii="Arial" w:hAnsi="Arial" w:cs="Arial"/>
          <w:color w:val="000000"/>
          <w:shd w:val="clear" w:color="auto" w:fill="FFFFFF"/>
        </w:rPr>
        <w:t> </w:t>
      </w:r>
      <w:r w:rsidRPr="00583B1E">
        <w:rPr>
          <w:rFonts w:ascii="Arial" w:hAnsi="Arial" w:cs="Arial"/>
          <w:i/>
          <w:iCs/>
          <w:color w:val="000000"/>
        </w:rPr>
        <w:t>CIMB Islamic Bank Berhad</w:t>
      </w:r>
      <w:r w:rsidRPr="00583B1E">
        <w:rPr>
          <w:rFonts w:ascii="Arial" w:hAnsi="Arial" w:cs="Arial"/>
          <w:color w:val="000000"/>
          <w:shd w:val="clear" w:color="auto" w:fill="FFFFFF"/>
        </w:rPr>
        <w:t>. [online] Available at: https://www.cimb.com/en/investor-relations/financial-information/cimb-islamic-bank-berhad.html [Accessed 18 Nov. 2019].</w:t>
      </w:r>
    </w:p>
    <w:p w14:paraId="4E05EED1" w14:textId="4685CA40" w:rsidR="00CE0991" w:rsidRPr="00583B1E" w:rsidRDefault="00CE0991"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Citibank.com.my. (2019).</w:t>
      </w:r>
      <w:r w:rsidRPr="00583B1E">
        <w:rPr>
          <w:rStyle w:val="apple-converted-space"/>
          <w:rFonts w:ascii="Arial" w:hAnsi="Arial" w:cs="Arial"/>
          <w:color w:val="000000"/>
          <w:shd w:val="clear" w:color="auto" w:fill="FFFFFF"/>
        </w:rPr>
        <w:t> </w:t>
      </w:r>
      <w:r w:rsidRPr="00583B1E">
        <w:rPr>
          <w:rFonts w:ascii="Arial" w:hAnsi="Arial" w:cs="Arial"/>
          <w:i/>
          <w:iCs/>
          <w:color w:val="000000"/>
        </w:rPr>
        <w:t>Berhad Financial Statement - Citibank Malaysia</w:t>
      </w:r>
      <w:r w:rsidRPr="00583B1E">
        <w:rPr>
          <w:rFonts w:ascii="Arial" w:hAnsi="Arial" w:cs="Arial"/>
          <w:color w:val="000000"/>
          <w:shd w:val="clear" w:color="auto" w:fill="FFFFFF"/>
        </w:rPr>
        <w:t>. Available at: https://www.citibank.com.my/english/citi-statement/financial-statement.htm [Accessed 18 Nov. 2019].</w:t>
      </w:r>
    </w:p>
    <w:p w14:paraId="15ACCDFF" w14:textId="187AF396" w:rsidR="002B2F39" w:rsidRPr="00583B1E" w:rsidRDefault="002B2F39" w:rsidP="006B166C">
      <w:pPr>
        <w:spacing w:after="480" w:line="360" w:lineRule="auto"/>
        <w:jc w:val="both"/>
        <w:rPr>
          <w:rFonts w:ascii="Arial" w:hAnsi="Arial" w:cs="Arial"/>
          <w:sz w:val="36"/>
          <w:szCs w:val="36"/>
        </w:rPr>
      </w:pPr>
      <w:r w:rsidRPr="00583B1E">
        <w:rPr>
          <w:rFonts w:ascii="Arial" w:hAnsi="Arial" w:cs="Arial"/>
          <w:color w:val="000000"/>
          <w:shd w:val="clear" w:color="auto" w:fill="FFFFFF"/>
        </w:rPr>
        <w:t>Chris, D. (2019).</w:t>
      </w:r>
      <w:r w:rsidRPr="00583B1E">
        <w:rPr>
          <w:rStyle w:val="apple-converted-space"/>
          <w:rFonts w:ascii="Arial" w:hAnsi="Arial" w:cs="Arial"/>
          <w:color w:val="000000"/>
          <w:shd w:val="clear" w:color="auto" w:fill="FFFFFF"/>
        </w:rPr>
        <w:t> </w:t>
      </w:r>
      <w:r w:rsidRPr="00583B1E">
        <w:rPr>
          <w:rFonts w:ascii="Arial" w:hAnsi="Arial" w:cs="Arial"/>
          <w:i/>
          <w:iCs/>
          <w:color w:val="000000"/>
        </w:rPr>
        <w:t>The Effects of a Small Sample Size Limitation</w:t>
      </w:r>
      <w:r w:rsidRPr="00583B1E">
        <w:rPr>
          <w:rFonts w:ascii="Arial" w:hAnsi="Arial" w:cs="Arial"/>
          <w:color w:val="000000"/>
          <w:shd w:val="clear" w:color="auto" w:fill="FFFFFF"/>
        </w:rPr>
        <w:t>. [online] Sciencing.com. Available at: https://sciencing.com/effects-small-sample-size-limitation-8545371.html [Accessed 18 Dec. 2019].</w:t>
      </w:r>
    </w:p>
    <w:p w14:paraId="14B710A3" w14:textId="431A9738" w:rsidR="00CE0991" w:rsidRPr="00583B1E" w:rsidRDefault="00CE0991" w:rsidP="006B166C">
      <w:pPr>
        <w:spacing w:after="480" w:line="360" w:lineRule="auto"/>
        <w:jc w:val="both"/>
        <w:rPr>
          <w:rFonts w:ascii="Arial" w:hAnsi="Arial" w:cs="Arial"/>
        </w:rPr>
      </w:pPr>
      <w:r w:rsidRPr="00583B1E">
        <w:rPr>
          <w:rFonts w:ascii="Arial" w:hAnsi="Arial" w:cs="Arial"/>
          <w:color w:val="000000"/>
          <w:shd w:val="clear" w:color="auto" w:fill="FFFFFF"/>
        </w:rPr>
        <w:t>Cimb.com. (2019).</w:t>
      </w:r>
      <w:r w:rsidRPr="00583B1E">
        <w:rPr>
          <w:rStyle w:val="apple-converted-space"/>
          <w:rFonts w:ascii="Arial" w:hAnsi="Arial" w:cs="Arial"/>
          <w:color w:val="000000"/>
          <w:shd w:val="clear" w:color="auto" w:fill="FFFFFF"/>
        </w:rPr>
        <w:t> </w:t>
      </w:r>
      <w:r w:rsidRPr="00583B1E">
        <w:rPr>
          <w:rFonts w:ascii="Arial" w:hAnsi="Arial" w:cs="Arial"/>
          <w:i/>
          <w:iCs/>
          <w:color w:val="000000"/>
        </w:rPr>
        <w:t>Annual Reports</w:t>
      </w:r>
      <w:r w:rsidRPr="00583B1E">
        <w:rPr>
          <w:rFonts w:ascii="Arial" w:hAnsi="Arial" w:cs="Arial"/>
          <w:color w:val="000000"/>
          <w:shd w:val="clear" w:color="auto" w:fill="FFFFFF"/>
        </w:rPr>
        <w:t>. [online] Available at: https://www.cimb.com/en/investor-relations/reports-and-presentations/annual-reports.html [Accessed 18 Nov. 2019].</w:t>
      </w:r>
    </w:p>
    <w:p w14:paraId="34F1AC07" w14:textId="33D96C6E" w:rsidR="006A70F5" w:rsidRPr="00583B1E" w:rsidRDefault="00CE0991" w:rsidP="006B166C">
      <w:pPr>
        <w:spacing w:after="480" w:line="360" w:lineRule="auto"/>
        <w:jc w:val="both"/>
        <w:rPr>
          <w:rFonts w:ascii="Arial" w:hAnsi="Arial" w:cs="Arial"/>
        </w:rPr>
      </w:pPr>
      <w:r w:rsidRPr="00583B1E">
        <w:rPr>
          <w:rFonts w:ascii="Arial" w:hAnsi="Arial" w:cs="Arial"/>
        </w:rPr>
        <w:t xml:space="preserve">Dinger, V. (2009). Do foreign-owned banks affect banking system liquidity </w:t>
      </w:r>
      <w:r w:rsidR="002B2F39" w:rsidRPr="00583B1E">
        <w:rPr>
          <w:rFonts w:ascii="Arial" w:hAnsi="Arial" w:cs="Arial"/>
        </w:rPr>
        <w:t xml:space="preserve">risk? </w:t>
      </w:r>
      <w:r w:rsidR="002B2F39" w:rsidRPr="00583B1E">
        <w:rPr>
          <w:rFonts w:ascii="Arial" w:hAnsi="Arial" w:cs="Arial"/>
          <w:i/>
          <w:iCs/>
        </w:rPr>
        <w:t>Journal</w:t>
      </w:r>
      <w:r w:rsidRPr="00583B1E">
        <w:rPr>
          <w:rFonts w:ascii="Arial" w:hAnsi="Arial" w:cs="Arial"/>
          <w:i/>
          <w:iCs/>
        </w:rPr>
        <w:t xml:space="preserve"> of Comparative Economics</w:t>
      </w:r>
      <w:r w:rsidRPr="00583B1E">
        <w:rPr>
          <w:rFonts w:ascii="Arial" w:hAnsi="Arial" w:cs="Arial"/>
        </w:rPr>
        <w:t>,37(4), 647–657.</w:t>
      </w:r>
    </w:p>
    <w:p w14:paraId="62BD83DF" w14:textId="308CB38C" w:rsidR="006A70F5" w:rsidRPr="00583B1E" w:rsidRDefault="006A70F5" w:rsidP="006B166C">
      <w:pPr>
        <w:spacing w:after="480" w:line="360" w:lineRule="auto"/>
        <w:jc w:val="both"/>
        <w:rPr>
          <w:rFonts w:ascii="Arial" w:hAnsi="Arial" w:cs="Arial"/>
        </w:rPr>
      </w:pPr>
      <w:r w:rsidRPr="00583B1E">
        <w:rPr>
          <w:rFonts w:ascii="Arial" w:hAnsi="Arial" w:cs="Arial"/>
        </w:rPr>
        <w:t>Diamond, D. W., &amp; Rajan, R. G. (1999).</w:t>
      </w:r>
      <w:r w:rsidRPr="00583B1E">
        <w:rPr>
          <w:rFonts w:ascii="Arial" w:hAnsi="Arial" w:cs="Arial"/>
          <w:i/>
          <w:iCs/>
        </w:rPr>
        <w:t>Liquidity risk, liquidity creation and financial fragility: a theory of banking.</w:t>
      </w:r>
      <w:r w:rsidRPr="00583B1E">
        <w:rPr>
          <w:rFonts w:ascii="Arial" w:hAnsi="Arial" w:cs="Arial"/>
        </w:rPr>
        <w:t xml:space="preserve"> United States: National Bureau of Economic Research.</w:t>
      </w:r>
    </w:p>
    <w:p w14:paraId="17F09C66" w14:textId="77777777" w:rsidR="00A603E1" w:rsidRPr="00583B1E" w:rsidRDefault="00A603E1" w:rsidP="006B166C">
      <w:pPr>
        <w:spacing w:after="480" w:line="360" w:lineRule="auto"/>
        <w:jc w:val="both"/>
        <w:rPr>
          <w:rFonts w:ascii="Arial" w:hAnsi="Arial" w:cs="Arial"/>
        </w:rPr>
      </w:pPr>
      <w:r w:rsidRPr="00583B1E">
        <w:rPr>
          <w:rFonts w:ascii="Arial" w:hAnsi="Arial" w:cs="Arial"/>
          <w:color w:val="000000"/>
          <w:shd w:val="clear" w:color="auto" w:fill="FFFFFF"/>
        </w:rPr>
        <w:lastRenderedPageBreak/>
        <w:t>Editor, M. (2013).</w:t>
      </w:r>
      <w:r w:rsidRPr="00583B1E">
        <w:rPr>
          <w:rStyle w:val="apple-converted-space"/>
          <w:rFonts w:ascii="Arial" w:hAnsi="Arial" w:cs="Arial"/>
          <w:color w:val="000000"/>
          <w:shd w:val="clear" w:color="auto" w:fill="FFFFFF"/>
        </w:rPr>
        <w:t> </w:t>
      </w:r>
      <w:r w:rsidRPr="00583B1E">
        <w:rPr>
          <w:rFonts w:ascii="Arial" w:hAnsi="Arial" w:cs="Arial"/>
          <w:i/>
          <w:iCs/>
          <w:color w:val="000000"/>
        </w:rPr>
        <w:t>Regression Analysis: How Do I Interpret R-squared and Assess the Goodness-of-Fit?</w:t>
      </w:r>
      <w:r w:rsidRPr="00583B1E">
        <w:rPr>
          <w:rFonts w:ascii="Arial" w:hAnsi="Arial" w:cs="Arial"/>
          <w:color w:val="000000"/>
          <w:shd w:val="clear" w:color="auto" w:fill="FFFFFF"/>
        </w:rPr>
        <w:t>. [online] Blog.minitab.com. Available at: https://blog.minitab.com/blog/adventures-in-statistics-2/regression-analysis-how-do-i-interpret-r-squared-and-assess-the-goodness-of-fit [Accessed 16 Dec. 2019].</w:t>
      </w:r>
    </w:p>
    <w:p w14:paraId="20D0D781" w14:textId="5641EBE3" w:rsidR="00A603E1" w:rsidRPr="00583B1E" w:rsidRDefault="008E1D95" w:rsidP="006B166C">
      <w:pPr>
        <w:spacing w:after="480" w:line="360" w:lineRule="auto"/>
        <w:jc w:val="both"/>
        <w:rPr>
          <w:rFonts w:ascii="Arial" w:hAnsi="Arial" w:cs="Arial"/>
        </w:rPr>
      </w:pPr>
      <w:r w:rsidRPr="00583B1E">
        <w:rPr>
          <w:rFonts w:ascii="Arial" w:hAnsi="Arial" w:cs="Arial"/>
          <w:color w:val="000000"/>
          <w:shd w:val="clear" w:color="auto" w:fill="FFFFFF"/>
        </w:rPr>
        <w:t>Financialiq.usbank.com. (2019).</w:t>
      </w:r>
      <w:r w:rsidRPr="00583B1E">
        <w:rPr>
          <w:rStyle w:val="apple-converted-space"/>
          <w:rFonts w:ascii="Arial" w:hAnsi="Arial" w:cs="Arial"/>
          <w:color w:val="000000"/>
          <w:shd w:val="clear" w:color="auto" w:fill="FFFFFF"/>
        </w:rPr>
        <w:t> </w:t>
      </w:r>
      <w:r w:rsidRPr="00583B1E">
        <w:rPr>
          <w:rFonts w:ascii="Arial" w:hAnsi="Arial" w:cs="Arial"/>
          <w:i/>
          <w:iCs/>
          <w:color w:val="000000"/>
        </w:rPr>
        <w:t>Enhancing liquidity management: 4 benefits of visibility</w:t>
      </w:r>
      <w:r w:rsidRPr="00583B1E">
        <w:rPr>
          <w:rFonts w:ascii="Arial" w:hAnsi="Arial" w:cs="Arial"/>
          <w:color w:val="000000"/>
          <w:shd w:val="clear" w:color="auto" w:fill="FFFFFF"/>
        </w:rPr>
        <w:t>. [online] Available at: https://financialiq.usbank.com/index/improve-your-operations/manage-payments/enhancing-liquidity-management-benefits-of-visibility.html [Accessed 17 Dec. 2019].</w:t>
      </w:r>
    </w:p>
    <w:p w14:paraId="6028B423" w14:textId="78E8B954" w:rsidR="009A1B8F" w:rsidRPr="00583B1E" w:rsidRDefault="009A1B8F"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Felicity Boyd, E. (2019).</w:t>
      </w:r>
      <w:r w:rsidRPr="00583B1E">
        <w:rPr>
          <w:rStyle w:val="apple-converted-space"/>
          <w:rFonts w:ascii="Arial" w:hAnsi="Arial" w:cs="Arial"/>
          <w:color w:val="000000"/>
          <w:shd w:val="clear" w:color="auto" w:fill="FFFFFF"/>
        </w:rPr>
        <w:t> </w:t>
      </w:r>
      <w:r w:rsidRPr="00583B1E">
        <w:rPr>
          <w:rFonts w:ascii="Arial" w:hAnsi="Arial" w:cs="Arial"/>
          <w:i/>
          <w:iCs/>
          <w:color w:val="000000"/>
        </w:rPr>
        <w:t>coefficient of determination | Interpretation &amp; Equation</w:t>
      </w:r>
      <w:r w:rsidRPr="00583B1E">
        <w:rPr>
          <w:rFonts w:ascii="Arial" w:hAnsi="Arial" w:cs="Arial"/>
          <w:color w:val="000000"/>
          <w:shd w:val="clear" w:color="auto" w:fill="FFFFFF"/>
        </w:rPr>
        <w:t xml:space="preserve">. [online] </w:t>
      </w:r>
      <w:proofErr w:type="spellStart"/>
      <w:r w:rsidRPr="00583B1E">
        <w:rPr>
          <w:rFonts w:ascii="Arial" w:hAnsi="Arial" w:cs="Arial"/>
          <w:color w:val="000000"/>
          <w:shd w:val="clear" w:color="auto" w:fill="FFFFFF"/>
        </w:rPr>
        <w:t>Encyclopedia</w:t>
      </w:r>
      <w:proofErr w:type="spellEnd"/>
      <w:r w:rsidRPr="00583B1E">
        <w:rPr>
          <w:rFonts w:ascii="Arial" w:hAnsi="Arial" w:cs="Arial"/>
          <w:color w:val="000000"/>
          <w:shd w:val="clear" w:color="auto" w:fill="FFFFFF"/>
        </w:rPr>
        <w:t xml:space="preserve"> Britannica. Available at: https://www.britannica.com/science/coefficient-of-determination [Accessed 15 Dec. 2019].</w:t>
      </w:r>
    </w:p>
    <w:p w14:paraId="131AC4D4" w14:textId="04FDAF7E" w:rsidR="003B3C5A" w:rsidRPr="00583B1E" w:rsidRDefault="003B3C5A" w:rsidP="006B166C">
      <w:pPr>
        <w:spacing w:after="480" w:line="360" w:lineRule="auto"/>
        <w:jc w:val="both"/>
        <w:rPr>
          <w:rFonts w:ascii="Arial" w:hAnsi="Arial" w:cs="Arial"/>
        </w:rPr>
      </w:pPr>
      <w:r w:rsidRPr="00583B1E">
        <w:rPr>
          <w:rFonts w:ascii="Arial" w:hAnsi="Arial" w:cs="Arial"/>
          <w:color w:val="000000"/>
          <w:shd w:val="clear" w:color="auto" w:fill="FFFFFF"/>
        </w:rPr>
        <w:t>Files.eric.ed.gov. Available at: https://files.eric.ed.gov/fulltext/ED573325.pdf [Accessed 15 Dec. 2019].</w:t>
      </w:r>
    </w:p>
    <w:p w14:paraId="09214822" w14:textId="7132B3E6" w:rsidR="00A412DA" w:rsidRPr="00583B1E" w:rsidRDefault="009A1B8F"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Hsbc.com.my. (2019).</w:t>
      </w:r>
      <w:r w:rsidRPr="00583B1E">
        <w:rPr>
          <w:rStyle w:val="apple-converted-space"/>
          <w:rFonts w:ascii="Arial" w:hAnsi="Arial" w:cs="Arial"/>
          <w:color w:val="000000"/>
          <w:shd w:val="clear" w:color="auto" w:fill="FFFFFF"/>
        </w:rPr>
        <w:t> </w:t>
      </w:r>
      <w:r w:rsidRPr="00583B1E">
        <w:rPr>
          <w:rFonts w:ascii="Arial" w:hAnsi="Arial" w:cs="Arial"/>
          <w:i/>
          <w:iCs/>
          <w:color w:val="000000"/>
        </w:rPr>
        <w:t>HSBC Amanah Malaysia - Internet Banking - HSBC Amanah Malaysia Berhad</w:t>
      </w:r>
      <w:r w:rsidRPr="00583B1E">
        <w:rPr>
          <w:rFonts w:ascii="Arial" w:hAnsi="Arial" w:cs="Arial"/>
          <w:color w:val="000000"/>
          <w:shd w:val="clear" w:color="auto" w:fill="FFFFFF"/>
        </w:rPr>
        <w:t>. [online] Available at: https://www.hsbc.com.my/1/2/!ut/p/c5/04_SB8K8xLLM9MSSzPy8xBz9CP0os3gDd-NQv1BDg2AXA1-PEE9zRy8zAwgAykdiynt6wOWJ0e1v6m5g6RNiYWngbeRvHGRqbECc7uDUvPjQYP2C3NCIckdFRQDkeuo_/ [Accessed 18 Nov. 2019].</w:t>
      </w:r>
    </w:p>
    <w:p w14:paraId="44605EEF" w14:textId="77777777" w:rsidR="009A1B8F" w:rsidRPr="00583B1E" w:rsidRDefault="009A1B8F"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Hafiz, M., Sadaf, R. and M, S. (2013). Comparison of financial instruments in Islamic versus conventional banking system and liquidity management.</w:t>
      </w:r>
      <w:r w:rsidRPr="00583B1E">
        <w:rPr>
          <w:rStyle w:val="apple-converted-space"/>
          <w:rFonts w:ascii="Arial" w:hAnsi="Arial" w:cs="Arial"/>
          <w:color w:val="000000"/>
          <w:shd w:val="clear" w:color="auto" w:fill="FFFFFF"/>
        </w:rPr>
        <w:t> </w:t>
      </w:r>
      <w:r w:rsidRPr="00583B1E">
        <w:rPr>
          <w:rFonts w:ascii="Arial" w:hAnsi="Arial" w:cs="Arial"/>
          <w:i/>
          <w:iCs/>
          <w:color w:val="000000"/>
        </w:rPr>
        <w:t>African Journal of Business Management</w:t>
      </w:r>
      <w:r w:rsidRPr="00583B1E">
        <w:rPr>
          <w:rFonts w:ascii="Arial" w:hAnsi="Arial" w:cs="Arial"/>
          <w:color w:val="000000"/>
          <w:shd w:val="clear" w:color="auto" w:fill="FFFFFF"/>
        </w:rPr>
        <w:t>, 7(18), pp.1695-1700.</w:t>
      </w:r>
    </w:p>
    <w:p w14:paraId="1247C4FD" w14:textId="6E1FA15F" w:rsidR="003B3C5A" w:rsidRPr="00583B1E" w:rsidRDefault="003B3C5A"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lastRenderedPageBreak/>
        <w:t>İncekara, A. and Çetinkaya, H. (2019). Liquidity Risk Management: A Comparative Analysis of Panel Data Between Islamic And Conventional Banking In Turkey.</w:t>
      </w:r>
      <w:r w:rsidRPr="00583B1E">
        <w:rPr>
          <w:rStyle w:val="apple-converted-space"/>
          <w:rFonts w:ascii="Arial" w:hAnsi="Arial" w:cs="Arial"/>
          <w:color w:val="000000"/>
          <w:shd w:val="clear" w:color="auto" w:fill="FFFFFF"/>
        </w:rPr>
        <w:t> </w:t>
      </w:r>
      <w:r w:rsidRPr="00583B1E">
        <w:rPr>
          <w:rFonts w:ascii="Arial" w:hAnsi="Arial" w:cs="Arial"/>
          <w:i/>
          <w:iCs/>
          <w:color w:val="000000"/>
        </w:rPr>
        <w:t>Procedia Computer Science</w:t>
      </w:r>
      <w:r w:rsidRPr="00583B1E">
        <w:rPr>
          <w:rFonts w:ascii="Arial" w:hAnsi="Arial" w:cs="Arial"/>
          <w:color w:val="000000"/>
          <w:shd w:val="clear" w:color="auto" w:fill="FFFFFF"/>
        </w:rPr>
        <w:t>, 158, pp.955-963.</w:t>
      </w:r>
    </w:p>
    <w:p w14:paraId="4E7EAAA7" w14:textId="6E280E8A" w:rsidR="00C875E5" w:rsidRPr="00583B1E" w:rsidRDefault="00102DDD" w:rsidP="006B166C">
      <w:pPr>
        <w:spacing w:after="480" w:line="360" w:lineRule="auto"/>
        <w:jc w:val="both"/>
        <w:rPr>
          <w:rFonts w:ascii="Arial" w:hAnsi="Arial" w:cs="Arial"/>
          <w:color w:val="000000"/>
          <w:shd w:val="clear" w:color="auto" w:fill="FFFFFF"/>
        </w:rPr>
      </w:pPr>
      <w:hyperlink r:id="rId29" w:tgtFrame="_blank" w:history="1">
        <w:r w:rsidR="00C875E5" w:rsidRPr="00583B1E">
          <w:rPr>
            <w:rFonts w:ascii="Arial" w:hAnsi="Arial" w:cs="Arial"/>
            <w:color w:val="000000"/>
            <w:shd w:val="clear" w:color="auto" w:fill="FFFFFF"/>
          </w:rPr>
          <w:t xml:space="preserve">Imenda, S. (2014). Is there a conceptual difference between theoretical and conceptual frameworks. </w:t>
        </w:r>
        <w:r w:rsidR="00C875E5" w:rsidRPr="00583B1E">
          <w:rPr>
            <w:rFonts w:ascii="Arial" w:hAnsi="Arial" w:cs="Arial"/>
            <w:i/>
            <w:iCs/>
            <w:color w:val="000000"/>
            <w:shd w:val="clear" w:color="auto" w:fill="FFFFFF"/>
          </w:rPr>
          <w:t>Journal of Social Sciences</w:t>
        </w:r>
        <w:r w:rsidR="00C875E5" w:rsidRPr="00583B1E">
          <w:rPr>
            <w:rFonts w:ascii="Arial" w:hAnsi="Arial" w:cs="Arial"/>
            <w:color w:val="000000"/>
            <w:shd w:val="clear" w:color="auto" w:fill="FFFFFF"/>
          </w:rPr>
          <w:t>, 38(2), 185-195.</w:t>
        </w:r>
      </w:hyperlink>
    </w:p>
    <w:p w14:paraId="4D50E183" w14:textId="77777777" w:rsidR="003B3C5A" w:rsidRPr="00583B1E" w:rsidRDefault="003B3C5A" w:rsidP="006B166C">
      <w:pPr>
        <w:pStyle w:val="NormalWeb"/>
        <w:spacing w:after="480" w:afterAutospacing="0" w:line="360" w:lineRule="auto"/>
        <w:jc w:val="both"/>
        <w:rPr>
          <w:rFonts w:ascii="Arial" w:hAnsi="Arial" w:cs="Arial"/>
        </w:rPr>
      </w:pPr>
      <w:r w:rsidRPr="00583B1E">
        <w:rPr>
          <w:rFonts w:ascii="Arial" w:hAnsi="Arial" w:cs="Arial"/>
        </w:rPr>
        <w:t xml:space="preserve">Ismail. R. (2010). </w:t>
      </w:r>
      <w:r w:rsidRPr="00583B1E">
        <w:rPr>
          <w:rFonts w:ascii="Arial" w:hAnsi="Arial" w:cs="Arial"/>
          <w:i/>
          <w:iCs/>
        </w:rPr>
        <w:t>Strengthening and improving the liquidity management in Islamic banking</w:t>
      </w:r>
      <w:r w:rsidRPr="00583B1E">
        <w:rPr>
          <w:rFonts w:ascii="Arial" w:hAnsi="Arial" w:cs="Arial"/>
        </w:rPr>
        <w:t xml:space="preserve">. </w:t>
      </w:r>
      <w:proofErr w:type="spellStart"/>
      <w:r w:rsidRPr="00583B1E">
        <w:rPr>
          <w:rFonts w:ascii="Arial" w:hAnsi="Arial" w:cs="Arial"/>
          <w:i/>
          <w:iCs/>
        </w:rPr>
        <w:t>Humanomics</w:t>
      </w:r>
      <w:proofErr w:type="spellEnd"/>
      <w:r w:rsidRPr="00583B1E">
        <w:rPr>
          <w:rFonts w:ascii="Arial" w:hAnsi="Arial" w:cs="Arial"/>
        </w:rPr>
        <w:t xml:space="preserve">, </w:t>
      </w:r>
      <w:r w:rsidRPr="00583B1E">
        <w:rPr>
          <w:rFonts w:ascii="Arial" w:hAnsi="Arial" w:cs="Arial"/>
          <w:i/>
          <w:iCs/>
        </w:rPr>
        <w:t>26</w:t>
      </w:r>
      <w:r w:rsidRPr="00583B1E">
        <w:rPr>
          <w:rFonts w:ascii="Arial" w:hAnsi="Arial" w:cs="Arial"/>
        </w:rPr>
        <w:t xml:space="preserve">(1), 18-35. </w:t>
      </w:r>
    </w:p>
    <w:p w14:paraId="4F3B5C04" w14:textId="77777777" w:rsidR="00354A14" w:rsidRPr="00583B1E" w:rsidRDefault="003B3C5A" w:rsidP="006B166C">
      <w:pPr>
        <w:pStyle w:val="NormalWeb"/>
        <w:spacing w:after="480" w:afterAutospacing="0" w:line="360" w:lineRule="auto"/>
        <w:jc w:val="both"/>
        <w:rPr>
          <w:rFonts w:ascii="Arial" w:hAnsi="Arial" w:cs="Arial"/>
        </w:rPr>
      </w:pPr>
      <w:r w:rsidRPr="00583B1E">
        <w:rPr>
          <w:rFonts w:ascii="Arial" w:hAnsi="Arial" w:cs="Arial"/>
        </w:rPr>
        <w:t xml:space="preserve">Islam, M., &amp; Chowdhury, H. A. (2007). </w:t>
      </w:r>
      <w:r w:rsidRPr="00583B1E">
        <w:rPr>
          <w:rFonts w:ascii="Arial" w:hAnsi="Arial" w:cs="Arial"/>
          <w:i/>
          <w:iCs/>
        </w:rPr>
        <w:t>A comparative Study of Liquidity Management of an Islamic and a conventional bank: The Evidence from Bangladesh</w:t>
      </w:r>
      <w:r w:rsidRPr="00583B1E">
        <w:rPr>
          <w:rFonts w:ascii="Arial" w:hAnsi="Arial" w:cs="Arial"/>
        </w:rPr>
        <w:t xml:space="preserve">. Dhakka. </w:t>
      </w:r>
    </w:p>
    <w:p w14:paraId="7B494FC2" w14:textId="77777777" w:rsidR="002B2F39" w:rsidRPr="00583B1E" w:rsidRDefault="003B3C5A" w:rsidP="006B166C">
      <w:pPr>
        <w:pStyle w:val="NormalWeb"/>
        <w:spacing w:after="480" w:afterAutospacing="0" w:line="360" w:lineRule="auto"/>
        <w:jc w:val="both"/>
        <w:rPr>
          <w:rFonts w:ascii="Arial" w:hAnsi="Arial" w:cs="Arial"/>
          <w:color w:val="000000"/>
          <w:shd w:val="clear" w:color="auto" w:fill="FFFFFF"/>
        </w:rPr>
      </w:pPr>
      <w:r w:rsidRPr="00583B1E">
        <w:rPr>
          <w:rFonts w:ascii="Arial" w:hAnsi="Arial" w:cs="Arial"/>
          <w:color w:val="000000"/>
          <w:shd w:val="clear" w:color="auto" w:fill="FFFFFF"/>
        </w:rPr>
        <w:t>Islamicmarkets.com. (2019).</w:t>
      </w:r>
      <w:r w:rsidRPr="00583B1E">
        <w:rPr>
          <w:rStyle w:val="apple-converted-space"/>
          <w:rFonts w:ascii="Arial" w:hAnsi="Arial" w:cs="Arial"/>
          <w:color w:val="000000"/>
          <w:shd w:val="clear" w:color="auto" w:fill="FFFFFF"/>
        </w:rPr>
        <w:t> </w:t>
      </w:r>
      <w:r w:rsidRPr="00583B1E">
        <w:rPr>
          <w:rFonts w:ascii="Arial" w:hAnsi="Arial" w:cs="Arial"/>
          <w:i/>
          <w:iCs/>
          <w:color w:val="000000"/>
        </w:rPr>
        <w:t>Hong Leong Islamic Bank: Annual Report 2017</w:t>
      </w:r>
      <w:r w:rsidRPr="00583B1E">
        <w:rPr>
          <w:rFonts w:ascii="Arial" w:hAnsi="Arial" w:cs="Arial"/>
          <w:color w:val="000000"/>
          <w:shd w:val="clear" w:color="auto" w:fill="FFFFFF"/>
        </w:rPr>
        <w:t>. [online] Available at: https://islamicmarkets.com/publications/hong-leong-islamic-bank-annual-report-2017 [Accessed 18 Nov. 2019].</w:t>
      </w:r>
    </w:p>
    <w:p w14:paraId="26DA3CC2" w14:textId="57E8F9CA" w:rsidR="00A412DA" w:rsidRPr="00583B1E" w:rsidRDefault="00A412DA" w:rsidP="00583B1E">
      <w:pPr>
        <w:pStyle w:val="NormalWeb"/>
        <w:spacing w:after="480" w:afterAutospacing="0"/>
        <w:jc w:val="both"/>
        <w:rPr>
          <w:rFonts w:ascii="Arial" w:hAnsi="Arial" w:cs="Arial"/>
          <w:color w:val="000000"/>
          <w:shd w:val="clear" w:color="auto" w:fill="FFFFFF"/>
        </w:rPr>
      </w:pPr>
      <w:proofErr w:type="spellStart"/>
      <w:r w:rsidRPr="00583B1E">
        <w:rPr>
          <w:rFonts w:ascii="Arial" w:hAnsi="Arial" w:cs="Arial"/>
        </w:rPr>
        <w:t>Kassu</w:t>
      </w:r>
      <w:proofErr w:type="spellEnd"/>
      <w:r w:rsidRPr="00583B1E">
        <w:rPr>
          <w:rFonts w:ascii="Arial" w:hAnsi="Arial" w:cs="Arial"/>
        </w:rPr>
        <w:t>, J. (2019). Research Design and Methodology</w:t>
      </w:r>
      <w:r w:rsidRPr="00583B1E">
        <w:rPr>
          <w:rFonts w:ascii="Arial" w:hAnsi="Arial" w:cs="Arial"/>
          <w:color w:val="000000"/>
          <w:shd w:val="clear" w:color="auto" w:fill="FFFFFF"/>
        </w:rPr>
        <w:t>.</w:t>
      </w:r>
    </w:p>
    <w:p w14:paraId="76BB5BEE" w14:textId="4A1659C8" w:rsidR="002B2F39" w:rsidRPr="00583B1E" w:rsidRDefault="002658C9" w:rsidP="006B166C">
      <w:pPr>
        <w:spacing w:after="480" w:line="360" w:lineRule="auto"/>
        <w:jc w:val="both"/>
        <w:rPr>
          <w:rFonts w:ascii="Arial" w:hAnsi="Arial" w:cs="Arial"/>
          <w:sz w:val="36"/>
          <w:szCs w:val="36"/>
        </w:rPr>
      </w:pPr>
      <w:r w:rsidRPr="00583B1E">
        <w:rPr>
          <w:rFonts w:ascii="Arial" w:hAnsi="Arial" w:cs="Arial"/>
          <w:color w:val="000000"/>
          <w:shd w:val="clear" w:color="auto" w:fill="FFFFFF"/>
        </w:rPr>
        <w:t>Karl, T. (2017).</w:t>
      </w:r>
      <w:r w:rsidRPr="00583B1E">
        <w:rPr>
          <w:rStyle w:val="apple-converted-space"/>
          <w:rFonts w:ascii="Arial" w:hAnsi="Arial" w:cs="Arial"/>
          <w:color w:val="000000"/>
          <w:shd w:val="clear" w:color="auto" w:fill="FFFFFF"/>
        </w:rPr>
        <w:t> </w:t>
      </w:r>
      <w:r w:rsidRPr="00583B1E">
        <w:rPr>
          <w:rFonts w:ascii="Arial" w:hAnsi="Arial" w:cs="Arial"/>
          <w:i/>
          <w:iCs/>
          <w:color w:val="000000"/>
        </w:rPr>
        <w:t>The strengths and limitations of secondary data</w:t>
      </w:r>
      <w:r w:rsidRPr="00583B1E">
        <w:rPr>
          <w:rFonts w:ascii="Arial" w:hAnsi="Arial" w:cs="Arial"/>
          <w:color w:val="000000"/>
          <w:shd w:val="clear" w:color="auto" w:fill="FFFFFF"/>
        </w:rPr>
        <w:t>. [online] Revise Sociology. Available at: https://revisesociology.com/2017/04/24/the-strengths-and-limitations-of-secondary-data/ [Accessed 18 Dec. 2019].</w:t>
      </w:r>
    </w:p>
    <w:p w14:paraId="12F365EA" w14:textId="6378486B" w:rsidR="003B3C5A" w:rsidRPr="00583B1E" w:rsidRDefault="003B3C5A"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 xml:space="preserve">Lo, C. and </w:t>
      </w:r>
      <w:proofErr w:type="spellStart"/>
      <w:r w:rsidRPr="00583B1E">
        <w:rPr>
          <w:rFonts w:ascii="Arial" w:hAnsi="Arial" w:cs="Arial"/>
          <w:color w:val="000000"/>
          <w:shd w:val="clear" w:color="auto" w:fill="FFFFFF"/>
        </w:rPr>
        <w:t>Leow</w:t>
      </w:r>
      <w:proofErr w:type="spellEnd"/>
      <w:r w:rsidRPr="00583B1E">
        <w:rPr>
          <w:rFonts w:ascii="Arial" w:hAnsi="Arial" w:cs="Arial"/>
          <w:color w:val="000000"/>
          <w:shd w:val="clear" w:color="auto" w:fill="FFFFFF"/>
        </w:rPr>
        <w:t>, C. (2014). Islamic Banking in Malaysia: A Sustainable Growth of the Consumer Market. </w:t>
      </w:r>
      <w:r w:rsidRPr="00583B1E">
        <w:rPr>
          <w:rFonts w:ascii="Arial" w:hAnsi="Arial" w:cs="Arial"/>
          <w:i/>
          <w:iCs/>
          <w:color w:val="000000"/>
        </w:rPr>
        <w:t>International Journal of Trade, Economics and Finance</w:t>
      </w:r>
      <w:r w:rsidRPr="00583B1E">
        <w:rPr>
          <w:rFonts w:ascii="Arial" w:hAnsi="Arial" w:cs="Arial"/>
          <w:color w:val="000000"/>
          <w:shd w:val="clear" w:color="auto" w:fill="FFFFFF"/>
        </w:rPr>
        <w:t>, 5(6), pp.526-529.</w:t>
      </w:r>
    </w:p>
    <w:p w14:paraId="187F1787" w14:textId="0DF2850B" w:rsidR="002B2F39" w:rsidRPr="00583B1E" w:rsidRDefault="002B2F39" w:rsidP="006B166C">
      <w:pPr>
        <w:spacing w:after="480" w:line="360" w:lineRule="auto"/>
        <w:jc w:val="both"/>
        <w:rPr>
          <w:rFonts w:ascii="Arial" w:hAnsi="Arial" w:cs="Arial"/>
          <w:sz w:val="36"/>
          <w:szCs w:val="36"/>
        </w:rPr>
      </w:pPr>
      <w:r w:rsidRPr="00583B1E">
        <w:rPr>
          <w:rFonts w:ascii="Arial" w:hAnsi="Arial" w:cs="Arial"/>
          <w:color w:val="000000"/>
          <w:shd w:val="clear" w:color="auto" w:fill="FFFFFF"/>
        </w:rPr>
        <w:t>Libguides.usc.edu. (2019).</w:t>
      </w:r>
      <w:r w:rsidRPr="00583B1E">
        <w:rPr>
          <w:rStyle w:val="apple-converted-space"/>
          <w:rFonts w:ascii="Arial" w:hAnsi="Arial" w:cs="Arial"/>
          <w:color w:val="000000"/>
          <w:shd w:val="clear" w:color="auto" w:fill="FFFFFF"/>
        </w:rPr>
        <w:t> </w:t>
      </w:r>
      <w:r w:rsidRPr="00583B1E">
        <w:rPr>
          <w:rFonts w:ascii="Arial" w:hAnsi="Arial" w:cs="Arial"/>
          <w:i/>
          <w:iCs/>
          <w:color w:val="000000"/>
        </w:rPr>
        <w:t>Research Guides: Organizing Your Social Sciences Research Paper: Limitations of the Study</w:t>
      </w:r>
      <w:r w:rsidRPr="00583B1E">
        <w:rPr>
          <w:rFonts w:ascii="Arial" w:hAnsi="Arial" w:cs="Arial"/>
          <w:color w:val="000000"/>
          <w:shd w:val="clear" w:color="auto" w:fill="FFFFFF"/>
        </w:rPr>
        <w:t>. [online] Available at: https://libguides.usc.edu/writingguide/limitations [Accessed 18 Dec. 2019].</w:t>
      </w:r>
    </w:p>
    <w:p w14:paraId="5F9BD425" w14:textId="77777777" w:rsidR="003B3C5A" w:rsidRPr="00583B1E" w:rsidRDefault="003B3C5A"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lastRenderedPageBreak/>
        <w:t>Malaysia, A. (2019).</w:t>
      </w:r>
      <w:r w:rsidRPr="00583B1E">
        <w:rPr>
          <w:rStyle w:val="apple-converted-space"/>
          <w:rFonts w:ascii="Arial" w:hAnsi="Arial" w:cs="Arial"/>
          <w:color w:val="000000"/>
          <w:shd w:val="clear" w:color="auto" w:fill="FFFFFF"/>
        </w:rPr>
        <w:t> </w:t>
      </w:r>
      <w:r w:rsidRPr="00583B1E">
        <w:rPr>
          <w:rFonts w:ascii="Arial" w:hAnsi="Arial" w:cs="Arial"/>
          <w:i/>
          <w:iCs/>
          <w:color w:val="000000"/>
        </w:rPr>
        <w:t>Annual Reports | Maybank</w:t>
      </w:r>
      <w:r w:rsidRPr="00583B1E">
        <w:rPr>
          <w:rFonts w:ascii="Arial" w:hAnsi="Arial" w:cs="Arial"/>
          <w:color w:val="000000"/>
          <w:shd w:val="clear" w:color="auto" w:fill="FFFFFF"/>
        </w:rPr>
        <w:t>. [online] Maybank Malaysia. Available at: https://www.maybank.com/en/investor-relations/reporting-events/reports/annual-reports.page [Accessed 18 Nov. 2019].</w:t>
      </w:r>
    </w:p>
    <w:p w14:paraId="782683F4" w14:textId="49C394D3" w:rsidR="003B3C5A" w:rsidRPr="00583B1E" w:rsidRDefault="003B3C5A"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Mbsb.com.my. (2019).</w:t>
      </w:r>
      <w:r w:rsidRPr="00583B1E">
        <w:rPr>
          <w:rStyle w:val="apple-converted-space"/>
          <w:rFonts w:ascii="Arial" w:hAnsi="Arial" w:cs="Arial"/>
          <w:color w:val="000000"/>
          <w:shd w:val="clear" w:color="auto" w:fill="FFFFFF"/>
        </w:rPr>
        <w:t> </w:t>
      </w:r>
      <w:r w:rsidRPr="00583B1E">
        <w:rPr>
          <w:rFonts w:ascii="Arial" w:hAnsi="Arial" w:cs="Arial"/>
          <w:i/>
          <w:iCs/>
          <w:color w:val="000000"/>
        </w:rPr>
        <w:t>Malaysia Building Society Berhad</w:t>
      </w:r>
      <w:r w:rsidRPr="00583B1E">
        <w:rPr>
          <w:rFonts w:ascii="Arial" w:hAnsi="Arial" w:cs="Arial"/>
          <w:color w:val="000000"/>
          <w:shd w:val="clear" w:color="auto" w:fill="FFFFFF"/>
        </w:rPr>
        <w:t>. Available at: https://www.mbsb.com.my/ar.html [Accessed 18 Nov. 2019].</w:t>
      </w:r>
    </w:p>
    <w:p w14:paraId="6F314C73" w14:textId="4C3760A4" w:rsidR="001E69BC" w:rsidRPr="00583B1E" w:rsidRDefault="001E69BC" w:rsidP="006B166C">
      <w:pPr>
        <w:spacing w:after="480" w:line="360" w:lineRule="auto"/>
        <w:jc w:val="both"/>
        <w:rPr>
          <w:rFonts w:ascii="Arial" w:hAnsi="Arial" w:cs="Arial"/>
          <w:sz w:val="36"/>
          <w:szCs w:val="36"/>
        </w:rPr>
      </w:pPr>
      <w:r w:rsidRPr="00583B1E">
        <w:rPr>
          <w:rFonts w:ascii="Arial" w:hAnsi="Arial" w:cs="Arial"/>
          <w:color w:val="000000"/>
          <w:shd w:val="clear" w:color="auto" w:fill="FFFFFF"/>
        </w:rPr>
        <w:t>Mohamed, N. (2014).</w:t>
      </w:r>
      <w:r w:rsidRPr="00583B1E">
        <w:rPr>
          <w:rStyle w:val="apple-converted-space"/>
          <w:rFonts w:ascii="Arial" w:hAnsi="Arial" w:cs="Arial"/>
          <w:color w:val="000000"/>
          <w:shd w:val="clear" w:color="auto" w:fill="FFFFFF"/>
        </w:rPr>
        <w:t> </w:t>
      </w:r>
      <w:r w:rsidRPr="00583B1E">
        <w:rPr>
          <w:rFonts w:ascii="Arial" w:hAnsi="Arial" w:cs="Arial"/>
          <w:i/>
          <w:iCs/>
          <w:color w:val="000000"/>
        </w:rPr>
        <w:t>Malaysia</w:t>
      </w:r>
      <w:r w:rsidRPr="00583B1E">
        <w:rPr>
          <w:rFonts w:ascii="Arial" w:hAnsi="Arial" w:cs="Arial"/>
          <w:color w:val="000000"/>
          <w:shd w:val="clear" w:color="auto" w:fill="FFFFFF"/>
        </w:rPr>
        <w:t>. [online] ASEAN - Association of Southeast Asian Nations. Available at: https://asean.elibrary.imf.org/view/IMF002/21261-9781484352373/21261-9781484352373/21261-9781484352373_A001.xml?redirect=true [Accessed 17 Dec. 2019].</w:t>
      </w:r>
    </w:p>
    <w:p w14:paraId="78A112C9" w14:textId="77777777" w:rsidR="003B3C5A" w:rsidRPr="00583B1E" w:rsidRDefault="003B3C5A"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Muamalat.com.my. (2019).</w:t>
      </w:r>
      <w:r w:rsidRPr="00583B1E">
        <w:rPr>
          <w:rStyle w:val="apple-converted-space"/>
          <w:rFonts w:ascii="Arial" w:hAnsi="Arial" w:cs="Arial"/>
          <w:color w:val="000000"/>
          <w:shd w:val="clear" w:color="auto" w:fill="FFFFFF"/>
        </w:rPr>
        <w:t> </w:t>
      </w:r>
      <w:r w:rsidRPr="00583B1E">
        <w:rPr>
          <w:rFonts w:ascii="Arial" w:hAnsi="Arial" w:cs="Arial"/>
          <w:i/>
          <w:iCs/>
          <w:color w:val="000000"/>
        </w:rPr>
        <w:t>Bank Muamalat Malaysia Berhad » Financials</w:t>
      </w:r>
      <w:r w:rsidRPr="00583B1E">
        <w:rPr>
          <w:rFonts w:ascii="Arial" w:hAnsi="Arial" w:cs="Arial"/>
          <w:color w:val="000000"/>
          <w:shd w:val="clear" w:color="auto" w:fill="FFFFFF"/>
        </w:rPr>
        <w:t>. [online] Available at: https://www.muamalat.com.my/corporate-overview/financials/?y=2019 [Accessed 18 Nov. 2019].</w:t>
      </w:r>
    </w:p>
    <w:p w14:paraId="6DAAD201" w14:textId="6AB5060D" w:rsidR="003B3C5A" w:rsidRPr="00583B1E" w:rsidRDefault="003B3C5A" w:rsidP="006B166C">
      <w:pPr>
        <w:spacing w:after="480" w:line="360" w:lineRule="auto"/>
        <w:jc w:val="both"/>
        <w:rPr>
          <w:rFonts w:ascii="Arial" w:hAnsi="Arial" w:cs="Arial"/>
          <w:color w:val="000000"/>
          <w:shd w:val="clear" w:color="auto" w:fill="FFFFFF"/>
        </w:rPr>
      </w:pPr>
      <w:proofErr w:type="spellStart"/>
      <w:r w:rsidRPr="00583B1E">
        <w:rPr>
          <w:rFonts w:ascii="Arial" w:hAnsi="Arial" w:cs="Arial"/>
          <w:color w:val="000000"/>
          <w:shd w:val="clear" w:color="auto" w:fill="FFFFFF"/>
        </w:rPr>
        <w:t>Musaeva</w:t>
      </w:r>
      <w:proofErr w:type="spellEnd"/>
      <w:r w:rsidRPr="00583B1E">
        <w:rPr>
          <w:rFonts w:ascii="Arial" w:hAnsi="Arial" w:cs="Arial"/>
          <w:color w:val="000000"/>
          <w:shd w:val="clear" w:color="auto" w:fill="FFFFFF"/>
        </w:rPr>
        <w:t xml:space="preserve">, G., Mohamad, S., Shah, M. and Muhamad </w:t>
      </w:r>
      <w:proofErr w:type="spellStart"/>
      <w:r w:rsidRPr="00583B1E">
        <w:rPr>
          <w:rFonts w:ascii="Arial" w:hAnsi="Arial" w:cs="Arial"/>
          <w:color w:val="000000"/>
          <w:shd w:val="clear" w:color="auto" w:fill="FFFFFF"/>
        </w:rPr>
        <w:t>Sori</w:t>
      </w:r>
      <w:proofErr w:type="spellEnd"/>
      <w:r w:rsidRPr="00583B1E">
        <w:rPr>
          <w:rFonts w:ascii="Arial" w:hAnsi="Arial" w:cs="Arial"/>
          <w:color w:val="000000"/>
          <w:shd w:val="clear" w:color="auto" w:fill="FFFFFF"/>
        </w:rPr>
        <w:t>, Z. (2015). Research on Islamic Banking in Malaysia: A Guide for Future Directions. </w:t>
      </w:r>
      <w:r w:rsidRPr="00583B1E">
        <w:rPr>
          <w:rFonts w:ascii="Arial" w:hAnsi="Arial" w:cs="Arial"/>
          <w:i/>
          <w:iCs/>
          <w:color w:val="000000"/>
        </w:rPr>
        <w:t>SSRN Electronic Journal</w:t>
      </w:r>
      <w:r w:rsidRPr="00583B1E">
        <w:rPr>
          <w:rFonts w:ascii="Arial" w:hAnsi="Arial" w:cs="Arial"/>
          <w:color w:val="000000"/>
          <w:shd w:val="clear" w:color="auto" w:fill="FFFFFF"/>
        </w:rPr>
        <w:t>.</w:t>
      </w:r>
    </w:p>
    <w:p w14:paraId="4D476D7E" w14:textId="1549A705" w:rsidR="003B3C5A" w:rsidRPr="00583B1E" w:rsidRDefault="003B3C5A"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Mohajan, H. (2017). TWO CRITERIA FOR GOOD MEASUREMENTS IN RESEARCH: VALIDITY AND RELIABILITY.</w:t>
      </w:r>
      <w:r w:rsidRPr="00583B1E">
        <w:rPr>
          <w:rStyle w:val="apple-converted-space"/>
          <w:rFonts w:ascii="Arial" w:hAnsi="Arial" w:cs="Arial"/>
          <w:color w:val="000000"/>
          <w:shd w:val="clear" w:color="auto" w:fill="FFFFFF"/>
        </w:rPr>
        <w:t> </w:t>
      </w:r>
      <w:r w:rsidRPr="00583B1E">
        <w:rPr>
          <w:rFonts w:ascii="Arial" w:hAnsi="Arial" w:cs="Arial"/>
          <w:i/>
          <w:iCs/>
          <w:color w:val="000000"/>
        </w:rPr>
        <w:t xml:space="preserve">Annals of </w:t>
      </w:r>
      <w:proofErr w:type="spellStart"/>
      <w:r w:rsidRPr="00583B1E">
        <w:rPr>
          <w:rFonts w:ascii="Arial" w:hAnsi="Arial" w:cs="Arial"/>
          <w:i/>
          <w:iCs/>
          <w:color w:val="000000"/>
        </w:rPr>
        <w:t>Spiru</w:t>
      </w:r>
      <w:proofErr w:type="spellEnd"/>
      <w:r w:rsidRPr="00583B1E">
        <w:rPr>
          <w:rFonts w:ascii="Arial" w:hAnsi="Arial" w:cs="Arial"/>
          <w:i/>
          <w:iCs/>
          <w:color w:val="000000"/>
        </w:rPr>
        <w:t xml:space="preserve"> </w:t>
      </w:r>
      <w:proofErr w:type="spellStart"/>
      <w:r w:rsidRPr="00583B1E">
        <w:rPr>
          <w:rFonts w:ascii="Arial" w:hAnsi="Arial" w:cs="Arial"/>
          <w:i/>
          <w:iCs/>
          <w:color w:val="000000"/>
        </w:rPr>
        <w:t>Haret</w:t>
      </w:r>
      <w:proofErr w:type="spellEnd"/>
      <w:r w:rsidRPr="00583B1E">
        <w:rPr>
          <w:rFonts w:ascii="Arial" w:hAnsi="Arial" w:cs="Arial"/>
          <w:i/>
          <w:iCs/>
          <w:color w:val="000000"/>
        </w:rPr>
        <w:t xml:space="preserve"> University. Economic Series</w:t>
      </w:r>
      <w:r w:rsidRPr="00583B1E">
        <w:rPr>
          <w:rFonts w:ascii="Arial" w:hAnsi="Arial" w:cs="Arial"/>
          <w:color w:val="000000"/>
          <w:shd w:val="clear" w:color="auto" w:fill="FFFFFF"/>
        </w:rPr>
        <w:t>, 17(4), pp.59-82.</w:t>
      </w:r>
    </w:p>
    <w:p w14:paraId="459935F8" w14:textId="5FF849D2" w:rsidR="001E69BC" w:rsidRPr="00583B1E" w:rsidRDefault="001E69BC" w:rsidP="006B166C">
      <w:pPr>
        <w:spacing w:after="480" w:line="360" w:lineRule="auto"/>
        <w:jc w:val="both"/>
        <w:rPr>
          <w:rFonts w:ascii="Arial" w:hAnsi="Arial" w:cs="Arial"/>
        </w:rPr>
      </w:pPr>
      <w:proofErr w:type="spellStart"/>
      <w:r w:rsidRPr="00583B1E">
        <w:rPr>
          <w:rFonts w:ascii="Arial" w:hAnsi="Arial" w:cs="Arial"/>
          <w:color w:val="000000"/>
          <w:shd w:val="clear" w:color="auto" w:fill="FFFFFF"/>
        </w:rPr>
        <w:t>Mudzingiri</w:t>
      </w:r>
      <w:proofErr w:type="spellEnd"/>
      <w:r w:rsidRPr="00583B1E">
        <w:rPr>
          <w:rFonts w:ascii="Arial" w:hAnsi="Arial" w:cs="Arial"/>
          <w:color w:val="000000"/>
          <w:shd w:val="clear" w:color="auto" w:fill="FFFFFF"/>
        </w:rPr>
        <w:t>, C. (2014). The Impact and Lessons of the 2008 Global Financial Crisis to Zimbabwe.</w:t>
      </w:r>
      <w:r w:rsidRPr="00583B1E">
        <w:rPr>
          <w:rStyle w:val="apple-converted-space"/>
          <w:rFonts w:ascii="Arial" w:hAnsi="Arial" w:cs="Arial"/>
          <w:color w:val="000000"/>
          <w:shd w:val="clear" w:color="auto" w:fill="FFFFFF"/>
        </w:rPr>
        <w:t> </w:t>
      </w:r>
      <w:r w:rsidRPr="00583B1E">
        <w:rPr>
          <w:rFonts w:ascii="Arial" w:hAnsi="Arial" w:cs="Arial"/>
          <w:i/>
          <w:iCs/>
          <w:color w:val="000000"/>
        </w:rPr>
        <w:t>Mediterranean Journal of Social Sciences</w:t>
      </w:r>
      <w:r w:rsidRPr="00583B1E">
        <w:rPr>
          <w:rFonts w:ascii="Arial" w:hAnsi="Arial" w:cs="Arial"/>
          <w:color w:val="000000"/>
          <w:shd w:val="clear" w:color="auto" w:fill="FFFFFF"/>
        </w:rPr>
        <w:t>.</w:t>
      </w:r>
    </w:p>
    <w:p w14:paraId="5ECAD8B7" w14:textId="7F2A4FF0" w:rsidR="001E69BC" w:rsidRPr="00583B1E" w:rsidRDefault="001E69BC" w:rsidP="006B166C">
      <w:pPr>
        <w:spacing w:after="480" w:line="360" w:lineRule="auto"/>
        <w:jc w:val="both"/>
        <w:rPr>
          <w:rFonts w:ascii="Arial" w:hAnsi="Arial" w:cs="Arial"/>
        </w:rPr>
      </w:pPr>
      <w:proofErr w:type="spellStart"/>
      <w:r w:rsidRPr="00583B1E">
        <w:rPr>
          <w:rFonts w:ascii="Arial" w:hAnsi="Arial" w:cs="Arial"/>
          <w:color w:val="000000"/>
          <w:shd w:val="clear" w:color="auto" w:fill="FFFFFF"/>
        </w:rPr>
        <w:t>Nier</w:t>
      </w:r>
      <w:proofErr w:type="spellEnd"/>
      <w:r w:rsidRPr="00583B1E">
        <w:rPr>
          <w:rFonts w:ascii="Arial" w:hAnsi="Arial" w:cs="Arial"/>
          <w:color w:val="000000"/>
          <w:shd w:val="clear" w:color="auto" w:fill="FFFFFF"/>
        </w:rPr>
        <w:t xml:space="preserve">, E. and </w:t>
      </w:r>
      <w:proofErr w:type="spellStart"/>
      <w:r w:rsidRPr="00583B1E">
        <w:rPr>
          <w:rFonts w:ascii="Arial" w:hAnsi="Arial" w:cs="Arial"/>
          <w:color w:val="000000"/>
          <w:shd w:val="clear" w:color="auto" w:fill="FFFFFF"/>
        </w:rPr>
        <w:t>Merrouche</w:t>
      </w:r>
      <w:proofErr w:type="spellEnd"/>
      <w:r w:rsidRPr="00583B1E">
        <w:rPr>
          <w:rFonts w:ascii="Arial" w:hAnsi="Arial" w:cs="Arial"/>
          <w:color w:val="000000"/>
          <w:shd w:val="clear" w:color="auto" w:fill="FFFFFF"/>
        </w:rPr>
        <w:t>, O. (2010). What Caused the Global Financial Crisis? Evidence on the Drivers of Financial Imbalances 1999-2007.</w:t>
      </w:r>
      <w:r w:rsidRPr="00583B1E">
        <w:rPr>
          <w:rStyle w:val="apple-converted-space"/>
          <w:rFonts w:ascii="Arial" w:hAnsi="Arial" w:cs="Arial"/>
          <w:color w:val="000000"/>
          <w:shd w:val="clear" w:color="auto" w:fill="FFFFFF"/>
        </w:rPr>
        <w:t> </w:t>
      </w:r>
      <w:r w:rsidRPr="00583B1E">
        <w:rPr>
          <w:rFonts w:ascii="Arial" w:hAnsi="Arial" w:cs="Arial"/>
          <w:i/>
          <w:iCs/>
          <w:color w:val="000000"/>
        </w:rPr>
        <w:t>SSRN Electronic Journal</w:t>
      </w:r>
      <w:r w:rsidRPr="00583B1E">
        <w:rPr>
          <w:rFonts w:ascii="Arial" w:hAnsi="Arial" w:cs="Arial"/>
          <w:color w:val="000000"/>
          <w:shd w:val="clear" w:color="auto" w:fill="FFFFFF"/>
        </w:rPr>
        <w:t>.</w:t>
      </w:r>
    </w:p>
    <w:p w14:paraId="484061CD" w14:textId="77777777" w:rsidR="003B3C5A" w:rsidRPr="00583B1E" w:rsidRDefault="003B3C5A"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lastRenderedPageBreak/>
        <w:t xml:space="preserve">NJ, </w:t>
      </w:r>
      <w:proofErr w:type="spellStart"/>
      <w:r w:rsidRPr="00583B1E">
        <w:rPr>
          <w:rFonts w:ascii="Arial" w:hAnsi="Arial" w:cs="Arial"/>
          <w:color w:val="000000"/>
          <w:shd w:val="clear" w:color="auto" w:fill="FFFFFF"/>
        </w:rPr>
        <w:t>Gogtay</w:t>
      </w:r>
      <w:proofErr w:type="spellEnd"/>
      <w:r w:rsidRPr="00583B1E">
        <w:rPr>
          <w:rFonts w:ascii="Arial" w:hAnsi="Arial" w:cs="Arial"/>
          <w:color w:val="000000"/>
          <w:shd w:val="clear" w:color="auto" w:fill="FFFFFF"/>
        </w:rPr>
        <w:t>. (2017).</w:t>
      </w:r>
      <w:r w:rsidRPr="00583B1E">
        <w:rPr>
          <w:rStyle w:val="apple-converted-space"/>
          <w:rFonts w:ascii="Arial" w:hAnsi="Arial" w:cs="Arial"/>
          <w:color w:val="000000"/>
          <w:shd w:val="clear" w:color="auto" w:fill="FFFFFF"/>
        </w:rPr>
        <w:t> </w:t>
      </w:r>
      <w:r w:rsidRPr="00583B1E">
        <w:rPr>
          <w:rFonts w:ascii="Arial" w:hAnsi="Arial" w:cs="Arial"/>
          <w:i/>
          <w:iCs/>
          <w:color w:val="000000"/>
        </w:rPr>
        <w:t>Principles of Correlation Analysis</w:t>
      </w:r>
      <w:r w:rsidRPr="00583B1E">
        <w:rPr>
          <w:rFonts w:ascii="Arial" w:hAnsi="Arial" w:cs="Arial"/>
          <w:color w:val="000000"/>
          <w:shd w:val="clear" w:color="auto" w:fill="FFFFFF"/>
        </w:rPr>
        <w:t>. [online] Japi.org. Available at: http://www.japi.org/march_2017/12_sfr_principles_of_correlation.pdf [Accessed 15 Dec. 2019].</w:t>
      </w:r>
    </w:p>
    <w:p w14:paraId="251195E3" w14:textId="77777777" w:rsidR="003B3C5A" w:rsidRPr="00583B1E" w:rsidRDefault="003B3C5A" w:rsidP="006B166C">
      <w:pPr>
        <w:spacing w:after="480" w:line="360" w:lineRule="auto"/>
        <w:jc w:val="both"/>
        <w:rPr>
          <w:rFonts w:ascii="Arial" w:hAnsi="Arial" w:cs="Arial"/>
        </w:rPr>
      </w:pPr>
      <w:r w:rsidRPr="00583B1E">
        <w:rPr>
          <w:rFonts w:ascii="Arial" w:hAnsi="Arial" w:cs="Arial"/>
          <w:color w:val="000000"/>
          <w:shd w:val="clear" w:color="auto" w:fill="FFFFFF"/>
        </w:rPr>
        <w:t>Ocbc.com.my. (2019).</w:t>
      </w:r>
      <w:r w:rsidRPr="00583B1E">
        <w:rPr>
          <w:rStyle w:val="apple-converted-space"/>
          <w:rFonts w:ascii="Arial" w:hAnsi="Arial" w:cs="Arial"/>
          <w:color w:val="000000"/>
          <w:shd w:val="clear" w:color="auto" w:fill="FFFFFF"/>
        </w:rPr>
        <w:t> </w:t>
      </w:r>
      <w:r w:rsidRPr="00583B1E">
        <w:rPr>
          <w:rFonts w:ascii="Arial" w:hAnsi="Arial" w:cs="Arial"/>
          <w:i/>
          <w:iCs/>
          <w:color w:val="000000"/>
        </w:rPr>
        <w:t>OCBC Bank - Financial Results OCBC Al-Amin</w:t>
      </w:r>
      <w:r w:rsidRPr="00583B1E">
        <w:rPr>
          <w:rFonts w:ascii="Arial" w:hAnsi="Arial" w:cs="Arial"/>
          <w:color w:val="000000"/>
          <w:shd w:val="clear" w:color="auto" w:fill="FFFFFF"/>
        </w:rPr>
        <w:t>. Available at: https://www.ocbc.com.my/group/investors/financial-results-ocbc-al-amin.html? [Accessed 18 Nov. 2019].</w:t>
      </w:r>
    </w:p>
    <w:p w14:paraId="7ADC374F" w14:textId="47A91B8C" w:rsidR="003B3C5A" w:rsidRPr="00583B1E" w:rsidRDefault="003B3C5A"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Publicbankgroup.com. (2019).</w:t>
      </w:r>
      <w:r w:rsidRPr="00583B1E">
        <w:rPr>
          <w:rStyle w:val="apple-converted-space"/>
          <w:rFonts w:ascii="Arial" w:hAnsi="Arial" w:cs="Arial"/>
          <w:color w:val="000000"/>
          <w:shd w:val="clear" w:color="auto" w:fill="FFFFFF"/>
        </w:rPr>
        <w:t> </w:t>
      </w:r>
      <w:r w:rsidRPr="00583B1E">
        <w:rPr>
          <w:rFonts w:ascii="Arial" w:hAnsi="Arial" w:cs="Arial"/>
          <w:i/>
          <w:iCs/>
          <w:color w:val="000000"/>
        </w:rPr>
        <w:t>Public Bank Corporate Homepage - Annual Reports</w:t>
      </w:r>
      <w:r w:rsidRPr="00583B1E">
        <w:rPr>
          <w:rFonts w:ascii="Arial" w:hAnsi="Arial" w:cs="Arial"/>
          <w:color w:val="000000"/>
          <w:shd w:val="clear" w:color="auto" w:fill="FFFFFF"/>
        </w:rPr>
        <w:t>. [online] Available at: https://www.publicbankgroup.com/Investor-Relations/Financial-Information/Annual-Report [Accessed 18 Nov. 2019].</w:t>
      </w:r>
    </w:p>
    <w:p w14:paraId="3D92B6DD" w14:textId="30330559" w:rsidR="003B3C5A" w:rsidRPr="00583B1E" w:rsidRDefault="003B3C5A"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Hong Leong Bank. (2019).</w:t>
      </w:r>
      <w:r w:rsidRPr="00583B1E">
        <w:rPr>
          <w:rStyle w:val="apple-converted-space"/>
          <w:rFonts w:ascii="Arial" w:hAnsi="Arial" w:cs="Arial"/>
          <w:color w:val="000000"/>
          <w:shd w:val="clear" w:color="auto" w:fill="FFFFFF"/>
        </w:rPr>
        <w:t> </w:t>
      </w:r>
      <w:r w:rsidRPr="00583B1E">
        <w:rPr>
          <w:rFonts w:ascii="Arial" w:hAnsi="Arial" w:cs="Arial"/>
          <w:i/>
          <w:iCs/>
          <w:color w:val="000000"/>
        </w:rPr>
        <w:t>Annual &amp; Quarterly Financial Reports</w:t>
      </w:r>
      <w:r w:rsidRPr="00583B1E">
        <w:rPr>
          <w:rFonts w:ascii="Arial" w:hAnsi="Arial" w:cs="Arial"/>
          <w:color w:val="000000"/>
          <w:shd w:val="clear" w:color="auto" w:fill="FFFFFF"/>
        </w:rPr>
        <w:t>. [online] Available at: https://www.hlb.com.my/en/personal-banking/about-us/investor-relations/annual-and-quarterly-financial-reports.html [Accessed 18 Nov. 2019].</w:t>
      </w:r>
    </w:p>
    <w:p w14:paraId="3060EDD7" w14:textId="016B5CA2" w:rsidR="00FC2C24" w:rsidRPr="00583B1E" w:rsidRDefault="00FC2C24"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 xml:space="preserve">Rahman, M. and </w:t>
      </w:r>
      <w:proofErr w:type="spellStart"/>
      <w:r w:rsidRPr="00583B1E">
        <w:rPr>
          <w:rFonts w:ascii="Arial" w:hAnsi="Arial" w:cs="Arial"/>
          <w:color w:val="000000"/>
          <w:shd w:val="clear" w:color="auto" w:fill="FFFFFF"/>
        </w:rPr>
        <w:t>Banna</w:t>
      </w:r>
      <w:proofErr w:type="spellEnd"/>
      <w:r w:rsidRPr="00583B1E">
        <w:rPr>
          <w:rFonts w:ascii="Arial" w:hAnsi="Arial" w:cs="Arial"/>
          <w:color w:val="000000"/>
          <w:shd w:val="clear" w:color="auto" w:fill="FFFFFF"/>
        </w:rPr>
        <w:t>, S. (2016). Liquidity Risk Management: A Comparative Study between Conventional and Islamic Banks in Bangladesh.</w:t>
      </w:r>
      <w:r w:rsidRPr="00583B1E">
        <w:rPr>
          <w:rStyle w:val="apple-converted-space"/>
          <w:rFonts w:ascii="Arial" w:hAnsi="Arial" w:cs="Arial"/>
          <w:color w:val="000000"/>
          <w:shd w:val="clear" w:color="auto" w:fill="FFFFFF"/>
        </w:rPr>
        <w:t> </w:t>
      </w:r>
      <w:r w:rsidRPr="00583B1E">
        <w:rPr>
          <w:rFonts w:ascii="Arial" w:hAnsi="Arial" w:cs="Arial"/>
          <w:i/>
          <w:iCs/>
          <w:color w:val="000000"/>
        </w:rPr>
        <w:t>Journal of Business and Technology (Dhaka)</w:t>
      </w:r>
      <w:r w:rsidRPr="00583B1E">
        <w:rPr>
          <w:rFonts w:ascii="Arial" w:hAnsi="Arial" w:cs="Arial"/>
          <w:color w:val="000000"/>
          <w:shd w:val="clear" w:color="auto" w:fill="FFFFFF"/>
        </w:rPr>
        <w:t>, 10(2), pp.18-35.</w:t>
      </w:r>
    </w:p>
    <w:p w14:paraId="0ECD6DD3" w14:textId="461D1B8D" w:rsidR="00F629FD" w:rsidRPr="00583B1E" w:rsidRDefault="00F629FD" w:rsidP="006B166C">
      <w:pPr>
        <w:spacing w:after="480" w:line="360" w:lineRule="auto"/>
        <w:jc w:val="both"/>
        <w:rPr>
          <w:rFonts w:ascii="Arial" w:hAnsi="Arial" w:cs="Arial"/>
        </w:rPr>
      </w:pPr>
      <w:r w:rsidRPr="00583B1E">
        <w:rPr>
          <w:rFonts w:ascii="Arial" w:hAnsi="Arial" w:cs="Arial"/>
          <w:color w:val="000000"/>
          <w:shd w:val="clear" w:color="auto" w:fill="FFFFFF"/>
        </w:rPr>
        <w:t>Sukmana, R. and Suryaningtyas, S. (2016). Determinants of Liquidity Risk in Indonesian Islamic and Conventional Banks: A Panel Regression.</w:t>
      </w:r>
      <w:r w:rsidRPr="00583B1E">
        <w:rPr>
          <w:rStyle w:val="apple-converted-space"/>
          <w:rFonts w:ascii="Arial" w:hAnsi="Arial" w:cs="Arial"/>
          <w:color w:val="000000"/>
          <w:shd w:val="clear" w:color="auto" w:fill="FFFFFF"/>
        </w:rPr>
        <w:t> </w:t>
      </w:r>
      <w:r w:rsidRPr="00583B1E">
        <w:rPr>
          <w:rFonts w:ascii="Arial" w:hAnsi="Arial" w:cs="Arial"/>
          <w:i/>
          <w:iCs/>
          <w:color w:val="000000"/>
        </w:rPr>
        <w:t>Al-</w:t>
      </w:r>
      <w:proofErr w:type="spellStart"/>
      <w:r w:rsidRPr="00583B1E">
        <w:rPr>
          <w:rFonts w:ascii="Arial" w:hAnsi="Arial" w:cs="Arial"/>
          <w:i/>
          <w:iCs/>
          <w:color w:val="000000"/>
        </w:rPr>
        <w:t>Iqtishad</w:t>
      </w:r>
      <w:proofErr w:type="spellEnd"/>
      <w:r w:rsidRPr="00583B1E">
        <w:rPr>
          <w:rFonts w:ascii="Arial" w:hAnsi="Arial" w:cs="Arial"/>
          <w:i/>
          <w:iCs/>
          <w:color w:val="000000"/>
        </w:rPr>
        <w:t>: Journal of Islamic Economics</w:t>
      </w:r>
      <w:r w:rsidRPr="00583B1E">
        <w:rPr>
          <w:rFonts w:ascii="Arial" w:hAnsi="Arial" w:cs="Arial"/>
          <w:color w:val="000000"/>
          <w:shd w:val="clear" w:color="auto" w:fill="FFFFFF"/>
        </w:rPr>
        <w:t>, 8(2).</w:t>
      </w:r>
    </w:p>
    <w:p w14:paraId="01773506" w14:textId="09C75D35" w:rsidR="006A70F5" w:rsidRPr="00583B1E" w:rsidRDefault="003B3C5A"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Rhbgroup.com. (2019).</w:t>
      </w:r>
      <w:r w:rsidRPr="00583B1E">
        <w:rPr>
          <w:rStyle w:val="apple-converted-space"/>
          <w:rFonts w:ascii="Arial" w:hAnsi="Arial" w:cs="Arial"/>
          <w:color w:val="000000"/>
          <w:shd w:val="clear" w:color="auto" w:fill="FFFFFF"/>
        </w:rPr>
        <w:t> </w:t>
      </w:r>
      <w:r w:rsidRPr="00583B1E">
        <w:rPr>
          <w:rFonts w:ascii="Arial" w:hAnsi="Arial" w:cs="Arial"/>
          <w:i/>
          <w:iCs/>
          <w:color w:val="000000"/>
        </w:rPr>
        <w:t>Welcome to RHB Banking Group</w:t>
      </w:r>
      <w:r w:rsidRPr="00583B1E">
        <w:rPr>
          <w:rFonts w:ascii="Arial" w:hAnsi="Arial" w:cs="Arial"/>
          <w:color w:val="000000"/>
          <w:shd w:val="clear" w:color="auto" w:fill="FFFFFF"/>
        </w:rPr>
        <w:t>. [online] Available at: https://www.rhbgroup.com/malaysia/investor-relations/financial-reports/annual-reports/rhb-bank-berhad [Accessed 18 Nov. 2019].</w:t>
      </w:r>
    </w:p>
    <w:p w14:paraId="404F60B1" w14:textId="51842E56" w:rsidR="00F629FD" w:rsidRPr="00583B1E" w:rsidRDefault="00F629FD" w:rsidP="006B166C">
      <w:pPr>
        <w:spacing w:after="480" w:line="360" w:lineRule="auto"/>
        <w:jc w:val="both"/>
        <w:rPr>
          <w:rFonts w:ascii="Arial" w:hAnsi="Arial" w:cs="Arial"/>
        </w:rPr>
      </w:pPr>
      <w:r w:rsidRPr="00583B1E">
        <w:rPr>
          <w:rFonts w:ascii="Arial" w:hAnsi="Arial" w:cs="Arial"/>
          <w:color w:val="000000"/>
          <w:shd w:val="clear" w:color="auto" w:fill="FFFFFF"/>
        </w:rPr>
        <w:t>Siti Fatimah, Y., Aisyah, A. and Zulkefly, A. (2016). The Determinants of Liquidity Risk: A Panel Study of Islamic Banks in Malaysia.</w:t>
      </w:r>
      <w:r w:rsidRPr="00583B1E">
        <w:rPr>
          <w:rStyle w:val="apple-converted-space"/>
          <w:rFonts w:ascii="Arial" w:hAnsi="Arial" w:cs="Arial"/>
          <w:color w:val="000000"/>
          <w:shd w:val="clear" w:color="auto" w:fill="FFFFFF"/>
        </w:rPr>
        <w:t> </w:t>
      </w:r>
      <w:r w:rsidRPr="00583B1E">
        <w:rPr>
          <w:rFonts w:ascii="Arial" w:hAnsi="Arial" w:cs="Arial"/>
          <w:i/>
          <w:iCs/>
          <w:color w:val="000000"/>
        </w:rPr>
        <w:t>Journal of Contemporary Issues and Thought</w:t>
      </w:r>
      <w:r w:rsidRPr="00583B1E">
        <w:rPr>
          <w:rFonts w:ascii="Arial" w:hAnsi="Arial" w:cs="Arial"/>
          <w:color w:val="000000"/>
          <w:shd w:val="clear" w:color="auto" w:fill="FFFFFF"/>
        </w:rPr>
        <w:t>, 6(2016 (73-82).</w:t>
      </w:r>
    </w:p>
    <w:p w14:paraId="32846EA5" w14:textId="5D8E12C7" w:rsidR="000D3CF0" w:rsidRPr="00583B1E" w:rsidRDefault="00F01D1F"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lastRenderedPageBreak/>
        <w:t>Singh, A. and Sharma, A. (2016). An empirical analysis of macroeconomic and bank-specific factors affecting liquidity of Indian banks.</w:t>
      </w:r>
      <w:r w:rsidRPr="00583B1E">
        <w:rPr>
          <w:rStyle w:val="apple-converted-space"/>
          <w:rFonts w:ascii="Arial" w:hAnsi="Arial" w:cs="Arial"/>
          <w:color w:val="000000"/>
          <w:shd w:val="clear" w:color="auto" w:fill="FFFFFF"/>
        </w:rPr>
        <w:t> </w:t>
      </w:r>
      <w:r w:rsidRPr="00583B1E">
        <w:rPr>
          <w:rFonts w:ascii="Arial" w:hAnsi="Arial" w:cs="Arial"/>
          <w:i/>
          <w:iCs/>
          <w:color w:val="000000"/>
        </w:rPr>
        <w:t>Future Business Journal</w:t>
      </w:r>
      <w:r w:rsidRPr="00583B1E">
        <w:rPr>
          <w:rFonts w:ascii="Arial" w:hAnsi="Arial" w:cs="Arial"/>
          <w:color w:val="000000"/>
          <w:shd w:val="clear" w:color="auto" w:fill="FFFFFF"/>
        </w:rPr>
        <w:t>, [online] 2(1), pp.40-53. Available at: https://reader.elsevier.com/reader/sd/pii/S2314721016000037?token=1B2DC849DF74EE0BB2AD400C76B3715C1023150C8CBE9D03822F39570C98F66A9F9A7D04850E1141E86E877C392DF9F0 [Accessed 6 Oct. 2019].</w:t>
      </w:r>
    </w:p>
    <w:p w14:paraId="0F634218" w14:textId="77777777" w:rsidR="00E11015" w:rsidRPr="00583B1E" w:rsidRDefault="006128F5"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 xml:space="preserve">Shah, M., Mohamad, S. and </w:t>
      </w:r>
      <w:proofErr w:type="spellStart"/>
      <w:r w:rsidRPr="00583B1E">
        <w:rPr>
          <w:rFonts w:ascii="Arial" w:hAnsi="Arial" w:cs="Arial"/>
          <w:color w:val="000000"/>
          <w:shd w:val="clear" w:color="auto" w:fill="FFFFFF"/>
        </w:rPr>
        <w:t>Musaeva</w:t>
      </w:r>
      <w:proofErr w:type="spellEnd"/>
      <w:r w:rsidRPr="00583B1E">
        <w:rPr>
          <w:rFonts w:ascii="Arial" w:hAnsi="Arial" w:cs="Arial"/>
          <w:color w:val="000000"/>
          <w:shd w:val="clear" w:color="auto" w:fill="FFFFFF"/>
        </w:rPr>
        <w:t>, G. (2014). Research on Islamic Banking in Malaysia : A Guide for Future Directions. </w:t>
      </w:r>
      <w:r w:rsidRPr="00583B1E">
        <w:rPr>
          <w:rFonts w:ascii="Arial" w:hAnsi="Arial" w:cs="Arial"/>
          <w:i/>
          <w:iCs/>
          <w:color w:val="000000"/>
        </w:rPr>
        <w:t>Journal of Islamic Economics Banking and Finance</w:t>
      </w:r>
      <w:r w:rsidRPr="00583B1E">
        <w:rPr>
          <w:rFonts w:ascii="Arial" w:hAnsi="Arial" w:cs="Arial"/>
          <w:color w:val="000000"/>
          <w:shd w:val="clear" w:color="auto" w:fill="FFFFFF"/>
        </w:rPr>
        <w:t>, 10(3), pp.102-128.</w:t>
      </w:r>
    </w:p>
    <w:p w14:paraId="56D20CF6" w14:textId="3ADEC61E" w:rsidR="005B36CA" w:rsidRPr="00583B1E" w:rsidRDefault="00DD58F1" w:rsidP="00583B1E">
      <w:pPr>
        <w:spacing w:after="480"/>
        <w:jc w:val="both"/>
        <w:rPr>
          <w:rFonts w:ascii="Arial" w:hAnsi="Arial" w:cs="Arial"/>
          <w:color w:val="000000"/>
          <w:shd w:val="clear" w:color="auto" w:fill="FFFFFF"/>
        </w:rPr>
      </w:pPr>
      <w:r w:rsidRPr="00583B1E">
        <w:rPr>
          <w:rFonts w:ascii="Arial" w:hAnsi="Arial" w:cs="Arial"/>
        </w:rPr>
        <w:t>Santos, J.A.C (2000). B</w:t>
      </w:r>
      <w:r w:rsidRPr="00583B1E">
        <w:rPr>
          <w:rFonts w:ascii="Arial" w:hAnsi="Arial" w:cs="Arial"/>
          <w:i/>
          <w:iCs/>
        </w:rPr>
        <w:t>ank capital regulation in contemporary banking theory: A review of the literature</w:t>
      </w:r>
      <w:r w:rsidRPr="00583B1E">
        <w:rPr>
          <w:rFonts w:ascii="Arial" w:hAnsi="Arial" w:cs="Arial"/>
        </w:rPr>
        <w:t xml:space="preserve">. Bank of International Settlements, Monetary and Economic Department. </w:t>
      </w:r>
    </w:p>
    <w:p w14:paraId="23D7E3A8" w14:textId="2E21E2F8" w:rsidR="006A70F5" w:rsidRPr="00583B1E" w:rsidRDefault="006A70F5" w:rsidP="00583B1E">
      <w:pPr>
        <w:spacing w:after="480"/>
        <w:jc w:val="both"/>
        <w:rPr>
          <w:rFonts w:ascii="Arial" w:hAnsi="Arial" w:cs="Arial"/>
          <w:color w:val="000000"/>
          <w:shd w:val="clear" w:color="auto" w:fill="FFFFFF"/>
        </w:rPr>
      </w:pPr>
      <w:r w:rsidRPr="00583B1E">
        <w:rPr>
          <w:rFonts w:ascii="Arial" w:hAnsi="Arial" w:cs="Arial"/>
          <w:color w:val="000000"/>
          <w:shd w:val="clear" w:color="auto" w:fill="FFFFFF"/>
        </w:rPr>
        <w:t>SHERIN, K. (2012). Islamic Banking in Malaysia. </w:t>
      </w:r>
      <w:r w:rsidRPr="00583B1E">
        <w:rPr>
          <w:rFonts w:ascii="Arial" w:hAnsi="Arial" w:cs="Arial"/>
          <w:i/>
          <w:iCs/>
          <w:color w:val="000000"/>
        </w:rPr>
        <w:t>International Journal of Legal Information</w:t>
      </w:r>
      <w:r w:rsidRPr="00583B1E">
        <w:rPr>
          <w:rFonts w:ascii="Arial" w:hAnsi="Arial" w:cs="Arial"/>
          <w:color w:val="000000"/>
          <w:shd w:val="clear" w:color="auto" w:fill="FFFFFF"/>
        </w:rPr>
        <w:t>, 40 Int'l J. Legal Info. 191.</w:t>
      </w:r>
    </w:p>
    <w:p w14:paraId="41AFBD9A" w14:textId="40E3A975" w:rsidR="006A70F5" w:rsidRPr="00583B1E" w:rsidRDefault="006A70F5" w:rsidP="00583B1E">
      <w:pPr>
        <w:spacing w:after="480"/>
        <w:jc w:val="both"/>
        <w:rPr>
          <w:rFonts w:ascii="Arial" w:hAnsi="Arial" w:cs="Arial"/>
        </w:rPr>
      </w:pPr>
      <w:r w:rsidRPr="00583B1E">
        <w:rPr>
          <w:rFonts w:ascii="Arial" w:hAnsi="Arial" w:cs="Arial"/>
          <w:color w:val="000000"/>
          <w:shd w:val="clear" w:color="auto" w:fill="FFFFFF"/>
        </w:rPr>
        <w:t>Susanna, L., Susan, D., Daniel, M., Pamela, M., Sean, R. and Sarah, R. (2017).</w:t>
      </w:r>
      <w:r w:rsidRPr="00583B1E">
        <w:rPr>
          <w:rStyle w:val="apple-converted-space"/>
          <w:rFonts w:ascii="Arial" w:hAnsi="Arial" w:cs="Arial"/>
          <w:color w:val="000000"/>
          <w:shd w:val="clear" w:color="auto" w:fill="FFFFFF"/>
        </w:rPr>
        <w:t> </w:t>
      </w:r>
      <w:r w:rsidRPr="00583B1E">
        <w:rPr>
          <w:rFonts w:ascii="Arial" w:hAnsi="Arial" w:cs="Arial"/>
          <w:i/>
          <w:iCs/>
          <w:color w:val="000000"/>
        </w:rPr>
        <w:t>Descriptive analysis in education: A guide for researchers</w:t>
      </w:r>
      <w:r w:rsidRPr="00583B1E">
        <w:rPr>
          <w:rFonts w:ascii="Arial" w:hAnsi="Arial" w:cs="Arial"/>
          <w:color w:val="000000"/>
          <w:shd w:val="clear" w:color="auto" w:fill="FFFFFF"/>
        </w:rPr>
        <w:t xml:space="preserve">. [online] </w:t>
      </w:r>
    </w:p>
    <w:p w14:paraId="60910A91" w14:textId="1F1A0421" w:rsidR="006128F5" w:rsidRPr="00583B1E" w:rsidRDefault="006A70F5" w:rsidP="00583B1E">
      <w:pPr>
        <w:spacing w:after="480"/>
        <w:jc w:val="both"/>
        <w:rPr>
          <w:rFonts w:ascii="Arial" w:hAnsi="Arial" w:cs="Arial"/>
        </w:rPr>
      </w:pPr>
      <w:r w:rsidRPr="00583B1E">
        <w:rPr>
          <w:rFonts w:ascii="Arial" w:hAnsi="Arial" w:cs="Arial"/>
          <w:color w:val="000000"/>
          <w:shd w:val="clear" w:color="auto" w:fill="FFFFFF"/>
        </w:rPr>
        <w:t>Sukmana, R. and Suryaningtyas, S. (2016). Determinants of Liquidity Risk in Indonesian Islamic and Conventional Banks: A Panel Regression.</w:t>
      </w:r>
      <w:r w:rsidRPr="00583B1E">
        <w:rPr>
          <w:rStyle w:val="apple-converted-space"/>
          <w:rFonts w:ascii="Arial" w:hAnsi="Arial" w:cs="Arial"/>
          <w:color w:val="000000"/>
          <w:shd w:val="clear" w:color="auto" w:fill="FFFFFF"/>
        </w:rPr>
        <w:t> </w:t>
      </w:r>
      <w:r w:rsidRPr="00583B1E">
        <w:rPr>
          <w:rFonts w:ascii="Arial" w:hAnsi="Arial" w:cs="Arial"/>
          <w:i/>
          <w:iCs/>
          <w:color w:val="000000"/>
        </w:rPr>
        <w:t>Al-</w:t>
      </w:r>
      <w:proofErr w:type="spellStart"/>
      <w:r w:rsidRPr="00583B1E">
        <w:rPr>
          <w:rFonts w:ascii="Arial" w:hAnsi="Arial" w:cs="Arial"/>
          <w:i/>
          <w:iCs/>
          <w:color w:val="000000"/>
        </w:rPr>
        <w:t>Iqtishad</w:t>
      </w:r>
      <w:proofErr w:type="spellEnd"/>
      <w:r w:rsidRPr="00583B1E">
        <w:rPr>
          <w:rFonts w:ascii="Arial" w:hAnsi="Arial" w:cs="Arial"/>
          <w:i/>
          <w:iCs/>
          <w:color w:val="000000"/>
        </w:rPr>
        <w:t>: Journal of Islamic Economics</w:t>
      </w:r>
      <w:r w:rsidRPr="00583B1E">
        <w:rPr>
          <w:rFonts w:ascii="Arial" w:hAnsi="Arial" w:cs="Arial"/>
          <w:color w:val="000000"/>
          <w:shd w:val="clear" w:color="auto" w:fill="FFFFFF"/>
        </w:rPr>
        <w:t>, 8(2).</w:t>
      </w:r>
    </w:p>
    <w:p w14:paraId="68B8A66C" w14:textId="77777777" w:rsidR="00354A14" w:rsidRPr="00583B1E" w:rsidRDefault="00F24BE7" w:rsidP="006B166C">
      <w:pPr>
        <w:spacing w:after="480" w:line="360" w:lineRule="auto"/>
        <w:jc w:val="both"/>
        <w:rPr>
          <w:rFonts w:ascii="Arial" w:hAnsi="Arial" w:cs="Arial"/>
          <w:color w:val="000000"/>
          <w:shd w:val="clear" w:color="auto" w:fill="FFFFFF"/>
        </w:rPr>
      </w:pPr>
      <w:r w:rsidRPr="00583B1E">
        <w:rPr>
          <w:rFonts w:ascii="Arial" w:hAnsi="Arial" w:cs="Arial"/>
          <w:color w:val="000000"/>
          <w:shd w:val="clear" w:color="auto" w:fill="FFFFFF"/>
        </w:rPr>
        <w:t>Support.minitab.com. (2019).</w:t>
      </w:r>
      <w:r w:rsidRPr="00583B1E">
        <w:rPr>
          <w:rStyle w:val="apple-converted-space"/>
          <w:rFonts w:ascii="Arial" w:hAnsi="Arial" w:cs="Arial"/>
          <w:color w:val="000000"/>
          <w:shd w:val="clear" w:color="auto" w:fill="FFFFFF"/>
        </w:rPr>
        <w:t> </w:t>
      </w:r>
      <w:r w:rsidRPr="00583B1E">
        <w:rPr>
          <w:rFonts w:ascii="Arial" w:hAnsi="Arial" w:cs="Arial"/>
          <w:i/>
          <w:iCs/>
          <w:color w:val="000000"/>
        </w:rPr>
        <w:t>Interpret the key results for Descriptive Statistics - Minitab Express</w:t>
      </w:r>
      <w:r w:rsidRPr="00583B1E">
        <w:rPr>
          <w:rFonts w:ascii="Arial" w:hAnsi="Arial" w:cs="Arial"/>
          <w:color w:val="000000"/>
          <w:shd w:val="clear" w:color="auto" w:fill="FFFFFF"/>
        </w:rPr>
        <w:t>. [online] Available at: https://support.minitab.com/en-us/minitab-express/1/help-and-how-to/basic-statistics/summary-statistics/descriptive-statistics/interpret-the-results/key-results/ [Accessed 12 Dec. 2019].</w:t>
      </w:r>
    </w:p>
    <w:p w14:paraId="456E0AA9" w14:textId="1189A62C" w:rsidR="001B1F36" w:rsidRPr="00583B1E" w:rsidRDefault="00CE0991" w:rsidP="006B166C">
      <w:pPr>
        <w:spacing w:after="480" w:line="360" w:lineRule="auto"/>
        <w:jc w:val="both"/>
        <w:rPr>
          <w:rFonts w:ascii="Arial" w:hAnsi="Arial" w:cs="Arial"/>
        </w:rPr>
      </w:pPr>
      <w:r w:rsidRPr="00583B1E">
        <w:rPr>
          <w:rFonts w:ascii="Arial" w:hAnsi="Arial" w:cs="Arial"/>
        </w:rPr>
        <w:t xml:space="preserve">Siddiqui A (2008). Financial contracts, risk and performance of Islamic banking”. </w:t>
      </w:r>
      <w:r w:rsidRPr="00583B1E">
        <w:rPr>
          <w:rFonts w:ascii="Arial" w:hAnsi="Arial" w:cs="Arial"/>
          <w:i/>
          <w:iCs/>
        </w:rPr>
        <w:t>Management. Finance</w:t>
      </w:r>
      <w:r w:rsidRPr="00583B1E">
        <w:rPr>
          <w:rFonts w:ascii="Arial" w:hAnsi="Arial" w:cs="Arial"/>
        </w:rPr>
        <w:t>. 34(10):680-694.</w:t>
      </w:r>
    </w:p>
    <w:p w14:paraId="000A1A5D" w14:textId="209E0B26" w:rsidR="00C978A5" w:rsidRPr="00583B1E" w:rsidRDefault="00C978A5" w:rsidP="006B166C">
      <w:pPr>
        <w:spacing w:after="480" w:line="360" w:lineRule="auto"/>
        <w:jc w:val="both"/>
        <w:rPr>
          <w:rFonts w:ascii="Arial" w:hAnsi="Arial" w:cs="Arial"/>
          <w:sz w:val="36"/>
          <w:szCs w:val="36"/>
        </w:rPr>
      </w:pPr>
      <w:r w:rsidRPr="00583B1E">
        <w:rPr>
          <w:rFonts w:ascii="Arial" w:hAnsi="Arial" w:cs="Arial"/>
          <w:color w:val="000000"/>
          <w:shd w:val="clear" w:color="auto" w:fill="FFFFFF"/>
        </w:rPr>
        <w:lastRenderedPageBreak/>
        <w:t>Todd, H. (2018).</w:t>
      </w:r>
      <w:r w:rsidRPr="00583B1E">
        <w:rPr>
          <w:rStyle w:val="apple-converted-space"/>
          <w:rFonts w:ascii="Arial" w:hAnsi="Arial" w:cs="Arial"/>
          <w:color w:val="000000"/>
          <w:shd w:val="clear" w:color="auto" w:fill="FFFFFF"/>
        </w:rPr>
        <w:t> </w:t>
      </w:r>
      <w:r w:rsidRPr="00583B1E">
        <w:rPr>
          <w:rFonts w:ascii="Arial" w:hAnsi="Arial" w:cs="Arial"/>
          <w:i/>
          <w:iCs/>
          <w:color w:val="000000"/>
        </w:rPr>
        <w:t>Understand the Difference Between Independent and Dependent Variables</w:t>
      </w:r>
      <w:r w:rsidRPr="00583B1E">
        <w:rPr>
          <w:rFonts w:ascii="Arial" w:hAnsi="Arial" w:cs="Arial"/>
          <w:color w:val="000000"/>
          <w:shd w:val="clear" w:color="auto" w:fill="FFFFFF"/>
        </w:rPr>
        <w:t>. [online] ThoughtCo. Available at: https://www.thoughtco.com/independent-and-dependent-variables-differences-606115 [Accessed 17 Dec. 2019].</w:t>
      </w:r>
    </w:p>
    <w:p w14:paraId="58809DFB" w14:textId="77777777" w:rsidR="00354A14" w:rsidRPr="00583B1E" w:rsidRDefault="003B3C5A" w:rsidP="006B166C">
      <w:pPr>
        <w:spacing w:after="480" w:line="360" w:lineRule="auto"/>
        <w:jc w:val="both"/>
        <w:rPr>
          <w:rFonts w:ascii="Arial" w:hAnsi="Arial" w:cs="Arial"/>
          <w:color w:val="000000"/>
          <w:shd w:val="clear" w:color="auto" w:fill="FFFFFF"/>
        </w:rPr>
      </w:pPr>
      <w:proofErr w:type="spellStart"/>
      <w:r w:rsidRPr="00583B1E">
        <w:rPr>
          <w:rFonts w:ascii="Arial" w:hAnsi="Arial" w:cs="Arial"/>
          <w:color w:val="000000"/>
          <w:shd w:val="clear" w:color="auto" w:fill="FFFFFF"/>
        </w:rPr>
        <w:t>Ummi</w:t>
      </w:r>
      <w:proofErr w:type="spellEnd"/>
      <w:r w:rsidRPr="00583B1E">
        <w:rPr>
          <w:rFonts w:ascii="Arial" w:hAnsi="Arial" w:cs="Arial"/>
          <w:color w:val="000000"/>
          <w:shd w:val="clear" w:color="auto" w:fill="FFFFFF"/>
        </w:rPr>
        <w:t xml:space="preserve">, R., Aisyah, R. and </w:t>
      </w:r>
      <w:proofErr w:type="spellStart"/>
      <w:r w:rsidRPr="00583B1E">
        <w:rPr>
          <w:rFonts w:ascii="Arial" w:hAnsi="Arial" w:cs="Arial"/>
          <w:color w:val="000000"/>
          <w:shd w:val="clear" w:color="auto" w:fill="FFFFFF"/>
        </w:rPr>
        <w:t>Ruzian</w:t>
      </w:r>
      <w:proofErr w:type="spellEnd"/>
      <w:r w:rsidRPr="00583B1E">
        <w:rPr>
          <w:rFonts w:ascii="Arial" w:hAnsi="Arial" w:cs="Arial"/>
          <w:color w:val="000000"/>
          <w:shd w:val="clear" w:color="auto" w:fill="FFFFFF"/>
        </w:rPr>
        <w:t>, M. (2018). THE REGULATORY FRAMEWORK ON LIQUIDITY RISK MANAGEMENT OF ISLAMIC BANKING IN MALAYSIA.</w:t>
      </w:r>
      <w:r w:rsidRPr="00583B1E">
        <w:rPr>
          <w:rStyle w:val="apple-converted-space"/>
          <w:rFonts w:ascii="Arial" w:hAnsi="Arial" w:cs="Arial"/>
          <w:color w:val="000000"/>
          <w:shd w:val="clear" w:color="auto" w:fill="FFFFFF"/>
        </w:rPr>
        <w:t> </w:t>
      </w:r>
      <w:r w:rsidRPr="00583B1E">
        <w:rPr>
          <w:rFonts w:ascii="Arial" w:hAnsi="Arial" w:cs="Arial"/>
          <w:i/>
          <w:iCs/>
          <w:color w:val="000000"/>
        </w:rPr>
        <w:t>International Journal of Business and Society</w:t>
      </w:r>
      <w:r w:rsidRPr="00583B1E">
        <w:rPr>
          <w:rFonts w:ascii="Arial" w:hAnsi="Arial" w:cs="Arial"/>
          <w:color w:val="000000"/>
          <w:shd w:val="clear" w:color="auto" w:fill="FFFFFF"/>
        </w:rPr>
        <w:t>, 19 (18), pp.332-352.</w:t>
      </w:r>
    </w:p>
    <w:p w14:paraId="6860A4F8" w14:textId="7CF19883" w:rsidR="0000782B" w:rsidRDefault="00CE0991" w:rsidP="006B166C">
      <w:pPr>
        <w:spacing w:after="480" w:line="360" w:lineRule="auto"/>
        <w:jc w:val="both"/>
        <w:rPr>
          <w:rFonts w:ascii="Arial" w:hAnsi="Arial" w:cs="Arial"/>
        </w:rPr>
      </w:pPr>
      <w:r w:rsidRPr="00583B1E">
        <w:rPr>
          <w:rFonts w:ascii="Arial" w:hAnsi="Arial" w:cs="Arial"/>
        </w:rPr>
        <w:t>Yahya, M.H., Muhammad</w:t>
      </w:r>
      <w:r w:rsidRPr="00583B1E">
        <w:rPr>
          <w:rFonts w:ascii="Arial" w:hAnsi="Arial" w:cs="Arial"/>
          <w:b/>
          <w:bCs/>
        </w:rPr>
        <w:t xml:space="preserve">, </w:t>
      </w:r>
      <w:r w:rsidRPr="00583B1E">
        <w:rPr>
          <w:rFonts w:ascii="Arial" w:hAnsi="Arial" w:cs="Arial"/>
        </w:rPr>
        <w:t>J.</w:t>
      </w:r>
      <w:r w:rsidRPr="00583B1E">
        <w:rPr>
          <w:rFonts w:ascii="Arial" w:hAnsi="Arial" w:cs="Arial"/>
          <w:b/>
          <w:bCs/>
        </w:rPr>
        <w:t xml:space="preserve">, </w:t>
      </w:r>
      <w:r w:rsidRPr="00583B1E">
        <w:rPr>
          <w:rFonts w:ascii="Arial" w:hAnsi="Arial" w:cs="Arial"/>
        </w:rPr>
        <w:t xml:space="preserve">and </w:t>
      </w:r>
      <w:proofErr w:type="spellStart"/>
      <w:r w:rsidRPr="00583B1E">
        <w:rPr>
          <w:rFonts w:ascii="Arial" w:hAnsi="Arial" w:cs="Arial"/>
        </w:rPr>
        <w:t>Hadi</w:t>
      </w:r>
      <w:proofErr w:type="spellEnd"/>
      <w:r w:rsidRPr="00583B1E">
        <w:rPr>
          <w:rFonts w:ascii="Arial" w:hAnsi="Arial" w:cs="Arial"/>
        </w:rPr>
        <w:t>, A.R.A.</w:t>
      </w:r>
      <w:r w:rsidRPr="00583B1E">
        <w:rPr>
          <w:rFonts w:ascii="Arial" w:hAnsi="Arial" w:cs="Arial"/>
          <w:b/>
          <w:bCs/>
        </w:rPr>
        <w:t xml:space="preserve"> </w:t>
      </w:r>
      <w:r w:rsidRPr="00583B1E">
        <w:rPr>
          <w:rFonts w:ascii="Arial" w:hAnsi="Arial" w:cs="Arial"/>
        </w:rPr>
        <w:t xml:space="preserve">(2012) "A comparative study on the level of efficiency between Islamic and conventional banking systems in Malaysia", </w:t>
      </w:r>
      <w:r w:rsidRPr="00583B1E">
        <w:rPr>
          <w:rFonts w:ascii="Arial" w:hAnsi="Arial" w:cs="Arial"/>
          <w:i/>
          <w:iCs/>
        </w:rPr>
        <w:t>International Journal of Islamic and Middle Eastern Finance and Management</w:t>
      </w:r>
      <w:r w:rsidRPr="00583B1E">
        <w:rPr>
          <w:rFonts w:ascii="Arial" w:hAnsi="Arial" w:cs="Arial"/>
        </w:rPr>
        <w:t>, 5(1), 48-62.</w:t>
      </w:r>
    </w:p>
    <w:p w14:paraId="5B74E524" w14:textId="6DAABF5D" w:rsidR="00723267" w:rsidRDefault="00723267" w:rsidP="00583B1E">
      <w:pPr>
        <w:spacing w:after="480"/>
        <w:jc w:val="both"/>
        <w:rPr>
          <w:rFonts w:ascii="Arial" w:hAnsi="Arial" w:cs="Arial"/>
          <w:color w:val="000000"/>
          <w:shd w:val="clear" w:color="auto" w:fill="FFFFFF"/>
        </w:rPr>
      </w:pPr>
    </w:p>
    <w:p w14:paraId="4A7C4606" w14:textId="1C973C1C" w:rsidR="006B166C" w:rsidRDefault="006B166C" w:rsidP="00583B1E">
      <w:pPr>
        <w:spacing w:after="480"/>
        <w:jc w:val="both"/>
        <w:rPr>
          <w:rFonts w:ascii="Arial" w:hAnsi="Arial" w:cs="Arial"/>
          <w:color w:val="000000"/>
          <w:shd w:val="clear" w:color="auto" w:fill="FFFFFF"/>
        </w:rPr>
      </w:pPr>
    </w:p>
    <w:p w14:paraId="70E9AF2C" w14:textId="6485ED05" w:rsidR="006B166C" w:rsidRDefault="006B166C" w:rsidP="00583B1E">
      <w:pPr>
        <w:spacing w:after="480"/>
        <w:jc w:val="both"/>
        <w:rPr>
          <w:rFonts w:ascii="Arial" w:hAnsi="Arial" w:cs="Arial"/>
          <w:color w:val="000000"/>
          <w:shd w:val="clear" w:color="auto" w:fill="FFFFFF"/>
        </w:rPr>
      </w:pPr>
    </w:p>
    <w:p w14:paraId="00E2C7F0" w14:textId="3F4EFDF8" w:rsidR="006B166C" w:rsidRDefault="006B166C" w:rsidP="00583B1E">
      <w:pPr>
        <w:spacing w:after="480"/>
        <w:jc w:val="both"/>
        <w:rPr>
          <w:rFonts w:ascii="Arial" w:hAnsi="Arial" w:cs="Arial"/>
          <w:color w:val="000000"/>
          <w:shd w:val="clear" w:color="auto" w:fill="FFFFFF"/>
        </w:rPr>
      </w:pPr>
    </w:p>
    <w:p w14:paraId="5471EAC2" w14:textId="1AD97E64" w:rsidR="006B166C" w:rsidRDefault="006B166C" w:rsidP="00583B1E">
      <w:pPr>
        <w:spacing w:after="480"/>
        <w:jc w:val="both"/>
        <w:rPr>
          <w:rFonts w:ascii="Arial" w:hAnsi="Arial" w:cs="Arial"/>
          <w:color w:val="000000"/>
          <w:shd w:val="clear" w:color="auto" w:fill="FFFFFF"/>
        </w:rPr>
      </w:pPr>
    </w:p>
    <w:p w14:paraId="24D2811F" w14:textId="2D1FC73E" w:rsidR="006B166C" w:rsidRDefault="006B166C" w:rsidP="00583B1E">
      <w:pPr>
        <w:spacing w:after="480"/>
        <w:jc w:val="both"/>
        <w:rPr>
          <w:rFonts w:ascii="Arial" w:hAnsi="Arial" w:cs="Arial"/>
          <w:color w:val="000000"/>
          <w:shd w:val="clear" w:color="auto" w:fill="FFFFFF"/>
        </w:rPr>
      </w:pPr>
    </w:p>
    <w:p w14:paraId="372B6699" w14:textId="7CCD68B1" w:rsidR="006B166C" w:rsidRDefault="006B166C" w:rsidP="00583B1E">
      <w:pPr>
        <w:spacing w:after="480"/>
        <w:jc w:val="both"/>
        <w:rPr>
          <w:rFonts w:ascii="Arial" w:hAnsi="Arial" w:cs="Arial"/>
          <w:color w:val="000000"/>
          <w:shd w:val="clear" w:color="auto" w:fill="FFFFFF"/>
        </w:rPr>
      </w:pPr>
    </w:p>
    <w:p w14:paraId="6F363673" w14:textId="69C3AEAE" w:rsidR="006B166C" w:rsidRDefault="006B166C" w:rsidP="00583B1E">
      <w:pPr>
        <w:spacing w:after="480"/>
        <w:jc w:val="both"/>
        <w:rPr>
          <w:rFonts w:ascii="Arial" w:hAnsi="Arial" w:cs="Arial"/>
          <w:color w:val="000000"/>
          <w:shd w:val="clear" w:color="auto" w:fill="FFFFFF"/>
        </w:rPr>
      </w:pPr>
    </w:p>
    <w:p w14:paraId="131149DE" w14:textId="77777777" w:rsidR="006B166C" w:rsidRPr="00583B1E" w:rsidRDefault="006B166C" w:rsidP="00583B1E">
      <w:pPr>
        <w:spacing w:after="480"/>
        <w:jc w:val="both"/>
        <w:rPr>
          <w:rFonts w:ascii="Arial" w:hAnsi="Arial" w:cs="Arial"/>
          <w:color w:val="000000"/>
          <w:shd w:val="clear" w:color="auto" w:fill="FFFFFF"/>
        </w:rPr>
      </w:pPr>
    </w:p>
    <w:p w14:paraId="21A17A02" w14:textId="1E714EA0" w:rsidR="003C5CC7" w:rsidRPr="006A70F5" w:rsidRDefault="003C5CC7" w:rsidP="0000782B">
      <w:pPr>
        <w:pStyle w:val="Heading1"/>
        <w:spacing w:line="360" w:lineRule="auto"/>
        <w:jc w:val="both"/>
        <w:rPr>
          <w:rFonts w:ascii="Arial" w:hAnsi="Arial" w:cs="Arial"/>
        </w:rPr>
      </w:pPr>
      <w:bookmarkStart w:id="92" w:name="_Toc27578626"/>
      <w:r w:rsidRPr="006A70F5">
        <w:rPr>
          <w:rFonts w:ascii="Arial" w:hAnsi="Arial" w:cs="Arial"/>
        </w:rPr>
        <w:lastRenderedPageBreak/>
        <w:t>Appendix</w:t>
      </w:r>
      <w:r w:rsidR="0000782B" w:rsidRPr="006A70F5">
        <w:rPr>
          <w:rFonts w:ascii="Arial" w:hAnsi="Arial" w:cs="Arial"/>
        </w:rPr>
        <w:t>es</w:t>
      </w:r>
      <w:bookmarkEnd w:id="92"/>
    </w:p>
    <w:p w14:paraId="52D97138" w14:textId="77777777" w:rsidR="0000782B" w:rsidRDefault="0000782B" w:rsidP="0000782B">
      <w:pPr>
        <w:spacing w:line="360" w:lineRule="auto"/>
        <w:contextualSpacing/>
        <w:rPr>
          <w:rFonts w:ascii="Arial" w:hAnsi="Arial" w:cs="Arial"/>
          <w:b/>
          <w:sz w:val="28"/>
          <w:u w:val="single"/>
          <w:lang w:val="en-US"/>
        </w:rPr>
      </w:pPr>
      <w:r>
        <w:rPr>
          <w:rFonts w:ascii="Arial" w:hAnsi="Arial" w:cs="Arial"/>
          <w:b/>
          <w:sz w:val="28"/>
          <w:u w:val="single"/>
          <w:lang w:val="en-US"/>
        </w:rPr>
        <w:t xml:space="preserve">List of Appendices </w:t>
      </w:r>
    </w:p>
    <w:p w14:paraId="7AD957C4" w14:textId="77777777" w:rsidR="0000782B" w:rsidRPr="00002F8D" w:rsidRDefault="0000782B" w:rsidP="0000782B">
      <w:pPr>
        <w:spacing w:line="360" w:lineRule="auto"/>
        <w:contextualSpacing/>
        <w:rPr>
          <w:rFonts w:ascii="Arial" w:hAnsi="Arial" w:cs="Arial"/>
          <w:b/>
          <w:sz w:val="28"/>
          <w:u w:val="single"/>
          <w:lang w:val="en-US"/>
        </w:rPr>
      </w:pPr>
    </w:p>
    <w:tbl>
      <w:tblPr>
        <w:tblStyle w:val="TableGrid"/>
        <w:tblW w:w="0" w:type="auto"/>
        <w:tblLook w:val="04A0" w:firstRow="1" w:lastRow="0" w:firstColumn="1" w:lastColumn="0" w:noHBand="0" w:noVBand="1"/>
      </w:tblPr>
      <w:tblGrid>
        <w:gridCol w:w="6888"/>
        <w:gridCol w:w="1599"/>
      </w:tblGrid>
      <w:tr w:rsidR="0000782B" w:rsidRPr="006E0B36" w14:paraId="54FFCD66" w14:textId="77777777" w:rsidTr="00D43AA5">
        <w:tc>
          <w:tcPr>
            <w:tcW w:w="7366" w:type="dxa"/>
          </w:tcPr>
          <w:p w14:paraId="7F090604" w14:textId="77777777" w:rsidR="0000782B" w:rsidRPr="006E0B36" w:rsidRDefault="0000782B" w:rsidP="00D43AA5">
            <w:pPr>
              <w:spacing w:line="360" w:lineRule="auto"/>
              <w:jc w:val="center"/>
              <w:rPr>
                <w:rFonts w:ascii="Arial" w:hAnsi="Arial" w:cs="Arial"/>
                <w:b/>
                <w:sz w:val="28"/>
              </w:rPr>
            </w:pPr>
            <w:r>
              <w:rPr>
                <w:rFonts w:ascii="Arial" w:hAnsi="Arial" w:cs="Arial"/>
                <w:b/>
                <w:sz w:val="28"/>
              </w:rPr>
              <w:t>Appendix</w:t>
            </w:r>
          </w:p>
        </w:tc>
        <w:tc>
          <w:tcPr>
            <w:tcW w:w="1650" w:type="dxa"/>
          </w:tcPr>
          <w:p w14:paraId="1838C58F" w14:textId="77777777" w:rsidR="0000782B" w:rsidRPr="006E0B36" w:rsidRDefault="0000782B" w:rsidP="00D43AA5">
            <w:pPr>
              <w:spacing w:line="360" w:lineRule="auto"/>
              <w:jc w:val="center"/>
              <w:rPr>
                <w:rFonts w:ascii="Arial" w:hAnsi="Arial" w:cs="Arial"/>
                <w:b/>
                <w:sz w:val="28"/>
              </w:rPr>
            </w:pPr>
            <w:r w:rsidRPr="006E0B36">
              <w:rPr>
                <w:rFonts w:ascii="Arial" w:hAnsi="Arial" w:cs="Arial"/>
                <w:b/>
                <w:sz w:val="28"/>
              </w:rPr>
              <w:t>Pages</w:t>
            </w:r>
          </w:p>
        </w:tc>
      </w:tr>
      <w:tr w:rsidR="0000782B" w14:paraId="11B8A8CE" w14:textId="77777777" w:rsidTr="00D43AA5">
        <w:tc>
          <w:tcPr>
            <w:tcW w:w="7366" w:type="dxa"/>
          </w:tcPr>
          <w:p w14:paraId="7477A2B6" w14:textId="6BC307B9" w:rsidR="0000782B" w:rsidRPr="0000782B" w:rsidRDefault="0000782B" w:rsidP="0000782B">
            <w:pPr>
              <w:spacing w:line="360" w:lineRule="auto"/>
              <w:jc w:val="both"/>
              <w:rPr>
                <w:rFonts w:ascii="Arial" w:hAnsi="Arial" w:cs="Arial"/>
              </w:rPr>
            </w:pPr>
            <w:r w:rsidRPr="0000782B">
              <w:rPr>
                <w:rFonts w:ascii="Arial" w:hAnsi="Arial" w:cs="Arial"/>
                <w:sz w:val="24"/>
                <w:szCs w:val="24"/>
              </w:rPr>
              <w:t>Appendix 1</w:t>
            </w:r>
            <w:r w:rsidRPr="0000782B">
              <w:rPr>
                <w:rFonts w:ascii="Arial" w:hAnsi="Arial" w:cs="Arial"/>
                <w:sz w:val="24"/>
                <w:szCs w:val="24"/>
              </w:rPr>
              <w:sym w:font="Symbol" w:char="F03A"/>
            </w:r>
            <w:r w:rsidRPr="0000782B">
              <w:rPr>
                <w:rFonts w:ascii="Arial" w:hAnsi="Arial" w:cs="Arial"/>
                <w:sz w:val="24"/>
                <w:szCs w:val="24"/>
              </w:rPr>
              <w:t xml:space="preserve"> The Detail of Each Conventional and Islamic Banks' Ratio from 2014 to 2018  </w:t>
            </w:r>
          </w:p>
        </w:tc>
        <w:tc>
          <w:tcPr>
            <w:tcW w:w="1650" w:type="dxa"/>
          </w:tcPr>
          <w:p w14:paraId="2CAA0619" w14:textId="1FFFF09A" w:rsidR="0000782B" w:rsidRPr="006B166C" w:rsidRDefault="0000782B" w:rsidP="00D43AA5">
            <w:pPr>
              <w:spacing w:line="360" w:lineRule="auto"/>
              <w:rPr>
                <w:rFonts w:ascii="Arial" w:hAnsi="Arial" w:cs="Arial"/>
                <w:sz w:val="24"/>
                <w:szCs w:val="24"/>
              </w:rPr>
            </w:pPr>
            <w:r w:rsidRPr="006B166C">
              <w:rPr>
                <w:rFonts w:ascii="Arial" w:hAnsi="Arial" w:cs="Arial"/>
                <w:sz w:val="24"/>
                <w:szCs w:val="24"/>
              </w:rPr>
              <w:t>5</w:t>
            </w:r>
            <w:r w:rsidR="006B166C" w:rsidRPr="006B166C">
              <w:rPr>
                <w:rFonts w:ascii="Arial" w:hAnsi="Arial" w:cs="Arial"/>
                <w:sz w:val="24"/>
                <w:szCs w:val="24"/>
              </w:rPr>
              <w:t>4</w:t>
            </w:r>
          </w:p>
        </w:tc>
      </w:tr>
      <w:tr w:rsidR="0000782B" w:rsidRPr="006E0B36" w14:paraId="60DF8CC5" w14:textId="77777777" w:rsidTr="00D43AA5">
        <w:tc>
          <w:tcPr>
            <w:tcW w:w="7366" w:type="dxa"/>
          </w:tcPr>
          <w:p w14:paraId="74309164" w14:textId="315BF456" w:rsidR="0000782B" w:rsidRPr="0000782B" w:rsidRDefault="0000782B" w:rsidP="0000782B">
            <w:pPr>
              <w:spacing w:line="360" w:lineRule="auto"/>
              <w:jc w:val="both"/>
              <w:rPr>
                <w:rFonts w:ascii="Arial" w:hAnsi="Arial" w:cs="Arial"/>
                <w:sz w:val="24"/>
                <w:szCs w:val="24"/>
              </w:rPr>
            </w:pPr>
            <w:r w:rsidRPr="0000782B">
              <w:rPr>
                <w:rFonts w:ascii="Arial" w:hAnsi="Arial" w:cs="Arial"/>
                <w:sz w:val="24"/>
                <w:szCs w:val="24"/>
              </w:rPr>
              <w:t>Appendix 2</w:t>
            </w:r>
            <w:r w:rsidRPr="0000782B">
              <w:rPr>
                <w:rFonts w:ascii="Arial" w:hAnsi="Arial" w:cs="Arial"/>
                <w:sz w:val="24"/>
                <w:szCs w:val="24"/>
              </w:rPr>
              <w:sym w:font="Symbol" w:char="F03A"/>
            </w:r>
            <w:r w:rsidRPr="0000782B">
              <w:rPr>
                <w:rFonts w:ascii="Arial" w:hAnsi="Arial" w:cs="Arial"/>
                <w:sz w:val="24"/>
                <w:szCs w:val="24"/>
              </w:rPr>
              <w:t xml:space="preserve"> Reliability Statistics of Conventional and Islamic Banks </w:t>
            </w:r>
          </w:p>
        </w:tc>
        <w:tc>
          <w:tcPr>
            <w:tcW w:w="1650" w:type="dxa"/>
          </w:tcPr>
          <w:p w14:paraId="0646B021" w14:textId="68D270F3" w:rsidR="0000782B" w:rsidRPr="006B166C" w:rsidRDefault="0000782B" w:rsidP="00D43AA5">
            <w:pPr>
              <w:spacing w:line="360" w:lineRule="auto"/>
              <w:rPr>
                <w:rFonts w:ascii="Arial" w:hAnsi="Arial" w:cs="Arial"/>
                <w:sz w:val="24"/>
                <w:szCs w:val="24"/>
              </w:rPr>
            </w:pPr>
            <w:r w:rsidRPr="006B166C">
              <w:rPr>
                <w:rFonts w:ascii="Arial" w:hAnsi="Arial" w:cs="Arial"/>
                <w:sz w:val="24"/>
                <w:szCs w:val="24"/>
              </w:rPr>
              <w:t>5</w:t>
            </w:r>
            <w:r w:rsidR="006B166C" w:rsidRPr="006B166C">
              <w:rPr>
                <w:rFonts w:ascii="Arial" w:hAnsi="Arial" w:cs="Arial"/>
                <w:sz w:val="24"/>
                <w:szCs w:val="24"/>
              </w:rPr>
              <w:t>9</w:t>
            </w:r>
          </w:p>
        </w:tc>
      </w:tr>
      <w:tr w:rsidR="0000782B" w:rsidRPr="006E0B36" w14:paraId="2DD0C77B" w14:textId="77777777" w:rsidTr="00D43AA5">
        <w:tc>
          <w:tcPr>
            <w:tcW w:w="7366" w:type="dxa"/>
          </w:tcPr>
          <w:p w14:paraId="7B2856E7" w14:textId="2D6A5CF9" w:rsidR="0000782B" w:rsidRDefault="0000782B" w:rsidP="00D43AA5">
            <w:pPr>
              <w:spacing w:line="360" w:lineRule="auto"/>
              <w:rPr>
                <w:rFonts w:ascii="Arial" w:hAnsi="Arial" w:cs="Arial"/>
                <w:b/>
                <w:sz w:val="32"/>
                <w:u w:val="single"/>
              </w:rPr>
            </w:pPr>
            <w:bookmarkStart w:id="93" w:name="_Hlk510091246"/>
            <w:r>
              <w:rPr>
                <w:rFonts w:ascii="Arial" w:hAnsi="Arial" w:cs="Arial"/>
                <w:sz w:val="24"/>
              </w:rPr>
              <w:t>Appendix 3</w:t>
            </w:r>
            <w:r>
              <w:rPr>
                <w:rFonts w:ascii="Arial" w:hAnsi="Arial" w:cs="Arial"/>
                <w:sz w:val="24"/>
              </w:rPr>
              <w:sym w:font="Symbol" w:char="F03A"/>
            </w:r>
            <w:r>
              <w:rPr>
                <w:rFonts w:ascii="Arial" w:hAnsi="Arial" w:cs="Arial"/>
                <w:sz w:val="24"/>
              </w:rPr>
              <w:t xml:space="preserve"> </w:t>
            </w:r>
            <w:r w:rsidR="00F11FA4" w:rsidRPr="00F11FA4">
              <w:rPr>
                <w:rFonts w:ascii="Arial" w:hAnsi="Arial" w:cs="Arial"/>
                <w:sz w:val="24"/>
                <w:szCs w:val="24"/>
              </w:rPr>
              <w:t>Correlation of Conventional and Islamic Banks</w:t>
            </w:r>
            <w:bookmarkEnd w:id="93"/>
          </w:p>
        </w:tc>
        <w:tc>
          <w:tcPr>
            <w:tcW w:w="1650" w:type="dxa"/>
          </w:tcPr>
          <w:p w14:paraId="559AC6FD" w14:textId="0712A7E6" w:rsidR="0000782B" w:rsidRPr="006B166C" w:rsidRDefault="0000782B" w:rsidP="00D43AA5">
            <w:pPr>
              <w:spacing w:line="360" w:lineRule="auto"/>
              <w:rPr>
                <w:rFonts w:ascii="Arial" w:hAnsi="Arial" w:cs="Arial"/>
                <w:sz w:val="24"/>
                <w:szCs w:val="24"/>
              </w:rPr>
            </w:pPr>
            <w:r w:rsidRPr="006B166C">
              <w:rPr>
                <w:rFonts w:ascii="Arial" w:hAnsi="Arial" w:cs="Arial"/>
                <w:sz w:val="24"/>
                <w:szCs w:val="24"/>
              </w:rPr>
              <w:t>5</w:t>
            </w:r>
            <w:r w:rsidR="006B166C" w:rsidRPr="006B166C">
              <w:rPr>
                <w:rFonts w:ascii="Arial" w:hAnsi="Arial" w:cs="Arial"/>
                <w:sz w:val="24"/>
                <w:szCs w:val="24"/>
              </w:rPr>
              <w:t>9</w:t>
            </w:r>
          </w:p>
        </w:tc>
      </w:tr>
      <w:tr w:rsidR="00F11FA4" w:rsidRPr="006E0B36" w14:paraId="2D3E3E26" w14:textId="77777777" w:rsidTr="00D43AA5">
        <w:tc>
          <w:tcPr>
            <w:tcW w:w="7366" w:type="dxa"/>
          </w:tcPr>
          <w:p w14:paraId="29A8AC66" w14:textId="5AE8E069" w:rsidR="00F11FA4" w:rsidRPr="00F11FA4" w:rsidRDefault="00F11FA4" w:rsidP="00F11FA4">
            <w:pPr>
              <w:spacing w:line="360" w:lineRule="auto"/>
              <w:jc w:val="both"/>
              <w:rPr>
                <w:rFonts w:ascii="Arial" w:hAnsi="Arial" w:cs="Arial"/>
                <w:b/>
                <w:bCs/>
                <w:u w:val="single"/>
              </w:rPr>
            </w:pPr>
            <w:r w:rsidRPr="00F11FA4">
              <w:rPr>
                <w:rFonts w:ascii="Arial" w:hAnsi="Arial" w:cs="Arial"/>
                <w:sz w:val="24"/>
                <w:szCs w:val="24"/>
              </w:rPr>
              <w:t>Appendix 4</w:t>
            </w:r>
            <w:r w:rsidRPr="00F11FA4">
              <w:rPr>
                <w:rFonts w:ascii="Arial" w:hAnsi="Arial" w:cs="Arial"/>
                <w:sz w:val="24"/>
                <w:szCs w:val="24"/>
              </w:rPr>
              <w:sym w:font="Symbol" w:char="F03A"/>
            </w:r>
            <w:r w:rsidRPr="00F11FA4">
              <w:rPr>
                <w:rFonts w:ascii="Arial" w:hAnsi="Arial" w:cs="Arial"/>
                <w:sz w:val="24"/>
                <w:szCs w:val="24"/>
              </w:rPr>
              <w:t xml:space="preserve"> ANOVA of Conventional and Islamic Banks</w:t>
            </w:r>
            <w:r w:rsidRPr="0000782B">
              <w:rPr>
                <w:rFonts w:ascii="Arial" w:hAnsi="Arial" w:cs="Arial"/>
                <w:b/>
                <w:bCs/>
                <w:u w:val="single"/>
              </w:rPr>
              <w:t xml:space="preserve"> </w:t>
            </w:r>
          </w:p>
        </w:tc>
        <w:tc>
          <w:tcPr>
            <w:tcW w:w="1650" w:type="dxa"/>
          </w:tcPr>
          <w:p w14:paraId="46EA8006" w14:textId="411A595A" w:rsidR="00F11FA4" w:rsidRPr="006B166C" w:rsidRDefault="006B166C" w:rsidP="00D43AA5">
            <w:pPr>
              <w:spacing w:line="360" w:lineRule="auto"/>
              <w:rPr>
                <w:rFonts w:ascii="Arial" w:hAnsi="Arial" w:cs="Arial"/>
                <w:sz w:val="24"/>
                <w:szCs w:val="24"/>
              </w:rPr>
            </w:pPr>
            <w:r w:rsidRPr="006B166C">
              <w:rPr>
                <w:rFonts w:ascii="Arial" w:hAnsi="Arial" w:cs="Arial"/>
                <w:sz w:val="24"/>
                <w:szCs w:val="24"/>
              </w:rPr>
              <w:t>60</w:t>
            </w:r>
          </w:p>
        </w:tc>
      </w:tr>
      <w:tr w:rsidR="00B27868" w:rsidRPr="006E0B36" w14:paraId="5D7714BF" w14:textId="77777777" w:rsidTr="00D43AA5">
        <w:tc>
          <w:tcPr>
            <w:tcW w:w="7366" w:type="dxa"/>
          </w:tcPr>
          <w:p w14:paraId="4446F085" w14:textId="6F18CCE8" w:rsidR="00B27868" w:rsidRPr="00354A14" w:rsidRDefault="00B27868" w:rsidP="00F11FA4">
            <w:pPr>
              <w:spacing w:line="360" w:lineRule="auto"/>
              <w:jc w:val="both"/>
              <w:rPr>
                <w:rFonts w:ascii="Arial" w:hAnsi="Arial" w:cs="Arial"/>
                <w:sz w:val="24"/>
                <w:szCs w:val="24"/>
              </w:rPr>
            </w:pPr>
            <w:r w:rsidRPr="00F11FA4">
              <w:rPr>
                <w:rFonts w:ascii="Arial" w:hAnsi="Arial" w:cs="Arial"/>
                <w:sz w:val="24"/>
                <w:szCs w:val="24"/>
              </w:rPr>
              <w:t>Appendix</w:t>
            </w:r>
            <w:r w:rsidR="00354A14">
              <w:rPr>
                <w:rFonts w:ascii="Arial" w:hAnsi="Arial" w:cs="Arial"/>
                <w:sz w:val="24"/>
                <w:szCs w:val="24"/>
              </w:rPr>
              <w:t xml:space="preserve"> </w:t>
            </w:r>
            <w:r>
              <w:rPr>
                <w:rFonts w:ascii="Arial" w:hAnsi="Arial" w:cs="Arial"/>
                <w:sz w:val="24"/>
                <w:szCs w:val="24"/>
              </w:rPr>
              <w:t>5</w:t>
            </w:r>
            <w:r w:rsidRPr="00F11FA4">
              <w:rPr>
                <w:rFonts w:ascii="Arial" w:hAnsi="Arial" w:cs="Arial"/>
                <w:sz w:val="24"/>
                <w:szCs w:val="24"/>
              </w:rPr>
              <w:sym w:font="Symbol" w:char="F03A"/>
            </w:r>
            <w:r w:rsidRPr="00F11FA4">
              <w:rPr>
                <w:rFonts w:ascii="Arial" w:hAnsi="Arial" w:cs="Arial"/>
                <w:sz w:val="24"/>
                <w:szCs w:val="24"/>
              </w:rPr>
              <w:t xml:space="preserve"> </w:t>
            </w:r>
            <w:r w:rsidRPr="00B27868">
              <w:rPr>
                <w:rFonts w:ascii="Arial" w:hAnsi="Arial" w:cs="Arial"/>
                <w:sz w:val="24"/>
                <w:szCs w:val="24"/>
              </w:rPr>
              <w:t>Regression Results for Liquidity Risk</w:t>
            </w:r>
            <w:r w:rsidR="00354A14" w:rsidRPr="00354A14">
              <w:rPr>
                <w:rFonts w:ascii="Arial" w:hAnsi="Arial" w:cs="Arial"/>
                <w:sz w:val="24"/>
                <w:szCs w:val="24"/>
              </w:rPr>
              <w:t xml:space="preserve"> from other Research Paper</w:t>
            </w:r>
          </w:p>
        </w:tc>
        <w:tc>
          <w:tcPr>
            <w:tcW w:w="1650" w:type="dxa"/>
          </w:tcPr>
          <w:p w14:paraId="7085F0E2" w14:textId="70F923BA" w:rsidR="00B27868" w:rsidRPr="006B166C" w:rsidRDefault="006B166C" w:rsidP="00D43AA5">
            <w:pPr>
              <w:spacing w:line="360" w:lineRule="auto"/>
              <w:rPr>
                <w:rFonts w:ascii="Arial" w:hAnsi="Arial" w:cs="Arial"/>
                <w:sz w:val="24"/>
                <w:szCs w:val="24"/>
              </w:rPr>
            </w:pPr>
            <w:r w:rsidRPr="006B166C">
              <w:rPr>
                <w:rFonts w:ascii="Arial" w:hAnsi="Arial" w:cs="Arial"/>
                <w:sz w:val="24"/>
                <w:szCs w:val="24"/>
              </w:rPr>
              <w:t>60</w:t>
            </w:r>
          </w:p>
        </w:tc>
      </w:tr>
      <w:tr w:rsidR="002A308D" w:rsidRPr="006E0B36" w14:paraId="57DEC489" w14:textId="77777777" w:rsidTr="00D43AA5">
        <w:tc>
          <w:tcPr>
            <w:tcW w:w="7366" w:type="dxa"/>
          </w:tcPr>
          <w:p w14:paraId="1D13B695" w14:textId="31526064" w:rsidR="002A308D" w:rsidRPr="00F11FA4" w:rsidRDefault="00AE4BF6" w:rsidP="00F11FA4">
            <w:pPr>
              <w:spacing w:line="360" w:lineRule="auto"/>
              <w:jc w:val="both"/>
              <w:rPr>
                <w:rFonts w:ascii="Arial" w:hAnsi="Arial" w:cs="Arial"/>
              </w:rPr>
            </w:pPr>
            <w:r w:rsidRPr="00F11FA4">
              <w:rPr>
                <w:rFonts w:ascii="Arial" w:hAnsi="Arial" w:cs="Arial"/>
                <w:sz w:val="24"/>
                <w:szCs w:val="24"/>
              </w:rPr>
              <w:t>Appendix</w:t>
            </w:r>
            <w:r>
              <w:rPr>
                <w:rFonts w:ascii="Arial" w:hAnsi="Arial" w:cs="Arial"/>
                <w:sz w:val="24"/>
                <w:szCs w:val="24"/>
              </w:rPr>
              <w:t xml:space="preserve"> 6</w:t>
            </w:r>
            <w:r w:rsidRPr="00F11FA4">
              <w:rPr>
                <w:rFonts w:ascii="Arial" w:hAnsi="Arial" w:cs="Arial"/>
                <w:sz w:val="24"/>
                <w:szCs w:val="24"/>
              </w:rPr>
              <w:sym w:font="Symbol" w:char="F03A"/>
            </w:r>
            <w:r w:rsidRPr="00F11FA4">
              <w:rPr>
                <w:rFonts w:ascii="Arial" w:hAnsi="Arial" w:cs="Arial"/>
                <w:sz w:val="24"/>
                <w:szCs w:val="24"/>
              </w:rPr>
              <w:t xml:space="preserve"> </w:t>
            </w:r>
            <w:r w:rsidRPr="00AE4BF6">
              <w:rPr>
                <w:rFonts w:ascii="Arial" w:hAnsi="Arial" w:cs="Arial"/>
                <w:sz w:val="24"/>
                <w:szCs w:val="24"/>
              </w:rPr>
              <w:t>Turnin Result</w:t>
            </w:r>
          </w:p>
        </w:tc>
        <w:tc>
          <w:tcPr>
            <w:tcW w:w="1650" w:type="dxa"/>
          </w:tcPr>
          <w:p w14:paraId="185033C5" w14:textId="2336D10C" w:rsidR="002A308D" w:rsidRPr="006B166C" w:rsidRDefault="006B166C" w:rsidP="00D43AA5">
            <w:pPr>
              <w:spacing w:line="360" w:lineRule="auto"/>
              <w:rPr>
                <w:rFonts w:ascii="Arial" w:hAnsi="Arial" w:cs="Arial"/>
                <w:sz w:val="24"/>
                <w:szCs w:val="24"/>
              </w:rPr>
            </w:pPr>
            <w:r>
              <w:rPr>
                <w:rFonts w:ascii="Arial" w:hAnsi="Arial" w:cs="Arial"/>
                <w:sz w:val="24"/>
                <w:szCs w:val="24"/>
              </w:rPr>
              <w:t>61</w:t>
            </w:r>
          </w:p>
        </w:tc>
      </w:tr>
      <w:tr w:rsidR="00723267" w:rsidRPr="006E0B36" w14:paraId="4DEA8551" w14:textId="77777777" w:rsidTr="00D43AA5">
        <w:tc>
          <w:tcPr>
            <w:tcW w:w="7366" w:type="dxa"/>
          </w:tcPr>
          <w:p w14:paraId="49002A1F" w14:textId="6EBA27CD" w:rsidR="00723267" w:rsidRPr="00723267" w:rsidRDefault="00723267" w:rsidP="00F11FA4">
            <w:pPr>
              <w:spacing w:line="360" w:lineRule="auto"/>
              <w:jc w:val="both"/>
              <w:rPr>
                <w:rFonts w:ascii="Arial" w:hAnsi="Arial" w:cs="Arial"/>
                <w:lang w:val="en-US"/>
              </w:rPr>
            </w:pPr>
            <w:r w:rsidRPr="00F11FA4">
              <w:rPr>
                <w:rFonts w:ascii="Arial" w:hAnsi="Arial" w:cs="Arial"/>
                <w:sz w:val="24"/>
                <w:szCs w:val="24"/>
              </w:rPr>
              <w:t>Appendix</w:t>
            </w:r>
            <w:r>
              <w:rPr>
                <w:rFonts w:ascii="Arial" w:hAnsi="Arial" w:cs="Arial"/>
                <w:sz w:val="24"/>
                <w:szCs w:val="24"/>
              </w:rPr>
              <w:t xml:space="preserve"> </w:t>
            </w:r>
            <w:r>
              <w:rPr>
                <w:rFonts w:ascii="Arial" w:hAnsi="Arial" w:cs="Arial"/>
                <w:sz w:val="24"/>
                <w:szCs w:val="24"/>
              </w:rPr>
              <w:t>7</w:t>
            </w:r>
            <w:r w:rsidRPr="00F11FA4">
              <w:rPr>
                <w:rFonts w:ascii="Arial" w:hAnsi="Arial" w:cs="Arial"/>
                <w:sz w:val="24"/>
                <w:szCs w:val="24"/>
              </w:rPr>
              <w:sym w:font="Symbol" w:char="F03A"/>
            </w:r>
            <w:r w:rsidRPr="00F11FA4">
              <w:rPr>
                <w:rFonts w:ascii="Arial" w:hAnsi="Arial" w:cs="Arial"/>
                <w:sz w:val="24"/>
                <w:szCs w:val="24"/>
              </w:rPr>
              <w:t xml:space="preserve"> </w:t>
            </w:r>
            <w:r>
              <w:rPr>
                <w:rFonts w:ascii="Arial" w:hAnsi="Arial" w:cs="Arial"/>
                <w:sz w:val="24"/>
                <w:szCs w:val="24"/>
              </w:rPr>
              <w:t>Record of Meeting</w:t>
            </w:r>
          </w:p>
        </w:tc>
        <w:tc>
          <w:tcPr>
            <w:tcW w:w="1650" w:type="dxa"/>
          </w:tcPr>
          <w:p w14:paraId="265CB723" w14:textId="42B38594" w:rsidR="00723267" w:rsidRPr="006B166C" w:rsidRDefault="00723267" w:rsidP="00D43AA5">
            <w:pPr>
              <w:spacing w:line="360" w:lineRule="auto"/>
              <w:rPr>
                <w:rFonts w:ascii="Arial" w:hAnsi="Arial" w:cs="Arial"/>
                <w:sz w:val="24"/>
                <w:szCs w:val="24"/>
              </w:rPr>
            </w:pPr>
            <w:r w:rsidRPr="006B166C">
              <w:rPr>
                <w:rFonts w:ascii="Arial" w:hAnsi="Arial" w:cs="Arial"/>
                <w:sz w:val="24"/>
                <w:szCs w:val="24"/>
              </w:rPr>
              <w:t>6</w:t>
            </w:r>
            <w:r w:rsidR="006B166C">
              <w:rPr>
                <w:rFonts w:ascii="Arial" w:hAnsi="Arial" w:cs="Arial"/>
                <w:sz w:val="24"/>
                <w:szCs w:val="24"/>
              </w:rPr>
              <w:t>2</w:t>
            </w:r>
          </w:p>
        </w:tc>
      </w:tr>
    </w:tbl>
    <w:p w14:paraId="3D817EEB" w14:textId="77777777" w:rsidR="0000782B" w:rsidRDefault="0000782B" w:rsidP="0000782B">
      <w:pPr>
        <w:spacing w:line="360" w:lineRule="auto"/>
        <w:contextualSpacing/>
        <w:jc w:val="center"/>
        <w:rPr>
          <w:rFonts w:ascii="Arial" w:hAnsi="Arial" w:cs="Arial"/>
          <w:b/>
          <w:sz w:val="32"/>
          <w:u w:val="single"/>
          <w:lang w:val="en-US"/>
        </w:rPr>
      </w:pPr>
    </w:p>
    <w:p w14:paraId="729F5C9D" w14:textId="5EA5AE69" w:rsidR="0000782B" w:rsidRDefault="0000782B" w:rsidP="0000782B"/>
    <w:p w14:paraId="1520D6B4" w14:textId="27D961BA" w:rsidR="0000782B" w:rsidRDefault="0000782B" w:rsidP="0000782B"/>
    <w:p w14:paraId="5986E819" w14:textId="2782E485" w:rsidR="0000782B" w:rsidRDefault="0000782B" w:rsidP="0000782B"/>
    <w:p w14:paraId="63858932" w14:textId="14ED3CED" w:rsidR="0000782B" w:rsidRDefault="0000782B" w:rsidP="0000782B"/>
    <w:p w14:paraId="6C4709F1" w14:textId="7C554514" w:rsidR="0000782B" w:rsidRDefault="0000782B" w:rsidP="0000782B"/>
    <w:p w14:paraId="6E480B12" w14:textId="5CDDA6A7" w:rsidR="0000782B" w:rsidRDefault="0000782B" w:rsidP="0000782B"/>
    <w:p w14:paraId="3E4F2AE9" w14:textId="7E2E091A" w:rsidR="0000782B" w:rsidRDefault="0000782B" w:rsidP="0000782B"/>
    <w:p w14:paraId="47203031" w14:textId="38E5AA7B" w:rsidR="0000782B" w:rsidRDefault="0000782B" w:rsidP="0000782B"/>
    <w:p w14:paraId="5DCA12FD" w14:textId="2C4759BD" w:rsidR="0000782B" w:rsidRDefault="0000782B" w:rsidP="0000782B"/>
    <w:p w14:paraId="484A7BBB" w14:textId="6C798721" w:rsidR="0000782B" w:rsidRDefault="0000782B" w:rsidP="0000782B"/>
    <w:p w14:paraId="0D41E0CC" w14:textId="3359A37D" w:rsidR="0000782B" w:rsidRDefault="0000782B" w:rsidP="0000782B"/>
    <w:p w14:paraId="10E1C0CA" w14:textId="3FADB8B6" w:rsidR="0000782B" w:rsidRDefault="0000782B" w:rsidP="0000782B"/>
    <w:p w14:paraId="0693E1DB" w14:textId="724C49D3" w:rsidR="0000782B" w:rsidRDefault="0000782B" w:rsidP="0000782B"/>
    <w:p w14:paraId="73B9177D" w14:textId="1EC70FB9" w:rsidR="0000782B" w:rsidRDefault="0000782B" w:rsidP="0000782B"/>
    <w:p w14:paraId="55B2E2AE" w14:textId="4AAF0913" w:rsidR="0000782B" w:rsidRDefault="0000782B" w:rsidP="0000782B"/>
    <w:p w14:paraId="37FBEBE7" w14:textId="5695DA21" w:rsidR="0000782B" w:rsidRDefault="0000782B" w:rsidP="0000782B"/>
    <w:p w14:paraId="4DDDFC54" w14:textId="58260246" w:rsidR="0000782B" w:rsidRDefault="0000782B" w:rsidP="0000782B"/>
    <w:p w14:paraId="45321684" w14:textId="2D968CB0" w:rsidR="0000782B" w:rsidRDefault="0000782B" w:rsidP="0000782B"/>
    <w:p w14:paraId="03A00166" w14:textId="2C626825" w:rsidR="0000782B" w:rsidRDefault="0000782B" w:rsidP="0000782B"/>
    <w:p w14:paraId="56420EDC" w14:textId="3F40E956" w:rsidR="0000782B" w:rsidRDefault="0000782B" w:rsidP="0000782B"/>
    <w:p w14:paraId="384452CC" w14:textId="30292BAF" w:rsidR="0000782B" w:rsidRDefault="0000782B" w:rsidP="0000782B"/>
    <w:p w14:paraId="5A0423B3" w14:textId="77777777" w:rsidR="00B27868" w:rsidRDefault="00B27868" w:rsidP="0000782B">
      <w:pPr>
        <w:spacing w:line="360" w:lineRule="auto"/>
        <w:jc w:val="both"/>
      </w:pPr>
    </w:p>
    <w:p w14:paraId="72631378" w14:textId="3F0911FE" w:rsidR="009347F7" w:rsidRPr="0000782B" w:rsidRDefault="0000782B" w:rsidP="0000782B">
      <w:pPr>
        <w:spacing w:line="360" w:lineRule="auto"/>
        <w:jc w:val="both"/>
        <w:rPr>
          <w:rFonts w:ascii="Arial" w:hAnsi="Arial" w:cs="Arial"/>
          <w:b/>
          <w:bCs/>
          <w:u w:val="single"/>
        </w:rPr>
      </w:pPr>
      <w:r w:rsidRPr="0000782B">
        <w:rPr>
          <w:rFonts w:ascii="Arial" w:hAnsi="Arial" w:cs="Arial"/>
          <w:b/>
          <w:bCs/>
          <w:u w:val="single"/>
        </w:rPr>
        <w:lastRenderedPageBreak/>
        <w:t>Appendix 1</w:t>
      </w:r>
      <w:r w:rsidRPr="0000782B">
        <w:rPr>
          <w:rFonts w:ascii="Arial" w:hAnsi="Arial" w:cs="Arial"/>
          <w:b/>
          <w:bCs/>
          <w:u w:val="single"/>
        </w:rPr>
        <w:sym w:font="Symbol" w:char="F03A"/>
      </w:r>
      <w:r w:rsidRPr="0000782B">
        <w:rPr>
          <w:rFonts w:ascii="Arial" w:hAnsi="Arial" w:cs="Arial"/>
          <w:b/>
          <w:bCs/>
          <w:u w:val="single"/>
        </w:rPr>
        <w:t xml:space="preserve"> The Detail of Each Conventional and Islamic Banks' Ratio from 2014 to 2018 </w:t>
      </w:r>
      <w:r w:rsidR="003C5CC7" w:rsidRPr="0000782B">
        <w:rPr>
          <w:rFonts w:ascii="Arial" w:hAnsi="Arial" w:cs="Arial"/>
          <w:b/>
          <w:bCs/>
          <w:u w:val="single"/>
        </w:rPr>
        <w:t xml:space="preserve"> </w:t>
      </w:r>
    </w:p>
    <w:p w14:paraId="79BFF0A2" w14:textId="074627C5" w:rsidR="0000782B" w:rsidRPr="0000782B" w:rsidRDefault="0000782B" w:rsidP="0000782B">
      <w:pPr>
        <w:pStyle w:val="ListParagraph"/>
        <w:numPr>
          <w:ilvl w:val="0"/>
          <w:numId w:val="17"/>
        </w:numPr>
        <w:spacing w:line="360" w:lineRule="auto"/>
        <w:jc w:val="both"/>
        <w:rPr>
          <w:rFonts w:ascii="Arial" w:hAnsi="Arial" w:cs="Arial"/>
          <w:b/>
          <w:bCs/>
        </w:rPr>
      </w:pPr>
      <w:r w:rsidRPr="0000782B">
        <w:rPr>
          <w:rFonts w:ascii="Arial" w:hAnsi="Arial" w:cs="Arial"/>
          <w:b/>
          <w:bCs/>
        </w:rPr>
        <w:t>Conventional Banks</w:t>
      </w:r>
    </w:p>
    <w:tbl>
      <w:tblPr>
        <w:tblStyle w:val="PlainTable3"/>
        <w:tblW w:w="9200" w:type="dxa"/>
        <w:tblLook w:val="04A0" w:firstRow="1" w:lastRow="0" w:firstColumn="1" w:lastColumn="0" w:noHBand="0" w:noVBand="1"/>
      </w:tblPr>
      <w:tblGrid>
        <w:gridCol w:w="3000"/>
        <w:gridCol w:w="1300"/>
        <w:gridCol w:w="1177"/>
        <w:gridCol w:w="1557"/>
        <w:gridCol w:w="1166"/>
        <w:gridCol w:w="1083"/>
      </w:tblGrid>
      <w:tr w:rsidR="003C5CC7" w:rsidRPr="00AE5090" w14:paraId="680F4682" w14:textId="77777777" w:rsidTr="00D43AA5">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3000" w:type="dxa"/>
            <w:noWrap/>
            <w:hideMark/>
          </w:tcPr>
          <w:p w14:paraId="30E250F4" w14:textId="77777777" w:rsidR="003C5CC7" w:rsidRPr="00AE5090" w:rsidRDefault="003C5CC7" w:rsidP="0000782B">
            <w:pPr>
              <w:spacing w:line="360" w:lineRule="auto"/>
              <w:jc w:val="center"/>
              <w:rPr>
                <w:color w:val="000000"/>
              </w:rPr>
            </w:pPr>
            <w:r w:rsidRPr="00AE5090">
              <w:rPr>
                <w:color w:val="000000"/>
              </w:rPr>
              <w:t>Banks</w:t>
            </w:r>
          </w:p>
        </w:tc>
        <w:tc>
          <w:tcPr>
            <w:tcW w:w="1300" w:type="dxa"/>
            <w:noWrap/>
            <w:hideMark/>
          </w:tcPr>
          <w:p w14:paraId="75487E99" w14:textId="77777777" w:rsidR="003C5CC7" w:rsidRPr="00AE5090" w:rsidRDefault="003C5CC7" w:rsidP="0000782B">
            <w:pPr>
              <w:spacing w:line="360" w:lineRule="auto"/>
              <w:cnfStyle w:val="100000000000" w:firstRow="1" w:lastRow="0" w:firstColumn="0" w:lastColumn="0" w:oddVBand="0" w:evenVBand="0" w:oddHBand="0" w:evenHBand="0" w:firstRowFirstColumn="0" w:firstRowLastColumn="0" w:lastRowFirstColumn="0" w:lastRowLastColumn="0"/>
              <w:rPr>
                <w:color w:val="000000"/>
              </w:rPr>
            </w:pPr>
            <w:r w:rsidRPr="00AE5090">
              <w:rPr>
                <w:color w:val="000000"/>
              </w:rPr>
              <w:t>Years</w:t>
            </w:r>
          </w:p>
        </w:tc>
        <w:tc>
          <w:tcPr>
            <w:tcW w:w="4900" w:type="dxa"/>
            <w:gridSpan w:val="4"/>
            <w:noWrap/>
            <w:hideMark/>
          </w:tcPr>
          <w:p w14:paraId="792DAB3D" w14:textId="77777777" w:rsidR="003C5CC7" w:rsidRPr="00AE5090" w:rsidRDefault="003C5CC7" w:rsidP="0000782B">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AE5090">
              <w:rPr>
                <w:color w:val="000000"/>
              </w:rPr>
              <w:t>Measurement</w:t>
            </w:r>
          </w:p>
        </w:tc>
      </w:tr>
      <w:tr w:rsidR="003C5CC7" w:rsidRPr="00AE5090" w14:paraId="7B6DD629"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noWrap/>
            <w:hideMark/>
          </w:tcPr>
          <w:p w14:paraId="2D10D31A" w14:textId="77777777" w:rsidR="003C5CC7" w:rsidRPr="00AE5090" w:rsidRDefault="003C5CC7" w:rsidP="00D43AA5">
            <w:pPr>
              <w:rPr>
                <w:color w:val="000000"/>
              </w:rPr>
            </w:pPr>
            <w:r w:rsidRPr="00AE5090">
              <w:rPr>
                <w:color w:val="000000"/>
              </w:rPr>
              <w:t> </w:t>
            </w:r>
          </w:p>
        </w:tc>
        <w:tc>
          <w:tcPr>
            <w:tcW w:w="1300" w:type="dxa"/>
            <w:noWrap/>
            <w:hideMark/>
          </w:tcPr>
          <w:p w14:paraId="797F592B"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 </w:t>
            </w:r>
          </w:p>
        </w:tc>
        <w:tc>
          <w:tcPr>
            <w:tcW w:w="1143" w:type="dxa"/>
            <w:noWrap/>
            <w:hideMark/>
          </w:tcPr>
          <w:p w14:paraId="258CC6D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AE5090">
              <w:rPr>
                <w:b/>
                <w:bCs/>
                <w:color w:val="000000"/>
              </w:rPr>
              <w:t>Liquidity</w:t>
            </w:r>
          </w:p>
        </w:tc>
        <w:tc>
          <w:tcPr>
            <w:tcW w:w="1557" w:type="dxa"/>
            <w:noWrap/>
            <w:hideMark/>
          </w:tcPr>
          <w:p w14:paraId="24B45E67" w14:textId="695CB312" w:rsidR="003C5CC7" w:rsidRPr="00AE5090" w:rsidRDefault="0000782B" w:rsidP="00D43AA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AE5090">
              <w:rPr>
                <w:b/>
                <w:bCs/>
                <w:color w:val="000000"/>
              </w:rPr>
              <w:t>Profitability</w:t>
            </w:r>
          </w:p>
        </w:tc>
        <w:tc>
          <w:tcPr>
            <w:tcW w:w="1166" w:type="dxa"/>
            <w:noWrap/>
            <w:hideMark/>
          </w:tcPr>
          <w:p w14:paraId="36964F6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AE5090">
              <w:rPr>
                <w:b/>
                <w:bCs/>
                <w:color w:val="000000"/>
              </w:rPr>
              <w:t>Bank size</w:t>
            </w:r>
          </w:p>
        </w:tc>
        <w:tc>
          <w:tcPr>
            <w:tcW w:w="1034" w:type="dxa"/>
            <w:noWrap/>
            <w:hideMark/>
          </w:tcPr>
          <w:p w14:paraId="3F715F9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AE5090">
              <w:rPr>
                <w:b/>
                <w:bCs/>
                <w:color w:val="000000"/>
              </w:rPr>
              <w:t>Deposits</w:t>
            </w:r>
          </w:p>
        </w:tc>
      </w:tr>
      <w:tr w:rsidR="003C5CC7" w:rsidRPr="00AE5090" w14:paraId="5A10452A"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3FBDD1B7" w14:textId="77777777" w:rsidR="003C5CC7" w:rsidRPr="00AE5090" w:rsidRDefault="003C5CC7" w:rsidP="00D43AA5">
            <w:pPr>
              <w:rPr>
                <w:color w:val="000000"/>
              </w:rPr>
            </w:pPr>
            <w:r w:rsidRPr="00AE5090">
              <w:rPr>
                <w:color w:val="000000"/>
              </w:rPr>
              <w:t>Affin Bank Berhad</w:t>
            </w:r>
          </w:p>
        </w:tc>
        <w:tc>
          <w:tcPr>
            <w:tcW w:w="1300" w:type="dxa"/>
            <w:noWrap/>
            <w:hideMark/>
          </w:tcPr>
          <w:p w14:paraId="702325D4"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0F6F39B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3906EE1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59E8A77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18.02</w:t>
            </w:r>
          </w:p>
        </w:tc>
        <w:tc>
          <w:tcPr>
            <w:tcW w:w="1034" w:type="dxa"/>
            <w:noWrap/>
            <w:hideMark/>
          </w:tcPr>
          <w:p w14:paraId="4D6C980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0.84</w:t>
            </w:r>
          </w:p>
        </w:tc>
      </w:tr>
      <w:tr w:rsidR="003C5CC7" w:rsidRPr="00AE5090" w14:paraId="698101A5"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3D3A3E31" w14:textId="77777777" w:rsidR="003C5CC7" w:rsidRPr="00AE5090" w:rsidRDefault="003C5CC7" w:rsidP="00D43AA5">
            <w:pPr>
              <w:rPr>
                <w:color w:val="000000"/>
              </w:rPr>
            </w:pPr>
          </w:p>
        </w:tc>
        <w:tc>
          <w:tcPr>
            <w:tcW w:w="1300" w:type="dxa"/>
            <w:noWrap/>
            <w:hideMark/>
          </w:tcPr>
          <w:p w14:paraId="7E70A0C8"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41D527B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0.93</w:t>
            </w:r>
          </w:p>
        </w:tc>
        <w:tc>
          <w:tcPr>
            <w:tcW w:w="1557" w:type="dxa"/>
            <w:noWrap/>
            <w:hideMark/>
          </w:tcPr>
          <w:p w14:paraId="2960A81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7C1C43D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18.03</w:t>
            </w:r>
          </w:p>
        </w:tc>
        <w:tc>
          <w:tcPr>
            <w:tcW w:w="1034" w:type="dxa"/>
            <w:noWrap/>
            <w:hideMark/>
          </w:tcPr>
          <w:p w14:paraId="636309E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0.80</w:t>
            </w:r>
          </w:p>
        </w:tc>
      </w:tr>
      <w:tr w:rsidR="003C5CC7" w:rsidRPr="00AE5090" w14:paraId="392B69E6"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528FF65" w14:textId="77777777" w:rsidR="003C5CC7" w:rsidRPr="00AE5090" w:rsidRDefault="003C5CC7" w:rsidP="00D43AA5">
            <w:pPr>
              <w:rPr>
                <w:color w:val="000000"/>
              </w:rPr>
            </w:pPr>
          </w:p>
        </w:tc>
        <w:tc>
          <w:tcPr>
            <w:tcW w:w="1300" w:type="dxa"/>
            <w:noWrap/>
            <w:hideMark/>
          </w:tcPr>
          <w:p w14:paraId="60DA811C"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3997EA9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140F470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292566E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17.91</w:t>
            </w:r>
          </w:p>
        </w:tc>
        <w:tc>
          <w:tcPr>
            <w:tcW w:w="1034" w:type="dxa"/>
            <w:noWrap/>
            <w:hideMark/>
          </w:tcPr>
          <w:p w14:paraId="1AEAB4E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0.85</w:t>
            </w:r>
          </w:p>
        </w:tc>
      </w:tr>
      <w:tr w:rsidR="003C5CC7" w:rsidRPr="00AE5090" w14:paraId="6E6D757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518A5DD1" w14:textId="77777777" w:rsidR="003C5CC7" w:rsidRPr="00AE5090" w:rsidRDefault="003C5CC7" w:rsidP="00D43AA5">
            <w:pPr>
              <w:rPr>
                <w:color w:val="000000"/>
              </w:rPr>
            </w:pPr>
          </w:p>
        </w:tc>
        <w:tc>
          <w:tcPr>
            <w:tcW w:w="1300" w:type="dxa"/>
            <w:noWrap/>
            <w:hideMark/>
          </w:tcPr>
          <w:p w14:paraId="443DFCC8"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1917670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31D8B11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610DA91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18.06</w:t>
            </w:r>
          </w:p>
        </w:tc>
        <w:tc>
          <w:tcPr>
            <w:tcW w:w="1034" w:type="dxa"/>
            <w:noWrap/>
            <w:hideMark/>
          </w:tcPr>
          <w:p w14:paraId="641E033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0.81</w:t>
            </w:r>
          </w:p>
        </w:tc>
      </w:tr>
      <w:tr w:rsidR="003C5CC7" w:rsidRPr="00AE5090" w14:paraId="15909D40"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783F7FE9" w14:textId="77777777" w:rsidR="003C5CC7" w:rsidRPr="00AE5090" w:rsidRDefault="003C5CC7" w:rsidP="00D43AA5">
            <w:pPr>
              <w:rPr>
                <w:color w:val="000000"/>
              </w:rPr>
            </w:pPr>
          </w:p>
        </w:tc>
        <w:tc>
          <w:tcPr>
            <w:tcW w:w="1300" w:type="dxa"/>
            <w:noWrap/>
            <w:hideMark/>
          </w:tcPr>
          <w:p w14:paraId="371B0442"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227F202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02008F1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6A7F58C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18.15</w:t>
            </w:r>
          </w:p>
        </w:tc>
        <w:tc>
          <w:tcPr>
            <w:tcW w:w="1034" w:type="dxa"/>
            <w:noWrap/>
            <w:hideMark/>
          </w:tcPr>
          <w:p w14:paraId="327D8CD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0.82</w:t>
            </w:r>
          </w:p>
        </w:tc>
      </w:tr>
      <w:tr w:rsidR="003C5CC7" w:rsidRPr="00AE5090" w14:paraId="4A4EE213"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67ED59DE" w14:textId="77777777" w:rsidR="003C5CC7" w:rsidRPr="00AE5090" w:rsidRDefault="003C5CC7" w:rsidP="00D43AA5">
            <w:pPr>
              <w:rPr>
                <w:color w:val="000000"/>
              </w:rPr>
            </w:pPr>
          </w:p>
        </w:tc>
        <w:tc>
          <w:tcPr>
            <w:tcW w:w="1300" w:type="dxa"/>
            <w:noWrap/>
            <w:hideMark/>
          </w:tcPr>
          <w:p w14:paraId="179D8DA4"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124F86F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0.94</w:t>
            </w:r>
          </w:p>
        </w:tc>
        <w:tc>
          <w:tcPr>
            <w:tcW w:w="1557" w:type="dxa"/>
            <w:noWrap/>
            <w:hideMark/>
          </w:tcPr>
          <w:p w14:paraId="0FF8DED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0.02</w:t>
            </w:r>
          </w:p>
        </w:tc>
        <w:tc>
          <w:tcPr>
            <w:tcW w:w="1166" w:type="dxa"/>
            <w:noWrap/>
            <w:hideMark/>
          </w:tcPr>
          <w:p w14:paraId="598A7BC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18.03</w:t>
            </w:r>
          </w:p>
        </w:tc>
        <w:tc>
          <w:tcPr>
            <w:tcW w:w="1034" w:type="dxa"/>
            <w:noWrap/>
            <w:hideMark/>
          </w:tcPr>
          <w:p w14:paraId="30BC7E8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0.82</w:t>
            </w:r>
          </w:p>
        </w:tc>
      </w:tr>
      <w:tr w:rsidR="003C5CC7" w:rsidRPr="00AE5090" w14:paraId="10DA784F"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4F43D55C" w14:textId="77777777" w:rsidR="003C5CC7" w:rsidRPr="00AE5090" w:rsidRDefault="003C5CC7" w:rsidP="00D43AA5">
            <w:pPr>
              <w:rPr>
                <w:color w:val="000000"/>
              </w:rPr>
            </w:pPr>
            <w:r w:rsidRPr="00AE5090">
              <w:rPr>
                <w:color w:val="000000"/>
              </w:rPr>
              <w:t>Alliance Bank Malaysia Berhad</w:t>
            </w:r>
          </w:p>
        </w:tc>
        <w:tc>
          <w:tcPr>
            <w:tcW w:w="1300" w:type="dxa"/>
            <w:noWrap/>
            <w:hideMark/>
          </w:tcPr>
          <w:p w14:paraId="785CF7D2"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219C257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7E56B2A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5F0FA73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17.69</w:t>
            </w:r>
          </w:p>
        </w:tc>
        <w:tc>
          <w:tcPr>
            <w:tcW w:w="1034" w:type="dxa"/>
            <w:noWrap/>
            <w:hideMark/>
          </w:tcPr>
          <w:p w14:paraId="7690174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0.88</w:t>
            </w:r>
          </w:p>
        </w:tc>
      </w:tr>
      <w:tr w:rsidR="003C5CC7" w:rsidRPr="00AE5090" w14:paraId="024EE424"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8461D15" w14:textId="77777777" w:rsidR="003C5CC7" w:rsidRPr="00AE5090" w:rsidRDefault="003C5CC7" w:rsidP="00D43AA5">
            <w:pPr>
              <w:rPr>
                <w:color w:val="000000"/>
              </w:rPr>
            </w:pPr>
          </w:p>
        </w:tc>
        <w:tc>
          <w:tcPr>
            <w:tcW w:w="1300" w:type="dxa"/>
            <w:noWrap/>
            <w:hideMark/>
          </w:tcPr>
          <w:p w14:paraId="24D672D1"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51FF7AA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0.91</w:t>
            </w:r>
          </w:p>
        </w:tc>
        <w:tc>
          <w:tcPr>
            <w:tcW w:w="1557" w:type="dxa"/>
            <w:noWrap/>
            <w:hideMark/>
          </w:tcPr>
          <w:p w14:paraId="5110C0B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0ABD1B5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17.79</w:t>
            </w:r>
          </w:p>
        </w:tc>
        <w:tc>
          <w:tcPr>
            <w:tcW w:w="1034" w:type="dxa"/>
            <w:noWrap/>
            <w:hideMark/>
          </w:tcPr>
          <w:p w14:paraId="13CEDF0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0.87</w:t>
            </w:r>
          </w:p>
        </w:tc>
      </w:tr>
      <w:tr w:rsidR="003C5CC7" w:rsidRPr="00AE5090" w14:paraId="34078E1C"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792EF54" w14:textId="77777777" w:rsidR="003C5CC7" w:rsidRPr="00AE5090" w:rsidRDefault="003C5CC7" w:rsidP="00D43AA5">
            <w:pPr>
              <w:rPr>
                <w:color w:val="000000"/>
              </w:rPr>
            </w:pPr>
          </w:p>
        </w:tc>
        <w:tc>
          <w:tcPr>
            <w:tcW w:w="1300" w:type="dxa"/>
            <w:noWrap/>
            <w:hideMark/>
          </w:tcPr>
          <w:p w14:paraId="4AF4307A"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14F4835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035EDA2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68E4ADB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17.83</w:t>
            </w:r>
          </w:p>
        </w:tc>
        <w:tc>
          <w:tcPr>
            <w:tcW w:w="1034" w:type="dxa"/>
            <w:noWrap/>
            <w:hideMark/>
          </w:tcPr>
          <w:p w14:paraId="27E9164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0.85</w:t>
            </w:r>
          </w:p>
        </w:tc>
      </w:tr>
      <w:tr w:rsidR="003C5CC7" w:rsidRPr="00AE5090" w14:paraId="07AE0989"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0E3A17D" w14:textId="77777777" w:rsidR="003C5CC7" w:rsidRPr="00AE5090" w:rsidRDefault="003C5CC7" w:rsidP="00D43AA5">
            <w:pPr>
              <w:rPr>
                <w:color w:val="000000"/>
              </w:rPr>
            </w:pPr>
          </w:p>
        </w:tc>
        <w:tc>
          <w:tcPr>
            <w:tcW w:w="1300" w:type="dxa"/>
            <w:noWrap/>
            <w:hideMark/>
          </w:tcPr>
          <w:p w14:paraId="57B6FFAA"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227B12F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66948C3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6BD4E49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17.81</w:t>
            </w:r>
          </w:p>
        </w:tc>
        <w:tc>
          <w:tcPr>
            <w:tcW w:w="1034" w:type="dxa"/>
            <w:noWrap/>
            <w:hideMark/>
          </w:tcPr>
          <w:p w14:paraId="6151516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0.85</w:t>
            </w:r>
          </w:p>
        </w:tc>
      </w:tr>
      <w:tr w:rsidR="003C5CC7" w:rsidRPr="00AE5090" w14:paraId="1F9C12A3"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3AB08A10" w14:textId="77777777" w:rsidR="003C5CC7" w:rsidRPr="00AE5090" w:rsidRDefault="003C5CC7" w:rsidP="00D43AA5">
            <w:pPr>
              <w:rPr>
                <w:color w:val="000000"/>
              </w:rPr>
            </w:pPr>
          </w:p>
        </w:tc>
        <w:tc>
          <w:tcPr>
            <w:tcW w:w="1300" w:type="dxa"/>
            <w:noWrap/>
            <w:hideMark/>
          </w:tcPr>
          <w:p w14:paraId="21AD519E"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1120F10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37CAFF6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01B4907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17.80</w:t>
            </w:r>
          </w:p>
        </w:tc>
        <w:tc>
          <w:tcPr>
            <w:tcW w:w="1034" w:type="dxa"/>
            <w:noWrap/>
            <w:hideMark/>
          </w:tcPr>
          <w:p w14:paraId="0717301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0.81</w:t>
            </w:r>
          </w:p>
        </w:tc>
      </w:tr>
      <w:tr w:rsidR="003C5CC7" w:rsidRPr="00AE5090" w14:paraId="5A22430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4183B77F" w14:textId="77777777" w:rsidR="003C5CC7" w:rsidRPr="00AE5090" w:rsidRDefault="003C5CC7" w:rsidP="00D43AA5">
            <w:pPr>
              <w:rPr>
                <w:color w:val="000000"/>
              </w:rPr>
            </w:pPr>
          </w:p>
        </w:tc>
        <w:tc>
          <w:tcPr>
            <w:tcW w:w="1300" w:type="dxa"/>
            <w:noWrap/>
            <w:hideMark/>
          </w:tcPr>
          <w:p w14:paraId="752347E1"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658988D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0.95</w:t>
            </w:r>
          </w:p>
        </w:tc>
        <w:tc>
          <w:tcPr>
            <w:tcW w:w="1557" w:type="dxa"/>
            <w:noWrap/>
            <w:hideMark/>
          </w:tcPr>
          <w:p w14:paraId="68543F2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0.03</w:t>
            </w:r>
          </w:p>
        </w:tc>
        <w:tc>
          <w:tcPr>
            <w:tcW w:w="1166" w:type="dxa"/>
            <w:noWrap/>
            <w:hideMark/>
          </w:tcPr>
          <w:p w14:paraId="0307B63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17.78</w:t>
            </w:r>
          </w:p>
        </w:tc>
        <w:tc>
          <w:tcPr>
            <w:tcW w:w="1034" w:type="dxa"/>
            <w:noWrap/>
            <w:hideMark/>
          </w:tcPr>
          <w:p w14:paraId="59E5A61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0.85</w:t>
            </w:r>
          </w:p>
        </w:tc>
      </w:tr>
      <w:tr w:rsidR="003C5CC7" w:rsidRPr="00AE5090" w14:paraId="750BB43F"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6F719577" w14:textId="77777777" w:rsidR="003C5CC7" w:rsidRPr="00AE5090" w:rsidRDefault="003C5CC7" w:rsidP="00D43AA5">
            <w:pPr>
              <w:rPr>
                <w:color w:val="000000"/>
              </w:rPr>
            </w:pPr>
            <w:r w:rsidRPr="00AE5090">
              <w:rPr>
                <w:color w:val="000000"/>
              </w:rPr>
              <w:t>AmBank (M) Berhad</w:t>
            </w:r>
          </w:p>
        </w:tc>
        <w:tc>
          <w:tcPr>
            <w:tcW w:w="1300" w:type="dxa"/>
            <w:noWrap/>
            <w:hideMark/>
          </w:tcPr>
          <w:p w14:paraId="737FEC17"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0D9123E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0.89</w:t>
            </w:r>
          </w:p>
        </w:tc>
        <w:tc>
          <w:tcPr>
            <w:tcW w:w="1557" w:type="dxa"/>
            <w:noWrap/>
            <w:hideMark/>
          </w:tcPr>
          <w:p w14:paraId="141BC81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0.04</w:t>
            </w:r>
          </w:p>
        </w:tc>
        <w:tc>
          <w:tcPr>
            <w:tcW w:w="1166" w:type="dxa"/>
            <w:noWrap/>
            <w:hideMark/>
          </w:tcPr>
          <w:p w14:paraId="08D6D18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18.70</w:t>
            </w:r>
          </w:p>
        </w:tc>
        <w:tc>
          <w:tcPr>
            <w:tcW w:w="1034" w:type="dxa"/>
            <w:noWrap/>
            <w:hideMark/>
          </w:tcPr>
          <w:p w14:paraId="3431C97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0.71</w:t>
            </w:r>
          </w:p>
        </w:tc>
      </w:tr>
      <w:tr w:rsidR="003C5CC7" w:rsidRPr="00AE5090" w14:paraId="6F233BF4"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5D0ECE0B" w14:textId="77777777" w:rsidR="003C5CC7" w:rsidRPr="00AE5090" w:rsidRDefault="003C5CC7" w:rsidP="00D43AA5">
            <w:pPr>
              <w:rPr>
                <w:color w:val="000000"/>
              </w:rPr>
            </w:pPr>
          </w:p>
        </w:tc>
        <w:tc>
          <w:tcPr>
            <w:tcW w:w="1300" w:type="dxa"/>
            <w:noWrap/>
            <w:hideMark/>
          </w:tcPr>
          <w:p w14:paraId="1C037143"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4B1CD51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0.91</w:t>
            </w:r>
          </w:p>
        </w:tc>
        <w:tc>
          <w:tcPr>
            <w:tcW w:w="1557" w:type="dxa"/>
            <w:noWrap/>
            <w:hideMark/>
          </w:tcPr>
          <w:p w14:paraId="2C2753E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0.04</w:t>
            </w:r>
          </w:p>
        </w:tc>
        <w:tc>
          <w:tcPr>
            <w:tcW w:w="1166" w:type="dxa"/>
            <w:noWrap/>
            <w:hideMark/>
          </w:tcPr>
          <w:p w14:paraId="7BC9C2F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18.71</w:t>
            </w:r>
          </w:p>
        </w:tc>
        <w:tc>
          <w:tcPr>
            <w:tcW w:w="1034" w:type="dxa"/>
            <w:noWrap/>
            <w:hideMark/>
          </w:tcPr>
          <w:p w14:paraId="064A657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0.71</w:t>
            </w:r>
          </w:p>
        </w:tc>
      </w:tr>
      <w:tr w:rsidR="003C5CC7" w:rsidRPr="00AE5090" w14:paraId="683F71D6"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35BFE28C" w14:textId="77777777" w:rsidR="003C5CC7" w:rsidRPr="00AE5090" w:rsidRDefault="003C5CC7" w:rsidP="00D43AA5">
            <w:pPr>
              <w:rPr>
                <w:color w:val="000000"/>
              </w:rPr>
            </w:pPr>
          </w:p>
        </w:tc>
        <w:tc>
          <w:tcPr>
            <w:tcW w:w="1300" w:type="dxa"/>
            <w:noWrap/>
            <w:hideMark/>
          </w:tcPr>
          <w:p w14:paraId="1D62E5B6"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76132A3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0.92</w:t>
            </w:r>
          </w:p>
        </w:tc>
        <w:tc>
          <w:tcPr>
            <w:tcW w:w="1557" w:type="dxa"/>
            <w:noWrap/>
            <w:hideMark/>
          </w:tcPr>
          <w:p w14:paraId="58477B8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495B24D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18.71</w:t>
            </w:r>
          </w:p>
        </w:tc>
        <w:tc>
          <w:tcPr>
            <w:tcW w:w="1034" w:type="dxa"/>
            <w:noWrap/>
            <w:hideMark/>
          </w:tcPr>
          <w:p w14:paraId="48A11F6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0.69</w:t>
            </w:r>
          </w:p>
        </w:tc>
      </w:tr>
      <w:tr w:rsidR="003C5CC7" w:rsidRPr="00AE5090" w14:paraId="4AF7B94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64FF0564" w14:textId="77777777" w:rsidR="003C5CC7" w:rsidRPr="00AE5090" w:rsidRDefault="003C5CC7" w:rsidP="00D43AA5">
            <w:pPr>
              <w:rPr>
                <w:color w:val="000000"/>
              </w:rPr>
            </w:pPr>
          </w:p>
        </w:tc>
        <w:tc>
          <w:tcPr>
            <w:tcW w:w="1300" w:type="dxa"/>
            <w:noWrap/>
            <w:hideMark/>
          </w:tcPr>
          <w:p w14:paraId="267EC7B0"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68BF762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0.92</w:t>
            </w:r>
          </w:p>
        </w:tc>
        <w:tc>
          <w:tcPr>
            <w:tcW w:w="1557" w:type="dxa"/>
            <w:noWrap/>
            <w:hideMark/>
          </w:tcPr>
          <w:p w14:paraId="1425113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6D110F7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18.72</w:t>
            </w:r>
          </w:p>
        </w:tc>
        <w:tc>
          <w:tcPr>
            <w:tcW w:w="1034" w:type="dxa"/>
            <w:noWrap/>
            <w:hideMark/>
          </w:tcPr>
          <w:p w14:paraId="428A33F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0.71</w:t>
            </w:r>
          </w:p>
        </w:tc>
      </w:tr>
      <w:tr w:rsidR="003C5CC7" w:rsidRPr="00AE5090" w14:paraId="0C5F552C"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C8BEE5A" w14:textId="77777777" w:rsidR="003C5CC7" w:rsidRPr="00AE5090" w:rsidRDefault="003C5CC7" w:rsidP="00D43AA5">
            <w:pPr>
              <w:rPr>
                <w:color w:val="000000"/>
              </w:rPr>
            </w:pPr>
          </w:p>
        </w:tc>
        <w:tc>
          <w:tcPr>
            <w:tcW w:w="1300" w:type="dxa"/>
            <w:noWrap/>
            <w:hideMark/>
          </w:tcPr>
          <w:p w14:paraId="3F43BB73"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247B12E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0.93</w:t>
            </w:r>
          </w:p>
        </w:tc>
        <w:tc>
          <w:tcPr>
            <w:tcW w:w="1557" w:type="dxa"/>
            <w:noWrap/>
            <w:hideMark/>
          </w:tcPr>
          <w:p w14:paraId="2091FA5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1B3ED40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18.74</w:t>
            </w:r>
          </w:p>
        </w:tc>
        <w:tc>
          <w:tcPr>
            <w:tcW w:w="1034" w:type="dxa"/>
            <w:noWrap/>
            <w:hideMark/>
          </w:tcPr>
          <w:p w14:paraId="5459996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0.72</w:t>
            </w:r>
          </w:p>
        </w:tc>
      </w:tr>
      <w:tr w:rsidR="003C5CC7" w:rsidRPr="00AE5090" w14:paraId="0608979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40532E69" w14:textId="77777777" w:rsidR="003C5CC7" w:rsidRPr="00AE5090" w:rsidRDefault="003C5CC7" w:rsidP="00D43AA5">
            <w:pPr>
              <w:rPr>
                <w:color w:val="000000"/>
              </w:rPr>
            </w:pPr>
          </w:p>
        </w:tc>
        <w:tc>
          <w:tcPr>
            <w:tcW w:w="1300" w:type="dxa"/>
            <w:noWrap/>
            <w:hideMark/>
          </w:tcPr>
          <w:p w14:paraId="5228392D"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6C2654A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0.92</w:t>
            </w:r>
          </w:p>
        </w:tc>
        <w:tc>
          <w:tcPr>
            <w:tcW w:w="1557" w:type="dxa"/>
            <w:noWrap/>
            <w:hideMark/>
          </w:tcPr>
          <w:p w14:paraId="158B6F2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0.03</w:t>
            </w:r>
          </w:p>
        </w:tc>
        <w:tc>
          <w:tcPr>
            <w:tcW w:w="1166" w:type="dxa"/>
            <w:noWrap/>
            <w:hideMark/>
          </w:tcPr>
          <w:p w14:paraId="2134F4C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18.72</w:t>
            </w:r>
          </w:p>
        </w:tc>
        <w:tc>
          <w:tcPr>
            <w:tcW w:w="1034" w:type="dxa"/>
            <w:noWrap/>
            <w:hideMark/>
          </w:tcPr>
          <w:p w14:paraId="079F518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0.71</w:t>
            </w:r>
          </w:p>
        </w:tc>
      </w:tr>
      <w:tr w:rsidR="003C5CC7" w:rsidRPr="00AE5090" w14:paraId="6D8FE7F7"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12AB6D7F" w14:textId="77777777" w:rsidR="003C5CC7" w:rsidRPr="00AE5090" w:rsidRDefault="003C5CC7" w:rsidP="00D43AA5">
            <w:pPr>
              <w:rPr>
                <w:color w:val="000000"/>
              </w:rPr>
            </w:pPr>
            <w:r w:rsidRPr="00AE5090">
              <w:rPr>
                <w:color w:val="000000"/>
              </w:rPr>
              <w:t>CIMB Bank Berhad</w:t>
            </w:r>
          </w:p>
        </w:tc>
        <w:tc>
          <w:tcPr>
            <w:tcW w:w="1300" w:type="dxa"/>
            <w:noWrap/>
            <w:hideMark/>
          </w:tcPr>
          <w:p w14:paraId="5594501E"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35D2647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0.92</w:t>
            </w:r>
          </w:p>
        </w:tc>
        <w:tc>
          <w:tcPr>
            <w:tcW w:w="1557" w:type="dxa"/>
            <w:noWrap/>
            <w:hideMark/>
          </w:tcPr>
          <w:p w14:paraId="636513B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0.01</w:t>
            </w:r>
          </w:p>
        </w:tc>
        <w:tc>
          <w:tcPr>
            <w:tcW w:w="1166" w:type="dxa"/>
            <w:noWrap/>
            <w:hideMark/>
          </w:tcPr>
          <w:p w14:paraId="37B1BE8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19.84</w:t>
            </w:r>
          </w:p>
        </w:tc>
        <w:tc>
          <w:tcPr>
            <w:tcW w:w="1034" w:type="dxa"/>
            <w:noWrap/>
            <w:hideMark/>
          </w:tcPr>
          <w:p w14:paraId="38E613B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0.76</w:t>
            </w:r>
          </w:p>
        </w:tc>
      </w:tr>
      <w:tr w:rsidR="003C5CC7" w:rsidRPr="00AE5090" w14:paraId="19D193B5"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44C2D24F" w14:textId="77777777" w:rsidR="003C5CC7" w:rsidRPr="00AE5090" w:rsidRDefault="003C5CC7" w:rsidP="00D43AA5">
            <w:pPr>
              <w:rPr>
                <w:color w:val="000000"/>
              </w:rPr>
            </w:pPr>
          </w:p>
        </w:tc>
        <w:tc>
          <w:tcPr>
            <w:tcW w:w="1300" w:type="dxa"/>
            <w:noWrap/>
            <w:hideMark/>
          </w:tcPr>
          <w:p w14:paraId="010B09FA"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1F8A772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0.91</w:t>
            </w:r>
          </w:p>
        </w:tc>
        <w:tc>
          <w:tcPr>
            <w:tcW w:w="1557" w:type="dxa"/>
            <w:noWrap/>
            <w:hideMark/>
          </w:tcPr>
          <w:p w14:paraId="1E0A5AB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0.01</w:t>
            </w:r>
          </w:p>
        </w:tc>
        <w:tc>
          <w:tcPr>
            <w:tcW w:w="1166" w:type="dxa"/>
            <w:noWrap/>
            <w:hideMark/>
          </w:tcPr>
          <w:p w14:paraId="0E46859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19.95</w:t>
            </w:r>
          </w:p>
        </w:tc>
        <w:tc>
          <w:tcPr>
            <w:tcW w:w="1034" w:type="dxa"/>
            <w:noWrap/>
            <w:hideMark/>
          </w:tcPr>
          <w:p w14:paraId="427EE98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0.74</w:t>
            </w:r>
          </w:p>
        </w:tc>
      </w:tr>
      <w:tr w:rsidR="003C5CC7" w:rsidRPr="00AE5090" w14:paraId="608A97E6"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81C56A1" w14:textId="77777777" w:rsidR="003C5CC7" w:rsidRPr="00AE5090" w:rsidRDefault="003C5CC7" w:rsidP="00D43AA5">
            <w:pPr>
              <w:rPr>
                <w:color w:val="000000"/>
              </w:rPr>
            </w:pPr>
          </w:p>
        </w:tc>
        <w:tc>
          <w:tcPr>
            <w:tcW w:w="1300" w:type="dxa"/>
            <w:noWrap/>
            <w:hideMark/>
          </w:tcPr>
          <w:p w14:paraId="12342A18"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763F98C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0.92</w:t>
            </w:r>
          </w:p>
        </w:tc>
        <w:tc>
          <w:tcPr>
            <w:tcW w:w="1557" w:type="dxa"/>
            <w:noWrap/>
            <w:hideMark/>
          </w:tcPr>
          <w:p w14:paraId="00D4339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0.01</w:t>
            </w:r>
          </w:p>
        </w:tc>
        <w:tc>
          <w:tcPr>
            <w:tcW w:w="1166" w:type="dxa"/>
            <w:noWrap/>
            <w:hideMark/>
          </w:tcPr>
          <w:p w14:paraId="67CC6EC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20.00</w:t>
            </w:r>
          </w:p>
        </w:tc>
        <w:tc>
          <w:tcPr>
            <w:tcW w:w="1034" w:type="dxa"/>
            <w:noWrap/>
            <w:hideMark/>
          </w:tcPr>
          <w:p w14:paraId="28C31F0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0.74</w:t>
            </w:r>
          </w:p>
        </w:tc>
      </w:tr>
      <w:tr w:rsidR="003C5CC7" w:rsidRPr="00AE5090" w14:paraId="465C2606"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3FF24785" w14:textId="77777777" w:rsidR="003C5CC7" w:rsidRPr="00AE5090" w:rsidRDefault="003C5CC7" w:rsidP="00D43AA5">
            <w:pPr>
              <w:rPr>
                <w:color w:val="000000"/>
              </w:rPr>
            </w:pPr>
          </w:p>
        </w:tc>
        <w:tc>
          <w:tcPr>
            <w:tcW w:w="1300" w:type="dxa"/>
            <w:noWrap/>
            <w:hideMark/>
          </w:tcPr>
          <w:p w14:paraId="4CAE818C"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5DACB59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0.92</w:t>
            </w:r>
          </w:p>
        </w:tc>
        <w:tc>
          <w:tcPr>
            <w:tcW w:w="1557" w:type="dxa"/>
            <w:noWrap/>
            <w:hideMark/>
          </w:tcPr>
          <w:p w14:paraId="45BF6AF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0.01</w:t>
            </w:r>
          </w:p>
        </w:tc>
        <w:tc>
          <w:tcPr>
            <w:tcW w:w="1166" w:type="dxa"/>
            <w:noWrap/>
            <w:hideMark/>
          </w:tcPr>
          <w:p w14:paraId="5B77BBB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20.04</w:t>
            </w:r>
          </w:p>
        </w:tc>
        <w:tc>
          <w:tcPr>
            <w:tcW w:w="1034" w:type="dxa"/>
            <w:noWrap/>
            <w:hideMark/>
          </w:tcPr>
          <w:p w14:paraId="1B69D6A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0.73</w:t>
            </w:r>
          </w:p>
        </w:tc>
      </w:tr>
      <w:tr w:rsidR="003C5CC7" w:rsidRPr="00AE5090" w14:paraId="4D02DF76"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582B82DA" w14:textId="77777777" w:rsidR="003C5CC7" w:rsidRPr="00AE5090" w:rsidRDefault="003C5CC7" w:rsidP="00D43AA5">
            <w:pPr>
              <w:rPr>
                <w:color w:val="000000"/>
              </w:rPr>
            </w:pPr>
          </w:p>
        </w:tc>
        <w:tc>
          <w:tcPr>
            <w:tcW w:w="1300" w:type="dxa"/>
            <w:noWrap/>
            <w:hideMark/>
          </w:tcPr>
          <w:p w14:paraId="1847DAC3"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17A01E1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0.93</w:t>
            </w:r>
          </w:p>
        </w:tc>
        <w:tc>
          <w:tcPr>
            <w:tcW w:w="1557" w:type="dxa"/>
            <w:noWrap/>
            <w:hideMark/>
          </w:tcPr>
          <w:p w14:paraId="74AF3B7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0.01</w:t>
            </w:r>
          </w:p>
        </w:tc>
        <w:tc>
          <w:tcPr>
            <w:tcW w:w="1166" w:type="dxa"/>
            <w:noWrap/>
            <w:hideMark/>
          </w:tcPr>
          <w:p w14:paraId="0189E9C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20.10</w:t>
            </w:r>
          </w:p>
        </w:tc>
        <w:tc>
          <w:tcPr>
            <w:tcW w:w="1034" w:type="dxa"/>
            <w:noWrap/>
            <w:hideMark/>
          </w:tcPr>
          <w:p w14:paraId="22DB2AB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0.73</w:t>
            </w:r>
          </w:p>
        </w:tc>
      </w:tr>
      <w:tr w:rsidR="003C5CC7" w:rsidRPr="00AE5090" w14:paraId="2415C71E"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0243988F" w14:textId="77777777" w:rsidR="003C5CC7" w:rsidRPr="00AE5090" w:rsidRDefault="003C5CC7" w:rsidP="00D43AA5">
            <w:pPr>
              <w:rPr>
                <w:color w:val="000000"/>
              </w:rPr>
            </w:pPr>
          </w:p>
        </w:tc>
        <w:tc>
          <w:tcPr>
            <w:tcW w:w="1300" w:type="dxa"/>
            <w:noWrap/>
            <w:hideMark/>
          </w:tcPr>
          <w:p w14:paraId="76406A48"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203A3F2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0.92</w:t>
            </w:r>
          </w:p>
        </w:tc>
        <w:tc>
          <w:tcPr>
            <w:tcW w:w="1557" w:type="dxa"/>
            <w:noWrap/>
            <w:hideMark/>
          </w:tcPr>
          <w:p w14:paraId="759664D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0.01</w:t>
            </w:r>
          </w:p>
        </w:tc>
        <w:tc>
          <w:tcPr>
            <w:tcW w:w="1166" w:type="dxa"/>
            <w:noWrap/>
            <w:hideMark/>
          </w:tcPr>
          <w:p w14:paraId="25A818A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19.99</w:t>
            </w:r>
          </w:p>
        </w:tc>
        <w:tc>
          <w:tcPr>
            <w:tcW w:w="1034" w:type="dxa"/>
            <w:noWrap/>
            <w:hideMark/>
          </w:tcPr>
          <w:p w14:paraId="3CC6722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0.74</w:t>
            </w:r>
          </w:p>
        </w:tc>
      </w:tr>
      <w:tr w:rsidR="003C5CC7" w:rsidRPr="00AE5090" w14:paraId="4104C5B2"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72847CEC" w14:textId="77777777" w:rsidR="003C5CC7" w:rsidRPr="00AE5090" w:rsidRDefault="003C5CC7" w:rsidP="00D43AA5">
            <w:pPr>
              <w:rPr>
                <w:color w:val="000000"/>
              </w:rPr>
            </w:pPr>
            <w:r w:rsidRPr="00AE5090">
              <w:rPr>
                <w:color w:val="000000"/>
              </w:rPr>
              <w:t>Hong Leong Bank Berhad</w:t>
            </w:r>
          </w:p>
        </w:tc>
        <w:tc>
          <w:tcPr>
            <w:tcW w:w="1300" w:type="dxa"/>
            <w:noWrap/>
            <w:hideMark/>
          </w:tcPr>
          <w:p w14:paraId="5FB95E52"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656461E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570CCD4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212B3DD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18.95</w:t>
            </w:r>
          </w:p>
        </w:tc>
        <w:tc>
          <w:tcPr>
            <w:tcW w:w="1034" w:type="dxa"/>
            <w:noWrap/>
            <w:hideMark/>
          </w:tcPr>
          <w:p w14:paraId="12F0F57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0.81</w:t>
            </w:r>
          </w:p>
        </w:tc>
      </w:tr>
      <w:tr w:rsidR="003C5CC7" w:rsidRPr="00AE5090" w14:paraId="3AD51CC9"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6F2108BD" w14:textId="77777777" w:rsidR="003C5CC7" w:rsidRPr="00AE5090" w:rsidRDefault="003C5CC7" w:rsidP="00D43AA5">
            <w:pPr>
              <w:rPr>
                <w:color w:val="000000"/>
              </w:rPr>
            </w:pPr>
          </w:p>
        </w:tc>
        <w:tc>
          <w:tcPr>
            <w:tcW w:w="1300" w:type="dxa"/>
            <w:noWrap/>
            <w:hideMark/>
          </w:tcPr>
          <w:p w14:paraId="61593B03"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3739C1C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0.93</w:t>
            </w:r>
          </w:p>
        </w:tc>
        <w:tc>
          <w:tcPr>
            <w:tcW w:w="1557" w:type="dxa"/>
            <w:noWrap/>
            <w:hideMark/>
          </w:tcPr>
          <w:p w14:paraId="3DCBA10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47EE143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19.03</w:t>
            </w:r>
          </w:p>
        </w:tc>
        <w:tc>
          <w:tcPr>
            <w:tcW w:w="1034" w:type="dxa"/>
            <w:noWrap/>
            <w:hideMark/>
          </w:tcPr>
          <w:p w14:paraId="138A471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0.80</w:t>
            </w:r>
          </w:p>
        </w:tc>
      </w:tr>
      <w:tr w:rsidR="003C5CC7" w:rsidRPr="00AE5090" w14:paraId="73050D7E"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CBE1B0C" w14:textId="77777777" w:rsidR="003C5CC7" w:rsidRPr="00AE5090" w:rsidRDefault="003C5CC7" w:rsidP="00D43AA5">
            <w:pPr>
              <w:rPr>
                <w:color w:val="000000"/>
              </w:rPr>
            </w:pPr>
          </w:p>
        </w:tc>
        <w:tc>
          <w:tcPr>
            <w:tcW w:w="1300" w:type="dxa"/>
            <w:noWrap/>
            <w:hideMark/>
          </w:tcPr>
          <w:p w14:paraId="44204E89"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2671B9E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0.93</w:t>
            </w:r>
          </w:p>
        </w:tc>
        <w:tc>
          <w:tcPr>
            <w:tcW w:w="1557" w:type="dxa"/>
            <w:noWrap/>
            <w:hideMark/>
          </w:tcPr>
          <w:p w14:paraId="73F6C95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5D96B4F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19.06</w:t>
            </w:r>
          </w:p>
        </w:tc>
        <w:tc>
          <w:tcPr>
            <w:tcW w:w="1034" w:type="dxa"/>
            <w:noWrap/>
            <w:hideMark/>
          </w:tcPr>
          <w:p w14:paraId="79A967E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0.82</w:t>
            </w:r>
          </w:p>
        </w:tc>
      </w:tr>
      <w:tr w:rsidR="003C5CC7" w:rsidRPr="00AE5090" w14:paraId="39862D5B"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3E39AAE" w14:textId="77777777" w:rsidR="003C5CC7" w:rsidRPr="00AE5090" w:rsidRDefault="003C5CC7" w:rsidP="00D43AA5">
            <w:pPr>
              <w:rPr>
                <w:color w:val="000000"/>
              </w:rPr>
            </w:pPr>
          </w:p>
        </w:tc>
        <w:tc>
          <w:tcPr>
            <w:tcW w:w="1300" w:type="dxa"/>
            <w:noWrap/>
            <w:hideMark/>
          </w:tcPr>
          <w:p w14:paraId="6DB1BB15"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5663057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0.93</w:t>
            </w:r>
          </w:p>
        </w:tc>
        <w:tc>
          <w:tcPr>
            <w:tcW w:w="1557" w:type="dxa"/>
            <w:noWrap/>
            <w:hideMark/>
          </w:tcPr>
          <w:p w14:paraId="2FD5BBB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358F1D4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19.09</w:t>
            </w:r>
          </w:p>
        </w:tc>
        <w:tc>
          <w:tcPr>
            <w:tcW w:w="1034" w:type="dxa"/>
            <w:noWrap/>
            <w:hideMark/>
          </w:tcPr>
          <w:p w14:paraId="4E62A5F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0.82</w:t>
            </w:r>
          </w:p>
        </w:tc>
      </w:tr>
      <w:tr w:rsidR="003C5CC7" w:rsidRPr="00AE5090" w14:paraId="7D6337CA"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6B86C51D" w14:textId="77777777" w:rsidR="003C5CC7" w:rsidRPr="00AE5090" w:rsidRDefault="003C5CC7" w:rsidP="00D43AA5">
            <w:pPr>
              <w:rPr>
                <w:color w:val="000000"/>
              </w:rPr>
            </w:pPr>
          </w:p>
        </w:tc>
        <w:tc>
          <w:tcPr>
            <w:tcW w:w="1300" w:type="dxa"/>
            <w:noWrap/>
            <w:hideMark/>
          </w:tcPr>
          <w:p w14:paraId="2C44C732"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659AA51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0.93</w:t>
            </w:r>
          </w:p>
        </w:tc>
        <w:tc>
          <w:tcPr>
            <w:tcW w:w="1557" w:type="dxa"/>
            <w:noWrap/>
            <w:hideMark/>
          </w:tcPr>
          <w:p w14:paraId="78BCAB6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7908DA9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19.13</w:t>
            </w:r>
          </w:p>
        </w:tc>
        <w:tc>
          <w:tcPr>
            <w:tcW w:w="1034" w:type="dxa"/>
            <w:noWrap/>
            <w:hideMark/>
          </w:tcPr>
          <w:p w14:paraId="63B6F85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0.81</w:t>
            </w:r>
          </w:p>
        </w:tc>
      </w:tr>
      <w:tr w:rsidR="003C5CC7" w:rsidRPr="00AE5090" w14:paraId="4717DD19"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62603412" w14:textId="77777777" w:rsidR="003C5CC7" w:rsidRPr="00AE5090" w:rsidRDefault="003C5CC7" w:rsidP="00D43AA5">
            <w:pPr>
              <w:rPr>
                <w:color w:val="000000"/>
              </w:rPr>
            </w:pPr>
          </w:p>
        </w:tc>
        <w:tc>
          <w:tcPr>
            <w:tcW w:w="1300" w:type="dxa"/>
            <w:noWrap/>
            <w:hideMark/>
          </w:tcPr>
          <w:p w14:paraId="1FBA81C4"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5110ECE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0.93</w:t>
            </w:r>
          </w:p>
        </w:tc>
        <w:tc>
          <w:tcPr>
            <w:tcW w:w="1557" w:type="dxa"/>
            <w:noWrap/>
            <w:hideMark/>
          </w:tcPr>
          <w:p w14:paraId="115D5CA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0.02</w:t>
            </w:r>
          </w:p>
        </w:tc>
        <w:tc>
          <w:tcPr>
            <w:tcW w:w="1166" w:type="dxa"/>
            <w:noWrap/>
            <w:hideMark/>
          </w:tcPr>
          <w:p w14:paraId="45B8E48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19.05</w:t>
            </w:r>
          </w:p>
        </w:tc>
        <w:tc>
          <w:tcPr>
            <w:tcW w:w="1034" w:type="dxa"/>
            <w:noWrap/>
            <w:hideMark/>
          </w:tcPr>
          <w:p w14:paraId="6124427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0.81</w:t>
            </w:r>
          </w:p>
        </w:tc>
      </w:tr>
      <w:tr w:rsidR="003C5CC7" w:rsidRPr="00AE5090" w14:paraId="78B280C2"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7989F58D" w14:textId="77777777" w:rsidR="003C5CC7" w:rsidRPr="00AE5090" w:rsidRDefault="003C5CC7" w:rsidP="00D43AA5">
            <w:pPr>
              <w:rPr>
                <w:color w:val="000000"/>
              </w:rPr>
            </w:pPr>
            <w:r w:rsidRPr="00AE5090">
              <w:rPr>
                <w:color w:val="000000"/>
              </w:rPr>
              <w:t>Maybank Berhad</w:t>
            </w:r>
          </w:p>
        </w:tc>
        <w:tc>
          <w:tcPr>
            <w:tcW w:w="1300" w:type="dxa"/>
            <w:noWrap/>
            <w:hideMark/>
          </w:tcPr>
          <w:p w14:paraId="3C9E0A86"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16068A8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13FD1A5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6FE81F0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20.28</w:t>
            </w:r>
          </w:p>
        </w:tc>
        <w:tc>
          <w:tcPr>
            <w:tcW w:w="1034" w:type="dxa"/>
            <w:noWrap/>
            <w:hideMark/>
          </w:tcPr>
          <w:p w14:paraId="36FBE5F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0.78</w:t>
            </w:r>
          </w:p>
        </w:tc>
      </w:tr>
      <w:tr w:rsidR="003C5CC7" w:rsidRPr="00AE5090" w14:paraId="4ECC193E"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7302839E" w14:textId="77777777" w:rsidR="003C5CC7" w:rsidRPr="00AE5090" w:rsidRDefault="003C5CC7" w:rsidP="00D43AA5">
            <w:pPr>
              <w:rPr>
                <w:color w:val="000000"/>
              </w:rPr>
            </w:pPr>
          </w:p>
        </w:tc>
        <w:tc>
          <w:tcPr>
            <w:tcW w:w="1300" w:type="dxa"/>
            <w:noWrap/>
            <w:hideMark/>
          </w:tcPr>
          <w:p w14:paraId="42802907"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49B2C94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6AE0C3E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4BC801E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20.38</w:t>
            </w:r>
          </w:p>
        </w:tc>
        <w:tc>
          <w:tcPr>
            <w:tcW w:w="1034" w:type="dxa"/>
            <w:noWrap/>
            <w:hideMark/>
          </w:tcPr>
          <w:p w14:paraId="52FCFEE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0.73</w:t>
            </w:r>
          </w:p>
        </w:tc>
      </w:tr>
      <w:tr w:rsidR="003C5CC7" w:rsidRPr="00AE5090" w14:paraId="2845AFB5"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06F14F3F" w14:textId="77777777" w:rsidR="003C5CC7" w:rsidRPr="00AE5090" w:rsidRDefault="003C5CC7" w:rsidP="00D43AA5">
            <w:pPr>
              <w:rPr>
                <w:color w:val="000000"/>
              </w:rPr>
            </w:pPr>
          </w:p>
        </w:tc>
        <w:tc>
          <w:tcPr>
            <w:tcW w:w="1300" w:type="dxa"/>
            <w:noWrap/>
            <w:hideMark/>
          </w:tcPr>
          <w:p w14:paraId="7279D0B1"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464807F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54667DB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7AF1163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20.42</w:t>
            </w:r>
          </w:p>
        </w:tc>
        <w:tc>
          <w:tcPr>
            <w:tcW w:w="1034" w:type="dxa"/>
            <w:noWrap/>
            <w:hideMark/>
          </w:tcPr>
          <w:p w14:paraId="0DEF16A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0.70</w:t>
            </w:r>
          </w:p>
        </w:tc>
      </w:tr>
      <w:tr w:rsidR="003C5CC7" w:rsidRPr="00AE5090" w14:paraId="1E367D60"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47289D3" w14:textId="77777777" w:rsidR="003C5CC7" w:rsidRPr="00AE5090" w:rsidRDefault="003C5CC7" w:rsidP="00D43AA5">
            <w:pPr>
              <w:rPr>
                <w:color w:val="000000"/>
              </w:rPr>
            </w:pPr>
          </w:p>
        </w:tc>
        <w:tc>
          <w:tcPr>
            <w:tcW w:w="1300" w:type="dxa"/>
            <w:noWrap/>
            <w:hideMark/>
          </w:tcPr>
          <w:p w14:paraId="091E19AE"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62CBDA4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0.95</w:t>
            </w:r>
          </w:p>
        </w:tc>
        <w:tc>
          <w:tcPr>
            <w:tcW w:w="1557" w:type="dxa"/>
            <w:noWrap/>
            <w:hideMark/>
          </w:tcPr>
          <w:p w14:paraId="4181231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122B1E2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20.46</w:t>
            </w:r>
          </w:p>
        </w:tc>
        <w:tc>
          <w:tcPr>
            <w:tcW w:w="1034" w:type="dxa"/>
            <w:noWrap/>
            <w:hideMark/>
          </w:tcPr>
          <w:p w14:paraId="1B30123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0.71</w:t>
            </w:r>
          </w:p>
        </w:tc>
      </w:tr>
      <w:tr w:rsidR="003C5CC7" w:rsidRPr="00AE5090" w14:paraId="2675BAA2"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B749FB9" w14:textId="77777777" w:rsidR="003C5CC7" w:rsidRPr="00AE5090" w:rsidRDefault="003C5CC7" w:rsidP="00D43AA5">
            <w:pPr>
              <w:rPr>
                <w:color w:val="000000"/>
              </w:rPr>
            </w:pPr>
          </w:p>
        </w:tc>
        <w:tc>
          <w:tcPr>
            <w:tcW w:w="1300" w:type="dxa"/>
            <w:noWrap/>
            <w:hideMark/>
          </w:tcPr>
          <w:p w14:paraId="34203980"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534AAD4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0.95</w:t>
            </w:r>
          </w:p>
        </w:tc>
        <w:tc>
          <w:tcPr>
            <w:tcW w:w="1557" w:type="dxa"/>
            <w:noWrap/>
            <w:hideMark/>
          </w:tcPr>
          <w:p w14:paraId="72E75FF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3158EC9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20.51</w:t>
            </w:r>
          </w:p>
        </w:tc>
        <w:tc>
          <w:tcPr>
            <w:tcW w:w="1034" w:type="dxa"/>
            <w:noWrap/>
            <w:hideMark/>
          </w:tcPr>
          <w:p w14:paraId="3B78DAF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0.71</w:t>
            </w:r>
          </w:p>
        </w:tc>
      </w:tr>
      <w:tr w:rsidR="003C5CC7" w:rsidRPr="00AE5090" w14:paraId="3123A1D4"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0D859E77" w14:textId="77777777" w:rsidR="003C5CC7" w:rsidRPr="00AE5090" w:rsidRDefault="003C5CC7" w:rsidP="00D43AA5">
            <w:pPr>
              <w:rPr>
                <w:color w:val="000000"/>
              </w:rPr>
            </w:pPr>
          </w:p>
        </w:tc>
        <w:tc>
          <w:tcPr>
            <w:tcW w:w="1300" w:type="dxa"/>
            <w:noWrap/>
            <w:hideMark/>
          </w:tcPr>
          <w:p w14:paraId="5A1CE4E4"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2185D85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0.94</w:t>
            </w:r>
          </w:p>
        </w:tc>
        <w:tc>
          <w:tcPr>
            <w:tcW w:w="1557" w:type="dxa"/>
            <w:noWrap/>
            <w:hideMark/>
          </w:tcPr>
          <w:p w14:paraId="26CA6A5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0.03</w:t>
            </w:r>
          </w:p>
        </w:tc>
        <w:tc>
          <w:tcPr>
            <w:tcW w:w="1166" w:type="dxa"/>
            <w:noWrap/>
            <w:hideMark/>
          </w:tcPr>
          <w:p w14:paraId="3E5D429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20.41</w:t>
            </w:r>
          </w:p>
        </w:tc>
        <w:tc>
          <w:tcPr>
            <w:tcW w:w="1034" w:type="dxa"/>
            <w:noWrap/>
            <w:hideMark/>
          </w:tcPr>
          <w:p w14:paraId="1ACFCE2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0.73</w:t>
            </w:r>
          </w:p>
        </w:tc>
      </w:tr>
      <w:tr w:rsidR="003C5CC7" w:rsidRPr="00AE5090" w14:paraId="2D1349B0"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3F0413B0" w14:textId="77777777" w:rsidR="003C5CC7" w:rsidRPr="00AE5090" w:rsidRDefault="003C5CC7" w:rsidP="00D43AA5">
            <w:pPr>
              <w:rPr>
                <w:color w:val="000000"/>
              </w:rPr>
            </w:pPr>
            <w:r w:rsidRPr="00AE5090">
              <w:rPr>
                <w:color w:val="000000"/>
              </w:rPr>
              <w:t>Public Bank Berhad</w:t>
            </w:r>
          </w:p>
        </w:tc>
        <w:tc>
          <w:tcPr>
            <w:tcW w:w="1300" w:type="dxa"/>
            <w:noWrap/>
            <w:hideMark/>
          </w:tcPr>
          <w:p w14:paraId="1A742054"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740904B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1907B8C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5848765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19.66</w:t>
            </w:r>
          </w:p>
        </w:tc>
        <w:tc>
          <w:tcPr>
            <w:tcW w:w="1034" w:type="dxa"/>
            <w:noWrap/>
            <w:hideMark/>
          </w:tcPr>
          <w:p w14:paraId="6EF0F5D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0.86</w:t>
            </w:r>
          </w:p>
        </w:tc>
      </w:tr>
      <w:tr w:rsidR="003C5CC7" w:rsidRPr="00AE5090" w14:paraId="660AE05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57FEBB07" w14:textId="77777777" w:rsidR="003C5CC7" w:rsidRPr="00AE5090" w:rsidRDefault="003C5CC7" w:rsidP="00D43AA5">
            <w:pPr>
              <w:rPr>
                <w:color w:val="000000"/>
              </w:rPr>
            </w:pPr>
          </w:p>
        </w:tc>
        <w:tc>
          <w:tcPr>
            <w:tcW w:w="1300" w:type="dxa"/>
            <w:noWrap/>
            <w:hideMark/>
          </w:tcPr>
          <w:p w14:paraId="6259F06E"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2F69939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0.95</w:t>
            </w:r>
          </w:p>
        </w:tc>
        <w:tc>
          <w:tcPr>
            <w:tcW w:w="1557" w:type="dxa"/>
            <w:noWrap/>
            <w:hideMark/>
          </w:tcPr>
          <w:p w14:paraId="004FC35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0F060FB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19.71</w:t>
            </w:r>
          </w:p>
        </w:tc>
        <w:tc>
          <w:tcPr>
            <w:tcW w:w="1034" w:type="dxa"/>
            <w:noWrap/>
            <w:hideMark/>
          </w:tcPr>
          <w:p w14:paraId="7695A5E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0.86</w:t>
            </w:r>
          </w:p>
        </w:tc>
      </w:tr>
      <w:tr w:rsidR="003C5CC7" w:rsidRPr="00AE5090" w14:paraId="756F935D"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4A4CA5CC" w14:textId="77777777" w:rsidR="003C5CC7" w:rsidRPr="00AE5090" w:rsidRDefault="003C5CC7" w:rsidP="00D43AA5">
            <w:pPr>
              <w:rPr>
                <w:color w:val="000000"/>
              </w:rPr>
            </w:pPr>
          </w:p>
        </w:tc>
        <w:tc>
          <w:tcPr>
            <w:tcW w:w="1300" w:type="dxa"/>
            <w:noWrap/>
            <w:hideMark/>
          </w:tcPr>
          <w:p w14:paraId="79814E2F"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70A1616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7A23724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3CE40C5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19.76</w:t>
            </w:r>
          </w:p>
        </w:tc>
        <w:tc>
          <w:tcPr>
            <w:tcW w:w="1034" w:type="dxa"/>
            <w:noWrap/>
            <w:hideMark/>
          </w:tcPr>
          <w:p w14:paraId="13BA843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0.85</w:t>
            </w:r>
          </w:p>
        </w:tc>
      </w:tr>
      <w:tr w:rsidR="003C5CC7" w:rsidRPr="00AE5090" w14:paraId="7DDD286E"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54753F02" w14:textId="77777777" w:rsidR="003C5CC7" w:rsidRPr="00AE5090" w:rsidRDefault="003C5CC7" w:rsidP="00D43AA5">
            <w:pPr>
              <w:rPr>
                <w:color w:val="000000"/>
              </w:rPr>
            </w:pPr>
          </w:p>
        </w:tc>
        <w:tc>
          <w:tcPr>
            <w:tcW w:w="1300" w:type="dxa"/>
            <w:noWrap/>
            <w:hideMark/>
          </w:tcPr>
          <w:p w14:paraId="30FF230B"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46F0256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05D6BF8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1A7F386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19.80</w:t>
            </w:r>
          </w:p>
        </w:tc>
        <w:tc>
          <w:tcPr>
            <w:tcW w:w="1034" w:type="dxa"/>
            <w:noWrap/>
            <w:hideMark/>
          </w:tcPr>
          <w:p w14:paraId="1DA27E8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0.84</w:t>
            </w:r>
          </w:p>
        </w:tc>
      </w:tr>
      <w:tr w:rsidR="003C5CC7" w:rsidRPr="00AE5090" w14:paraId="38660215"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864FBEC" w14:textId="77777777" w:rsidR="003C5CC7" w:rsidRPr="00AE5090" w:rsidRDefault="003C5CC7" w:rsidP="00D43AA5">
            <w:pPr>
              <w:rPr>
                <w:color w:val="000000"/>
              </w:rPr>
            </w:pPr>
          </w:p>
        </w:tc>
        <w:tc>
          <w:tcPr>
            <w:tcW w:w="1300" w:type="dxa"/>
            <w:noWrap/>
            <w:hideMark/>
          </w:tcPr>
          <w:p w14:paraId="45215F3B"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2C4F33C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7581140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73E9609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19.86</w:t>
            </w:r>
          </w:p>
        </w:tc>
        <w:tc>
          <w:tcPr>
            <w:tcW w:w="1034" w:type="dxa"/>
            <w:noWrap/>
            <w:hideMark/>
          </w:tcPr>
          <w:p w14:paraId="5B2BBFB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0.83</w:t>
            </w:r>
          </w:p>
        </w:tc>
      </w:tr>
      <w:tr w:rsidR="003C5CC7" w:rsidRPr="00AE5090" w14:paraId="02F0B2C5"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3C6AA11E" w14:textId="77777777" w:rsidR="003C5CC7" w:rsidRPr="00AE5090" w:rsidRDefault="003C5CC7" w:rsidP="00D43AA5">
            <w:pPr>
              <w:rPr>
                <w:color w:val="000000"/>
              </w:rPr>
            </w:pPr>
          </w:p>
        </w:tc>
        <w:tc>
          <w:tcPr>
            <w:tcW w:w="1300" w:type="dxa"/>
            <w:noWrap/>
            <w:hideMark/>
          </w:tcPr>
          <w:p w14:paraId="61B3CC4B"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49B155A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0.96</w:t>
            </w:r>
          </w:p>
        </w:tc>
        <w:tc>
          <w:tcPr>
            <w:tcW w:w="1557" w:type="dxa"/>
            <w:noWrap/>
            <w:hideMark/>
          </w:tcPr>
          <w:p w14:paraId="332EC90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0.03</w:t>
            </w:r>
          </w:p>
        </w:tc>
        <w:tc>
          <w:tcPr>
            <w:tcW w:w="1166" w:type="dxa"/>
            <w:noWrap/>
            <w:hideMark/>
          </w:tcPr>
          <w:p w14:paraId="24E396B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19.76</w:t>
            </w:r>
          </w:p>
        </w:tc>
        <w:tc>
          <w:tcPr>
            <w:tcW w:w="1034" w:type="dxa"/>
            <w:noWrap/>
            <w:hideMark/>
          </w:tcPr>
          <w:p w14:paraId="4A1AD88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0.85</w:t>
            </w:r>
          </w:p>
        </w:tc>
      </w:tr>
      <w:tr w:rsidR="003C5CC7" w:rsidRPr="00AE5090" w14:paraId="30DD6D13"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6706E43D" w14:textId="77777777" w:rsidR="003C5CC7" w:rsidRPr="00AE5090" w:rsidRDefault="003C5CC7" w:rsidP="00D43AA5">
            <w:pPr>
              <w:rPr>
                <w:color w:val="000000"/>
              </w:rPr>
            </w:pPr>
            <w:r w:rsidRPr="00AE5090">
              <w:rPr>
                <w:color w:val="000000"/>
              </w:rPr>
              <w:t>RHB Bank Berhad</w:t>
            </w:r>
          </w:p>
        </w:tc>
        <w:tc>
          <w:tcPr>
            <w:tcW w:w="1300" w:type="dxa"/>
            <w:noWrap/>
            <w:hideMark/>
          </w:tcPr>
          <w:p w14:paraId="0E6EEC9B"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5077A4C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0.95</w:t>
            </w:r>
          </w:p>
        </w:tc>
        <w:tc>
          <w:tcPr>
            <w:tcW w:w="1557" w:type="dxa"/>
            <w:noWrap/>
            <w:hideMark/>
          </w:tcPr>
          <w:p w14:paraId="18F8BE5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19AB8A0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19.14</w:t>
            </w:r>
          </w:p>
        </w:tc>
        <w:tc>
          <w:tcPr>
            <w:tcW w:w="1034" w:type="dxa"/>
            <w:noWrap/>
            <w:hideMark/>
          </w:tcPr>
          <w:p w14:paraId="64DA96F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0.84</w:t>
            </w:r>
          </w:p>
        </w:tc>
      </w:tr>
      <w:tr w:rsidR="003C5CC7" w:rsidRPr="00AE5090" w14:paraId="60D5005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39AE3D5B" w14:textId="77777777" w:rsidR="003C5CC7" w:rsidRPr="00AE5090" w:rsidRDefault="003C5CC7" w:rsidP="00D43AA5">
            <w:pPr>
              <w:rPr>
                <w:color w:val="000000"/>
              </w:rPr>
            </w:pPr>
          </w:p>
        </w:tc>
        <w:tc>
          <w:tcPr>
            <w:tcW w:w="1300" w:type="dxa"/>
            <w:noWrap/>
            <w:hideMark/>
          </w:tcPr>
          <w:p w14:paraId="6C74A286"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518BE00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7E1EFF7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063AEFD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19.20</w:t>
            </w:r>
          </w:p>
        </w:tc>
        <w:tc>
          <w:tcPr>
            <w:tcW w:w="1034" w:type="dxa"/>
            <w:noWrap/>
            <w:hideMark/>
          </w:tcPr>
          <w:p w14:paraId="1E0FD7C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0.82</w:t>
            </w:r>
          </w:p>
        </w:tc>
      </w:tr>
      <w:tr w:rsidR="003C5CC7" w:rsidRPr="00AE5090" w14:paraId="6579F433"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667B2C1F" w14:textId="77777777" w:rsidR="003C5CC7" w:rsidRPr="00AE5090" w:rsidRDefault="003C5CC7" w:rsidP="00D43AA5">
            <w:pPr>
              <w:rPr>
                <w:color w:val="000000"/>
              </w:rPr>
            </w:pPr>
          </w:p>
        </w:tc>
        <w:tc>
          <w:tcPr>
            <w:tcW w:w="1300" w:type="dxa"/>
            <w:noWrap/>
            <w:hideMark/>
          </w:tcPr>
          <w:p w14:paraId="1E58A0A4"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4917855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0.93</w:t>
            </w:r>
          </w:p>
        </w:tc>
        <w:tc>
          <w:tcPr>
            <w:tcW w:w="1557" w:type="dxa"/>
            <w:noWrap/>
            <w:hideMark/>
          </w:tcPr>
          <w:p w14:paraId="2662A18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30DAE8B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19.28</w:t>
            </w:r>
          </w:p>
        </w:tc>
        <w:tc>
          <w:tcPr>
            <w:tcW w:w="1034" w:type="dxa"/>
            <w:noWrap/>
            <w:hideMark/>
          </w:tcPr>
          <w:p w14:paraId="591DC0C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0.80</w:t>
            </w:r>
          </w:p>
        </w:tc>
      </w:tr>
      <w:tr w:rsidR="003C5CC7" w:rsidRPr="00AE5090" w14:paraId="1F77368E"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29A3B2C" w14:textId="77777777" w:rsidR="003C5CC7" w:rsidRPr="00AE5090" w:rsidRDefault="003C5CC7" w:rsidP="00D43AA5">
            <w:pPr>
              <w:rPr>
                <w:color w:val="000000"/>
              </w:rPr>
            </w:pPr>
          </w:p>
        </w:tc>
        <w:tc>
          <w:tcPr>
            <w:tcW w:w="1300" w:type="dxa"/>
            <w:noWrap/>
            <w:hideMark/>
          </w:tcPr>
          <w:p w14:paraId="41DCB703"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4B65D87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0.95</w:t>
            </w:r>
          </w:p>
        </w:tc>
        <w:tc>
          <w:tcPr>
            <w:tcW w:w="1557" w:type="dxa"/>
            <w:noWrap/>
            <w:hideMark/>
          </w:tcPr>
          <w:p w14:paraId="1D2F0A8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30B4A69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19.25</w:t>
            </w:r>
          </w:p>
        </w:tc>
        <w:tc>
          <w:tcPr>
            <w:tcW w:w="1034" w:type="dxa"/>
            <w:noWrap/>
            <w:hideMark/>
          </w:tcPr>
          <w:p w14:paraId="1D67501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0.82</w:t>
            </w:r>
          </w:p>
        </w:tc>
      </w:tr>
      <w:tr w:rsidR="003C5CC7" w:rsidRPr="00AE5090" w14:paraId="57BBF24C"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3B7496AA" w14:textId="77777777" w:rsidR="003C5CC7" w:rsidRPr="00AE5090" w:rsidRDefault="003C5CC7" w:rsidP="00D43AA5">
            <w:pPr>
              <w:rPr>
                <w:color w:val="000000"/>
              </w:rPr>
            </w:pPr>
          </w:p>
        </w:tc>
        <w:tc>
          <w:tcPr>
            <w:tcW w:w="1300" w:type="dxa"/>
            <w:noWrap/>
            <w:hideMark/>
          </w:tcPr>
          <w:p w14:paraId="02C4D0A0"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53844DE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0.95</w:t>
            </w:r>
          </w:p>
        </w:tc>
        <w:tc>
          <w:tcPr>
            <w:tcW w:w="1557" w:type="dxa"/>
            <w:noWrap/>
            <w:hideMark/>
          </w:tcPr>
          <w:p w14:paraId="15AEB26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69FFDFF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19.31</w:t>
            </w:r>
          </w:p>
        </w:tc>
        <w:tc>
          <w:tcPr>
            <w:tcW w:w="1034" w:type="dxa"/>
            <w:noWrap/>
            <w:hideMark/>
          </w:tcPr>
          <w:p w14:paraId="183F841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0.81</w:t>
            </w:r>
          </w:p>
        </w:tc>
      </w:tr>
      <w:tr w:rsidR="003C5CC7" w:rsidRPr="00AE5090" w14:paraId="64AB5D9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604B3C6D" w14:textId="77777777" w:rsidR="003C5CC7" w:rsidRPr="00AE5090" w:rsidRDefault="003C5CC7" w:rsidP="00D43AA5">
            <w:pPr>
              <w:rPr>
                <w:color w:val="000000"/>
              </w:rPr>
            </w:pPr>
          </w:p>
        </w:tc>
        <w:tc>
          <w:tcPr>
            <w:tcW w:w="1300" w:type="dxa"/>
            <w:noWrap/>
            <w:hideMark/>
          </w:tcPr>
          <w:p w14:paraId="415A143D"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37C73E8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0.95</w:t>
            </w:r>
          </w:p>
        </w:tc>
        <w:tc>
          <w:tcPr>
            <w:tcW w:w="1557" w:type="dxa"/>
            <w:noWrap/>
            <w:hideMark/>
          </w:tcPr>
          <w:p w14:paraId="71B7919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0.03</w:t>
            </w:r>
          </w:p>
        </w:tc>
        <w:tc>
          <w:tcPr>
            <w:tcW w:w="1166" w:type="dxa"/>
            <w:noWrap/>
            <w:hideMark/>
          </w:tcPr>
          <w:p w14:paraId="2A5A57E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19.24</w:t>
            </w:r>
          </w:p>
        </w:tc>
        <w:tc>
          <w:tcPr>
            <w:tcW w:w="1034" w:type="dxa"/>
            <w:noWrap/>
            <w:hideMark/>
          </w:tcPr>
          <w:p w14:paraId="66EB1C5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0.82</w:t>
            </w:r>
          </w:p>
        </w:tc>
      </w:tr>
      <w:tr w:rsidR="003C5CC7" w:rsidRPr="00AE5090" w14:paraId="0E29DA36"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1D327334" w14:textId="77777777" w:rsidR="003C5CC7" w:rsidRPr="00AE5090" w:rsidRDefault="003C5CC7" w:rsidP="00D43AA5">
            <w:pPr>
              <w:rPr>
                <w:color w:val="000000"/>
              </w:rPr>
            </w:pPr>
            <w:r w:rsidRPr="00AE5090">
              <w:rPr>
                <w:color w:val="000000"/>
              </w:rPr>
              <w:t>Citibank Berhad</w:t>
            </w:r>
          </w:p>
        </w:tc>
        <w:tc>
          <w:tcPr>
            <w:tcW w:w="1300" w:type="dxa"/>
            <w:noWrap/>
            <w:hideMark/>
          </w:tcPr>
          <w:p w14:paraId="337A4358"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74765C4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0.95</w:t>
            </w:r>
          </w:p>
        </w:tc>
        <w:tc>
          <w:tcPr>
            <w:tcW w:w="1557" w:type="dxa"/>
            <w:noWrap/>
            <w:hideMark/>
          </w:tcPr>
          <w:p w14:paraId="7BC03EA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0.01</w:t>
            </w:r>
          </w:p>
        </w:tc>
        <w:tc>
          <w:tcPr>
            <w:tcW w:w="1166" w:type="dxa"/>
            <w:noWrap/>
            <w:hideMark/>
          </w:tcPr>
          <w:p w14:paraId="192F911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17.44</w:t>
            </w:r>
          </w:p>
        </w:tc>
        <w:tc>
          <w:tcPr>
            <w:tcW w:w="1034" w:type="dxa"/>
            <w:noWrap/>
            <w:hideMark/>
          </w:tcPr>
          <w:p w14:paraId="50DECB4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0.82</w:t>
            </w:r>
          </w:p>
        </w:tc>
      </w:tr>
      <w:tr w:rsidR="003C5CC7" w:rsidRPr="00AE5090" w14:paraId="7A5A81C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76A4F48C" w14:textId="77777777" w:rsidR="003C5CC7" w:rsidRPr="00AE5090" w:rsidRDefault="003C5CC7" w:rsidP="00D43AA5">
            <w:pPr>
              <w:rPr>
                <w:color w:val="000000"/>
              </w:rPr>
            </w:pPr>
          </w:p>
        </w:tc>
        <w:tc>
          <w:tcPr>
            <w:tcW w:w="1300" w:type="dxa"/>
            <w:noWrap/>
            <w:hideMark/>
          </w:tcPr>
          <w:p w14:paraId="3146A223"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7DC6D52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4FED35F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0.01</w:t>
            </w:r>
          </w:p>
        </w:tc>
        <w:tc>
          <w:tcPr>
            <w:tcW w:w="1166" w:type="dxa"/>
            <w:noWrap/>
            <w:hideMark/>
          </w:tcPr>
          <w:p w14:paraId="5A3BAF6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17.48</w:t>
            </w:r>
          </w:p>
        </w:tc>
        <w:tc>
          <w:tcPr>
            <w:tcW w:w="1034" w:type="dxa"/>
            <w:noWrap/>
            <w:hideMark/>
          </w:tcPr>
          <w:p w14:paraId="3EC3D8A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0.82</w:t>
            </w:r>
          </w:p>
        </w:tc>
      </w:tr>
      <w:tr w:rsidR="003C5CC7" w:rsidRPr="00AE5090" w14:paraId="57E177D3"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7D30F78B" w14:textId="77777777" w:rsidR="003C5CC7" w:rsidRPr="00AE5090" w:rsidRDefault="003C5CC7" w:rsidP="00D43AA5">
            <w:pPr>
              <w:rPr>
                <w:color w:val="000000"/>
              </w:rPr>
            </w:pPr>
          </w:p>
        </w:tc>
        <w:tc>
          <w:tcPr>
            <w:tcW w:w="1300" w:type="dxa"/>
            <w:noWrap/>
            <w:hideMark/>
          </w:tcPr>
          <w:p w14:paraId="5A958A4D"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35E7A11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121B9F2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0.01</w:t>
            </w:r>
          </w:p>
        </w:tc>
        <w:tc>
          <w:tcPr>
            <w:tcW w:w="1166" w:type="dxa"/>
            <w:noWrap/>
            <w:hideMark/>
          </w:tcPr>
          <w:p w14:paraId="48B5BD6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17.58</w:t>
            </w:r>
          </w:p>
        </w:tc>
        <w:tc>
          <w:tcPr>
            <w:tcW w:w="1034" w:type="dxa"/>
            <w:noWrap/>
            <w:hideMark/>
          </w:tcPr>
          <w:p w14:paraId="7F2F627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0.83</w:t>
            </w:r>
          </w:p>
        </w:tc>
      </w:tr>
      <w:tr w:rsidR="003C5CC7" w:rsidRPr="00AE5090" w14:paraId="7E83A8CA"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7FBEB895" w14:textId="77777777" w:rsidR="003C5CC7" w:rsidRPr="00AE5090" w:rsidRDefault="003C5CC7" w:rsidP="00D43AA5">
            <w:pPr>
              <w:rPr>
                <w:color w:val="000000"/>
              </w:rPr>
            </w:pPr>
          </w:p>
        </w:tc>
        <w:tc>
          <w:tcPr>
            <w:tcW w:w="1300" w:type="dxa"/>
            <w:noWrap/>
            <w:hideMark/>
          </w:tcPr>
          <w:p w14:paraId="52BC31A6"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18C9A18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0.97</w:t>
            </w:r>
          </w:p>
        </w:tc>
        <w:tc>
          <w:tcPr>
            <w:tcW w:w="1557" w:type="dxa"/>
            <w:noWrap/>
            <w:hideMark/>
          </w:tcPr>
          <w:p w14:paraId="0A463A9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4342937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17.46</w:t>
            </w:r>
          </w:p>
        </w:tc>
        <w:tc>
          <w:tcPr>
            <w:tcW w:w="1034" w:type="dxa"/>
            <w:noWrap/>
            <w:hideMark/>
          </w:tcPr>
          <w:p w14:paraId="6C1F0EB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0.81</w:t>
            </w:r>
          </w:p>
        </w:tc>
      </w:tr>
      <w:tr w:rsidR="003C5CC7" w:rsidRPr="00AE5090" w14:paraId="1B0D9D71"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BEF3D67" w14:textId="77777777" w:rsidR="003C5CC7" w:rsidRPr="00AE5090" w:rsidRDefault="003C5CC7" w:rsidP="00D43AA5">
            <w:pPr>
              <w:rPr>
                <w:color w:val="000000"/>
              </w:rPr>
            </w:pPr>
          </w:p>
        </w:tc>
        <w:tc>
          <w:tcPr>
            <w:tcW w:w="1300" w:type="dxa"/>
            <w:noWrap/>
            <w:hideMark/>
          </w:tcPr>
          <w:p w14:paraId="4413612C"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3683BD2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76FBAD9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304098A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17.47</w:t>
            </w:r>
          </w:p>
        </w:tc>
        <w:tc>
          <w:tcPr>
            <w:tcW w:w="1034" w:type="dxa"/>
            <w:noWrap/>
            <w:hideMark/>
          </w:tcPr>
          <w:p w14:paraId="392D547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0.82</w:t>
            </w:r>
          </w:p>
        </w:tc>
      </w:tr>
      <w:tr w:rsidR="003C5CC7" w:rsidRPr="00AE5090" w14:paraId="5594FC7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745DAD79" w14:textId="77777777" w:rsidR="003C5CC7" w:rsidRPr="00AE5090" w:rsidRDefault="003C5CC7" w:rsidP="00D43AA5">
            <w:pPr>
              <w:rPr>
                <w:color w:val="000000"/>
              </w:rPr>
            </w:pPr>
          </w:p>
        </w:tc>
        <w:tc>
          <w:tcPr>
            <w:tcW w:w="1300" w:type="dxa"/>
            <w:noWrap/>
            <w:hideMark/>
          </w:tcPr>
          <w:p w14:paraId="48D4E85A"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2AE2A60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0.95</w:t>
            </w:r>
          </w:p>
        </w:tc>
        <w:tc>
          <w:tcPr>
            <w:tcW w:w="1557" w:type="dxa"/>
            <w:noWrap/>
            <w:hideMark/>
          </w:tcPr>
          <w:p w14:paraId="5408328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0.02</w:t>
            </w:r>
          </w:p>
        </w:tc>
        <w:tc>
          <w:tcPr>
            <w:tcW w:w="1166" w:type="dxa"/>
            <w:noWrap/>
            <w:hideMark/>
          </w:tcPr>
          <w:p w14:paraId="5986888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17.49</w:t>
            </w:r>
          </w:p>
        </w:tc>
        <w:tc>
          <w:tcPr>
            <w:tcW w:w="1034" w:type="dxa"/>
            <w:noWrap/>
            <w:hideMark/>
          </w:tcPr>
          <w:p w14:paraId="192FB08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0.82</w:t>
            </w:r>
          </w:p>
        </w:tc>
      </w:tr>
      <w:tr w:rsidR="003C5CC7" w:rsidRPr="00AE5090" w14:paraId="71E61BE0"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4FA5787B" w14:textId="77777777" w:rsidR="003C5CC7" w:rsidRPr="00AE5090" w:rsidRDefault="003C5CC7" w:rsidP="00D43AA5">
            <w:pPr>
              <w:rPr>
                <w:color w:val="000000"/>
              </w:rPr>
            </w:pPr>
            <w:r w:rsidRPr="00AE5090">
              <w:rPr>
                <w:color w:val="000000"/>
              </w:rPr>
              <w:t>Bank of America Malaysia Berhad</w:t>
            </w:r>
          </w:p>
        </w:tc>
        <w:tc>
          <w:tcPr>
            <w:tcW w:w="1300" w:type="dxa"/>
            <w:noWrap/>
            <w:hideMark/>
          </w:tcPr>
          <w:p w14:paraId="1A0BE313"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551301F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0.95</w:t>
            </w:r>
          </w:p>
        </w:tc>
        <w:tc>
          <w:tcPr>
            <w:tcW w:w="1557" w:type="dxa"/>
            <w:noWrap/>
            <w:hideMark/>
          </w:tcPr>
          <w:p w14:paraId="553ED45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6665F51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14.78</w:t>
            </w:r>
          </w:p>
        </w:tc>
        <w:tc>
          <w:tcPr>
            <w:tcW w:w="1034" w:type="dxa"/>
            <w:noWrap/>
            <w:hideMark/>
          </w:tcPr>
          <w:p w14:paraId="707920A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0.75</w:t>
            </w:r>
          </w:p>
        </w:tc>
      </w:tr>
      <w:tr w:rsidR="003C5CC7" w:rsidRPr="00AE5090" w14:paraId="67AAED3F"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3C85A96" w14:textId="77777777" w:rsidR="003C5CC7" w:rsidRPr="00AE5090" w:rsidRDefault="003C5CC7" w:rsidP="00D43AA5">
            <w:pPr>
              <w:rPr>
                <w:color w:val="000000"/>
              </w:rPr>
            </w:pPr>
          </w:p>
        </w:tc>
        <w:tc>
          <w:tcPr>
            <w:tcW w:w="1300" w:type="dxa"/>
            <w:noWrap/>
            <w:hideMark/>
          </w:tcPr>
          <w:p w14:paraId="5847E9DB"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59E36DB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0.78</w:t>
            </w:r>
          </w:p>
        </w:tc>
        <w:tc>
          <w:tcPr>
            <w:tcW w:w="1557" w:type="dxa"/>
            <w:noWrap/>
            <w:hideMark/>
          </w:tcPr>
          <w:p w14:paraId="04F4182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0.04</w:t>
            </w:r>
          </w:p>
        </w:tc>
        <w:tc>
          <w:tcPr>
            <w:tcW w:w="1166" w:type="dxa"/>
            <w:noWrap/>
            <w:hideMark/>
          </w:tcPr>
          <w:p w14:paraId="234FB63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14.75</w:t>
            </w:r>
          </w:p>
        </w:tc>
        <w:tc>
          <w:tcPr>
            <w:tcW w:w="1034" w:type="dxa"/>
            <w:noWrap/>
            <w:hideMark/>
          </w:tcPr>
          <w:p w14:paraId="440DFCE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0.56</w:t>
            </w:r>
          </w:p>
        </w:tc>
      </w:tr>
      <w:tr w:rsidR="003C5CC7" w:rsidRPr="00AE5090" w14:paraId="089B9726"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35C7BDB" w14:textId="77777777" w:rsidR="003C5CC7" w:rsidRPr="00AE5090" w:rsidRDefault="003C5CC7" w:rsidP="00D43AA5">
            <w:pPr>
              <w:rPr>
                <w:color w:val="000000"/>
              </w:rPr>
            </w:pPr>
          </w:p>
        </w:tc>
        <w:tc>
          <w:tcPr>
            <w:tcW w:w="1300" w:type="dxa"/>
            <w:noWrap/>
            <w:hideMark/>
          </w:tcPr>
          <w:p w14:paraId="2E083E9A"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0D565CB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0.67</w:t>
            </w:r>
          </w:p>
        </w:tc>
        <w:tc>
          <w:tcPr>
            <w:tcW w:w="1557" w:type="dxa"/>
            <w:noWrap/>
            <w:hideMark/>
          </w:tcPr>
          <w:p w14:paraId="452F5F8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0.04</w:t>
            </w:r>
          </w:p>
        </w:tc>
        <w:tc>
          <w:tcPr>
            <w:tcW w:w="1166" w:type="dxa"/>
            <w:noWrap/>
            <w:hideMark/>
          </w:tcPr>
          <w:p w14:paraId="4570745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14.90</w:t>
            </w:r>
          </w:p>
        </w:tc>
        <w:tc>
          <w:tcPr>
            <w:tcW w:w="1034" w:type="dxa"/>
            <w:noWrap/>
            <w:hideMark/>
          </w:tcPr>
          <w:p w14:paraId="062D081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0.71</w:t>
            </w:r>
          </w:p>
        </w:tc>
      </w:tr>
      <w:tr w:rsidR="003C5CC7" w:rsidRPr="00AE5090" w14:paraId="4D8414C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540242E7" w14:textId="77777777" w:rsidR="003C5CC7" w:rsidRPr="00AE5090" w:rsidRDefault="003C5CC7" w:rsidP="00D43AA5">
            <w:pPr>
              <w:rPr>
                <w:color w:val="000000"/>
              </w:rPr>
            </w:pPr>
          </w:p>
        </w:tc>
        <w:tc>
          <w:tcPr>
            <w:tcW w:w="1300" w:type="dxa"/>
            <w:noWrap/>
            <w:hideMark/>
          </w:tcPr>
          <w:p w14:paraId="75CD774C"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6666A79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0.97</w:t>
            </w:r>
          </w:p>
        </w:tc>
        <w:tc>
          <w:tcPr>
            <w:tcW w:w="1557" w:type="dxa"/>
            <w:noWrap/>
            <w:hideMark/>
          </w:tcPr>
          <w:p w14:paraId="0B37B41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0.04</w:t>
            </w:r>
          </w:p>
        </w:tc>
        <w:tc>
          <w:tcPr>
            <w:tcW w:w="1166" w:type="dxa"/>
            <w:noWrap/>
            <w:hideMark/>
          </w:tcPr>
          <w:p w14:paraId="7305336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15.05</w:t>
            </w:r>
          </w:p>
        </w:tc>
        <w:tc>
          <w:tcPr>
            <w:tcW w:w="1034" w:type="dxa"/>
            <w:noWrap/>
            <w:hideMark/>
          </w:tcPr>
          <w:p w14:paraId="29917D6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0.78</w:t>
            </w:r>
          </w:p>
        </w:tc>
      </w:tr>
      <w:tr w:rsidR="003C5CC7" w:rsidRPr="00AE5090" w14:paraId="7E01389F"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5F1D2F7D" w14:textId="77777777" w:rsidR="003C5CC7" w:rsidRPr="00AE5090" w:rsidRDefault="003C5CC7" w:rsidP="00D43AA5">
            <w:pPr>
              <w:rPr>
                <w:color w:val="000000"/>
              </w:rPr>
            </w:pPr>
          </w:p>
        </w:tc>
        <w:tc>
          <w:tcPr>
            <w:tcW w:w="1300" w:type="dxa"/>
            <w:noWrap/>
            <w:hideMark/>
          </w:tcPr>
          <w:p w14:paraId="7DB3C684"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74D3BCA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0.98</w:t>
            </w:r>
          </w:p>
        </w:tc>
        <w:tc>
          <w:tcPr>
            <w:tcW w:w="1557" w:type="dxa"/>
            <w:noWrap/>
            <w:hideMark/>
          </w:tcPr>
          <w:p w14:paraId="79FA031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0755D69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15.31</w:t>
            </w:r>
          </w:p>
        </w:tc>
        <w:tc>
          <w:tcPr>
            <w:tcW w:w="1034" w:type="dxa"/>
            <w:noWrap/>
            <w:hideMark/>
          </w:tcPr>
          <w:p w14:paraId="0315FFC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0.82</w:t>
            </w:r>
          </w:p>
        </w:tc>
      </w:tr>
      <w:tr w:rsidR="003C5CC7" w:rsidRPr="00AE5090" w14:paraId="6194A24C"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0FE61DBC" w14:textId="77777777" w:rsidR="003C5CC7" w:rsidRPr="00AE5090" w:rsidRDefault="003C5CC7" w:rsidP="00D43AA5">
            <w:pPr>
              <w:rPr>
                <w:color w:val="000000"/>
              </w:rPr>
            </w:pPr>
          </w:p>
        </w:tc>
        <w:tc>
          <w:tcPr>
            <w:tcW w:w="1300" w:type="dxa"/>
            <w:noWrap/>
            <w:hideMark/>
          </w:tcPr>
          <w:p w14:paraId="0A0F63FB"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0B7B4DE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0.87</w:t>
            </w:r>
          </w:p>
        </w:tc>
        <w:tc>
          <w:tcPr>
            <w:tcW w:w="1557" w:type="dxa"/>
            <w:noWrap/>
            <w:hideMark/>
          </w:tcPr>
          <w:p w14:paraId="1467855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0.04</w:t>
            </w:r>
          </w:p>
        </w:tc>
        <w:tc>
          <w:tcPr>
            <w:tcW w:w="1166" w:type="dxa"/>
            <w:noWrap/>
            <w:hideMark/>
          </w:tcPr>
          <w:p w14:paraId="6272EA7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14.96</w:t>
            </w:r>
          </w:p>
        </w:tc>
        <w:tc>
          <w:tcPr>
            <w:tcW w:w="1034" w:type="dxa"/>
            <w:noWrap/>
            <w:hideMark/>
          </w:tcPr>
          <w:p w14:paraId="6D9AAAB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0.72</w:t>
            </w:r>
          </w:p>
        </w:tc>
      </w:tr>
      <w:tr w:rsidR="003C5CC7" w:rsidRPr="00AE5090" w14:paraId="55A7A74A"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1E2319D9" w14:textId="77777777" w:rsidR="003C5CC7" w:rsidRPr="00AE5090" w:rsidRDefault="003C5CC7" w:rsidP="00D43AA5">
            <w:pPr>
              <w:rPr>
                <w:color w:val="000000"/>
              </w:rPr>
            </w:pPr>
            <w:r w:rsidRPr="00AE5090">
              <w:rPr>
                <w:color w:val="000000"/>
              </w:rPr>
              <w:t>China Construction Bank (Malaysia) Berhad</w:t>
            </w:r>
          </w:p>
        </w:tc>
        <w:tc>
          <w:tcPr>
            <w:tcW w:w="1300" w:type="dxa"/>
            <w:noWrap/>
            <w:hideMark/>
          </w:tcPr>
          <w:p w14:paraId="43A36450"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6E4C19A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0.98</w:t>
            </w:r>
          </w:p>
        </w:tc>
        <w:tc>
          <w:tcPr>
            <w:tcW w:w="1557" w:type="dxa"/>
            <w:noWrap/>
            <w:hideMark/>
          </w:tcPr>
          <w:p w14:paraId="78818F5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1D64A46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16.61</w:t>
            </w:r>
          </w:p>
        </w:tc>
        <w:tc>
          <w:tcPr>
            <w:tcW w:w="1034" w:type="dxa"/>
            <w:noWrap/>
            <w:hideMark/>
          </w:tcPr>
          <w:p w14:paraId="39037B8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0.84</w:t>
            </w:r>
          </w:p>
        </w:tc>
      </w:tr>
      <w:tr w:rsidR="003C5CC7" w:rsidRPr="00AE5090" w14:paraId="3974E67F"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BC99E46" w14:textId="77777777" w:rsidR="003C5CC7" w:rsidRPr="00AE5090" w:rsidRDefault="003C5CC7" w:rsidP="00D43AA5">
            <w:pPr>
              <w:rPr>
                <w:color w:val="000000"/>
              </w:rPr>
            </w:pPr>
          </w:p>
        </w:tc>
        <w:tc>
          <w:tcPr>
            <w:tcW w:w="1300" w:type="dxa"/>
            <w:noWrap/>
            <w:hideMark/>
          </w:tcPr>
          <w:p w14:paraId="20C9957C"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7078766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0.98</w:t>
            </w:r>
          </w:p>
        </w:tc>
        <w:tc>
          <w:tcPr>
            <w:tcW w:w="1557" w:type="dxa"/>
            <w:noWrap/>
            <w:hideMark/>
          </w:tcPr>
          <w:p w14:paraId="5863751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7A907A6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16.70</w:t>
            </w:r>
          </w:p>
        </w:tc>
        <w:tc>
          <w:tcPr>
            <w:tcW w:w="1034" w:type="dxa"/>
            <w:noWrap/>
            <w:hideMark/>
          </w:tcPr>
          <w:p w14:paraId="13B59DD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0.83</w:t>
            </w:r>
          </w:p>
        </w:tc>
      </w:tr>
      <w:tr w:rsidR="003C5CC7" w:rsidRPr="00AE5090" w14:paraId="1E45A4FA"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54BB621D" w14:textId="77777777" w:rsidR="003C5CC7" w:rsidRPr="00AE5090" w:rsidRDefault="003C5CC7" w:rsidP="00D43AA5">
            <w:pPr>
              <w:rPr>
                <w:color w:val="000000"/>
              </w:rPr>
            </w:pPr>
          </w:p>
        </w:tc>
        <w:tc>
          <w:tcPr>
            <w:tcW w:w="1300" w:type="dxa"/>
            <w:noWrap/>
            <w:hideMark/>
          </w:tcPr>
          <w:p w14:paraId="33AFD36B"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7B4E846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0.99</w:t>
            </w:r>
          </w:p>
        </w:tc>
        <w:tc>
          <w:tcPr>
            <w:tcW w:w="1557" w:type="dxa"/>
            <w:noWrap/>
            <w:hideMark/>
          </w:tcPr>
          <w:p w14:paraId="0E39C5F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596CAC9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16.86</w:t>
            </w:r>
          </w:p>
        </w:tc>
        <w:tc>
          <w:tcPr>
            <w:tcW w:w="1034" w:type="dxa"/>
            <w:noWrap/>
            <w:hideMark/>
          </w:tcPr>
          <w:p w14:paraId="3926BDA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0.81</w:t>
            </w:r>
          </w:p>
        </w:tc>
      </w:tr>
      <w:tr w:rsidR="003C5CC7" w:rsidRPr="00AE5090" w14:paraId="6E53832D"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70D6DC57" w14:textId="77777777" w:rsidR="003C5CC7" w:rsidRPr="00AE5090" w:rsidRDefault="003C5CC7" w:rsidP="00D43AA5">
            <w:pPr>
              <w:rPr>
                <w:color w:val="000000"/>
              </w:rPr>
            </w:pPr>
          </w:p>
        </w:tc>
        <w:tc>
          <w:tcPr>
            <w:tcW w:w="1300" w:type="dxa"/>
            <w:noWrap/>
            <w:hideMark/>
          </w:tcPr>
          <w:p w14:paraId="7DCFE76B"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2BEDF0C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0.99</w:t>
            </w:r>
          </w:p>
        </w:tc>
        <w:tc>
          <w:tcPr>
            <w:tcW w:w="1557" w:type="dxa"/>
            <w:noWrap/>
            <w:hideMark/>
          </w:tcPr>
          <w:p w14:paraId="623AD45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05F0E37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16.91</w:t>
            </w:r>
          </w:p>
        </w:tc>
        <w:tc>
          <w:tcPr>
            <w:tcW w:w="1034" w:type="dxa"/>
            <w:noWrap/>
            <w:hideMark/>
          </w:tcPr>
          <w:p w14:paraId="055378F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0.80</w:t>
            </w:r>
          </w:p>
        </w:tc>
      </w:tr>
      <w:tr w:rsidR="003C5CC7" w:rsidRPr="00AE5090" w14:paraId="6375F50C"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4DC3615" w14:textId="77777777" w:rsidR="003C5CC7" w:rsidRPr="00AE5090" w:rsidRDefault="003C5CC7" w:rsidP="00D43AA5">
            <w:pPr>
              <w:rPr>
                <w:color w:val="000000"/>
              </w:rPr>
            </w:pPr>
          </w:p>
        </w:tc>
        <w:tc>
          <w:tcPr>
            <w:tcW w:w="1300" w:type="dxa"/>
            <w:noWrap/>
            <w:hideMark/>
          </w:tcPr>
          <w:p w14:paraId="5F138A49"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0BACF76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0.98</w:t>
            </w:r>
          </w:p>
        </w:tc>
        <w:tc>
          <w:tcPr>
            <w:tcW w:w="1557" w:type="dxa"/>
            <w:noWrap/>
            <w:hideMark/>
          </w:tcPr>
          <w:p w14:paraId="059AE41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222CDB0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16.96</w:t>
            </w:r>
          </w:p>
        </w:tc>
        <w:tc>
          <w:tcPr>
            <w:tcW w:w="1034" w:type="dxa"/>
            <w:noWrap/>
            <w:hideMark/>
          </w:tcPr>
          <w:p w14:paraId="2DDBC73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0.80</w:t>
            </w:r>
          </w:p>
        </w:tc>
      </w:tr>
      <w:tr w:rsidR="003C5CC7" w:rsidRPr="00AE5090" w14:paraId="09736229"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3F46C16C" w14:textId="77777777" w:rsidR="003C5CC7" w:rsidRPr="00AE5090" w:rsidRDefault="003C5CC7" w:rsidP="00D43AA5">
            <w:pPr>
              <w:rPr>
                <w:color w:val="000000"/>
              </w:rPr>
            </w:pPr>
          </w:p>
        </w:tc>
        <w:tc>
          <w:tcPr>
            <w:tcW w:w="1300" w:type="dxa"/>
            <w:noWrap/>
            <w:hideMark/>
          </w:tcPr>
          <w:p w14:paraId="187733F0"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301040A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0.98</w:t>
            </w:r>
          </w:p>
        </w:tc>
        <w:tc>
          <w:tcPr>
            <w:tcW w:w="1557" w:type="dxa"/>
            <w:noWrap/>
            <w:hideMark/>
          </w:tcPr>
          <w:p w14:paraId="7A8CFE9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0.03</w:t>
            </w:r>
          </w:p>
        </w:tc>
        <w:tc>
          <w:tcPr>
            <w:tcW w:w="1166" w:type="dxa"/>
            <w:noWrap/>
            <w:hideMark/>
          </w:tcPr>
          <w:p w14:paraId="0E0EC77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16.81</w:t>
            </w:r>
          </w:p>
        </w:tc>
        <w:tc>
          <w:tcPr>
            <w:tcW w:w="1034" w:type="dxa"/>
            <w:noWrap/>
            <w:hideMark/>
          </w:tcPr>
          <w:p w14:paraId="6807AC8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0.82</w:t>
            </w:r>
          </w:p>
        </w:tc>
      </w:tr>
      <w:tr w:rsidR="003C5CC7" w:rsidRPr="00AE5090" w14:paraId="0F5DBC74"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2A897691" w14:textId="77777777" w:rsidR="003C5CC7" w:rsidRPr="00AE5090" w:rsidRDefault="003C5CC7" w:rsidP="00D43AA5">
            <w:pPr>
              <w:rPr>
                <w:color w:val="000000"/>
              </w:rPr>
            </w:pPr>
            <w:r w:rsidRPr="00AE5090">
              <w:rPr>
                <w:color w:val="000000"/>
              </w:rPr>
              <w:t>Bank of China (Malaysia) Berhad</w:t>
            </w:r>
          </w:p>
        </w:tc>
        <w:tc>
          <w:tcPr>
            <w:tcW w:w="1300" w:type="dxa"/>
            <w:noWrap/>
            <w:hideMark/>
          </w:tcPr>
          <w:p w14:paraId="769670F0"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0477A65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0.99</w:t>
            </w:r>
          </w:p>
        </w:tc>
        <w:tc>
          <w:tcPr>
            <w:tcW w:w="1557" w:type="dxa"/>
            <w:noWrap/>
            <w:hideMark/>
          </w:tcPr>
          <w:p w14:paraId="7D353AE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7E20E3C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16.10</w:t>
            </w:r>
          </w:p>
        </w:tc>
        <w:tc>
          <w:tcPr>
            <w:tcW w:w="1034" w:type="dxa"/>
            <w:noWrap/>
            <w:hideMark/>
          </w:tcPr>
          <w:p w14:paraId="4ECFA79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0.88</w:t>
            </w:r>
          </w:p>
        </w:tc>
      </w:tr>
      <w:tr w:rsidR="003C5CC7" w:rsidRPr="00AE5090" w14:paraId="256F0409"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A136B23" w14:textId="77777777" w:rsidR="003C5CC7" w:rsidRPr="00AE5090" w:rsidRDefault="003C5CC7" w:rsidP="00D43AA5">
            <w:pPr>
              <w:rPr>
                <w:color w:val="000000"/>
              </w:rPr>
            </w:pPr>
          </w:p>
        </w:tc>
        <w:tc>
          <w:tcPr>
            <w:tcW w:w="1300" w:type="dxa"/>
            <w:noWrap/>
            <w:hideMark/>
          </w:tcPr>
          <w:p w14:paraId="7601CBA5"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3DEE600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0.98</w:t>
            </w:r>
          </w:p>
        </w:tc>
        <w:tc>
          <w:tcPr>
            <w:tcW w:w="1557" w:type="dxa"/>
            <w:noWrap/>
            <w:hideMark/>
          </w:tcPr>
          <w:p w14:paraId="7CE75D6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52F86A8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15.95</w:t>
            </w:r>
          </w:p>
        </w:tc>
        <w:tc>
          <w:tcPr>
            <w:tcW w:w="1034" w:type="dxa"/>
            <w:noWrap/>
            <w:hideMark/>
          </w:tcPr>
          <w:p w14:paraId="1F1C8D8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0.84</w:t>
            </w:r>
          </w:p>
        </w:tc>
      </w:tr>
      <w:tr w:rsidR="003C5CC7" w:rsidRPr="00AE5090" w14:paraId="62E06702"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EFA8E62" w14:textId="77777777" w:rsidR="003C5CC7" w:rsidRPr="00AE5090" w:rsidRDefault="003C5CC7" w:rsidP="00D43AA5">
            <w:pPr>
              <w:rPr>
                <w:color w:val="000000"/>
              </w:rPr>
            </w:pPr>
          </w:p>
        </w:tc>
        <w:tc>
          <w:tcPr>
            <w:tcW w:w="1300" w:type="dxa"/>
            <w:noWrap/>
            <w:hideMark/>
          </w:tcPr>
          <w:p w14:paraId="5D351985"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5920EDF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0.98</w:t>
            </w:r>
          </w:p>
        </w:tc>
        <w:tc>
          <w:tcPr>
            <w:tcW w:w="1557" w:type="dxa"/>
            <w:noWrap/>
            <w:hideMark/>
          </w:tcPr>
          <w:p w14:paraId="5F54FC3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5A5D60C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16.04</w:t>
            </w:r>
          </w:p>
        </w:tc>
        <w:tc>
          <w:tcPr>
            <w:tcW w:w="1034" w:type="dxa"/>
            <w:noWrap/>
            <w:hideMark/>
          </w:tcPr>
          <w:p w14:paraId="4B56FAC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0.84</w:t>
            </w:r>
          </w:p>
        </w:tc>
      </w:tr>
      <w:tr w:rsidR="003C5CC7" w:rsidRPr="00AE5090" w14:paraId="29C7D31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55DC9E14" w14:textId="77777777" w:rsidR="003C5CC7" w:rsidRPr="00AE5090" w:rsidRDefault="003C5CC7" w:rsidP="00D43AA5">
            <w:pPr>
              <w:rPr>
                <w:color w:val="000000"/>
              </w:rPr>
            </w:pPr>
          </w:p>
        </w:tc>
        <w:tc>
          <w:tcPr>
            <w:tcW w:w="1300" w:type="dxa"/>
            <w:noWrap/>
            <w:hideMark/>
          </w:tcPr>
          <w:p w14:paraId="0BA943C1"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7798F87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0.98</w:t>
            </w:r>
          </w:p>
        </w:tc>
        <w:tc>
          <w:tcPr>
            <w:tcW w:w="1557" w:type="dxa"/>
            <w:noWrap/>
            <w:hideMark/>
          </w:tcPr>
          <w:p w14:paraId="4280AD4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5D84FBC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16.34</w:t>
            </w:r>
          </w:p>
        </w:tc>
        <w:tc>
          <w:tcPr>
            <w:tcW w:w="1034" w:type="dxa"/>
            <w:noWrap/>
            <w:hideMark/>
          </w:tcPr>
          <w:p w14:paraId="51BBB97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0.77</w:t>
            </w:r>
          </w:p>
        </w:tc>
      </w:tr>
      <w:tr w:rsidR="003C5CC7" w:rsidRPr="00AE5090" w14:paraId="4B24E4BB"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71F9FBA9" w14:textId="77777777" w:rsidR="003C5CC7" w:rsidRPr="00AE5090" w:rsidRDefault="003C5CC7" w:rsidP="00D43AA5">
            <w:pPr>
              <w:rPr>
                <w:color w:val="000000"/>
              </w:rPr>
            </w:pPr>
          </w:p>
        </w:tc>
        <w:tc>
          <w:tcPr>
            <w:tcW w:w="1300" w:type="dxa"/>
            <w:noWrap/>
            <w:hideMark/>
          </w:tcPr>
          <w:p w14:paraId="1E386839"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750326D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0.99</w:t>
            </w:r>
          </w:p>
        </w:tc>
        <w:tc>
          <w:tcPr>
            <w:tcW w:w="1557" w:type="dxa"/>
            <w:noWrap/>
            <w:hideMark/>
          </w:tcPr>
          <w:p w14:paraId="14F6525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0.00</w:t>
            </w:r>
          </w:p>
        </w:tc>
        <w:tc>
          <w:tcPr>
            <w:tcW w:w="1166" w:type="dxa"/>
            <w:noWrap/>
            <w:hideMark/>
          </w:tcPr>
          <w:p w14:paraId="48C2734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16.42</w:t>
            </w:r>
          </w:p>
        </w:tc>
        <w:tc>
          <w:tcPr>
            <w:tcW w:w="1034" w:type="dxa"/>
            <w:noWrap/>
            <w:hideMark/>
          </w:tcPr>
          <w:p w14:paraId="66CC6AA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0.79</w:t>
            </w:r>
          </w:p>
        </w:tc>
      </w:tr>
      <w:tr w:rsidR="003C5CC7" w:rsidRPr="00AE5090" w14:paraId="69BE5C6C"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6167C621" w14:textId="77777777" w:rsidR="003C5CC7" w:rsidRPr="00AE5090" w:rsidRDefault="003C5CC7" w:rsidP="00D43AA5">
            <w:pPr>
              <w:rPr>
                <w:color w:val="000000"/>
              </w:rPr>
            </w:pPr>
          </w:p>
        </w:tc>
        <w:tc>
          <w:tcPr>
            <w:tcW w:w="1300" w:type="dxa"/>
            <w:noWrap/>
            <w:hideMark/>
          </w:tcPr>
          <w:p w14:paraId="6528C4EA"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6817388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0.98</w:t>
            </w:r>
          </w:p>
        </w:tc>
        <w:tc>
          <w:tcPr>
            <w:tcW w:w="1557" w:type="dxa"/>
            <w:noWrap/>
            <w:hideMark/>
          </w:tcPr>
          <w:p w14:paraId="5DE1302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0.01</w:t>
            </w:r>
          </w:p>
        </w:tc>
        <w:tc>
          <w:tcPr>
            <w:tcW w:w="1166" w:type="dxa"/>
            <w:noWrap/>
            <w:hideMark/>
          </w:tcPr>
          <w:p w14:paraId="2300DAC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16.17</w:t>
            </w:r>
          </w:p>
        </w:tc>
        <w:tc>
          <w:tcPr>
            <w:tcW w:w="1034" w:type="dxa"/>
            <w:noWrap/>
            <w:hideMark/>
          </w:tcPr>
          <w:p w14:paraId="72D4D36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0.82</w:t>
            </w:r>
          </w:p>
        </w:tc>
      </w:tr>
      <w:tr w:rsidR="003C5CC7" w:rsidRPr="00AE5090" w14:paraId="1F64580D"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46EC84F5" w14:textId="77777777" w:rsidR="003C5CC7" w:rsidRPr="00AE5090" w:rsidRDefault="003C5CC7" w:rsidP="00D43AA5">
            <w:pPr>
              <w:rPr>
                <w:color w:val="000000"/>
              </w:rPr>
            </w:pPr>
            <w:r w:rsidRPr="00AE5090">
              <w:rPr>
                <w:color w:val="000000"/>
              </w:rPr>
              <w:t>Bangkok Bank Berhad</w:t>
            </w:r>
          </w:p>
        </w:tc>
        <w:tc>
          <w:tcPr>
            <w:tcW w:w="1300" w:type="dxa"/>
            <w:noWrap/>
            <w:hideMark/>
          </w:tcPr>
          <w:p w14:paraId="7AB59027"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2268309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0.95</w:t>
            </w:r>
          </w:p>
        </w:tc>
        <w:tc>
          <w:tcPr>
            <w:tcW w:w="1557" w:type="dxa"/>
            <w:noWrap/>
            <w:hideMark/>
          </w:tcPr>
          <w:p w14:paraId="121DC80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1B8FC24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15.42</w:t>
            </w:r>
          </w:p>
        </w:tc>
        <w:tc>
          <w:tcPr>
            <w:tcW w:w="1034" w:type="dxa"/>
            <w:noWrap/>
            <w:hideMark/>
          </w:tcPr>
          <w:p w14:paraId="751E1DA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0.82</w:t>
            </w:r>
          </w:p>
        </w:tc>
      </w:tr>
      <w:tr w:rsidR="003C5CC7" w:rsidRPr="00AE5090" w14:paraId="09B6599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6792B02E" w14:textId="77777777" w:rsidR="003C5CC7" w:rsidRPr="00AE5090" w:rsidRDefault="003C5CC7" w:rsidP="00D43AA5">
            <w:pPr>
              <w:rPr>
                <w:color w:val="000000"/>
              </w:rPr>
            </w:pPr>
          </w:p>
        </w:tc>
        <w:tc>
          <w:tcPr>
            <w:tcW w:w="1300" w:type="dxa"/>
            <w:noWrap/>
            <w:hideMark/>
          </w:tcPr>
          <w:p w14:paraId="017DBD2A"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4FCEAFA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47365B4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0B57EF5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15.27</w:t>
            </w:r>
          </w:p>
        </w:tc>
        <w:tc>
          <w:tcPr>
            <w:tcW w:w="1034" w:type="dxa"/>
            <w:noWrap/>
            <w:hideMark/>
          </w:tcPr>
          <w:p w14:paraId="478663F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0.81</w:t>
            </w:r>
          </w:p>
        </w:tc>
      </w:tr>
      <w:tr w:rsidR="003C5CC7" w:rsidRPr="00AE5090" w14:paraId="3BB079D3"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3396F129" w14:textId="77777777" w:rsidR="003C5CC7" w:rsidRPr="00AE5090" w:rsidRDefault="003C5CC7" w:rsidP="00D43AA5">
            <w:pPr>
              <w:rPr>
                <w:color w:val="000000"/>
              </w:rPr>
            </w:pPr>
          </w:p>
        </w:tc>
        <w:tc>
          <w:tcPr>
            <w:tcW w:w="1300" w:type="dxa"/>
            <w:noWrap/>
            <w:hideMark/>
          </w:tcPr>
          <w:p w14:paraId="40AE716F"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7F428A5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36C2DFD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6D12DF4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15.26</w:t>
            </w:r>
          </w:p>
        </w:tc>
        <w:tc>
          <w:tcPr>
            <w:tcW w:w="1034" w:type="dxa"/>
            <w:noWrap/>
            <w:hideMark/>
          </w:tcPr>
          <w:p w14:paraId="080B7C6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0.80</w:t>
            </w:r>
          </w:p>
        </w:tc>
      </w:tr>
      <w:tr w:rsidR="003C5CC7" w:rsidRPr="00AE5090" w14:paraId="7C8553DD"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7C3E5789" w14:textId="77777777" w:rsidR="003C5CC7" w:rsidRPr="00AE5090" w:rsidRDefault="003C5CC7" w:rsidP="00D43AA5">
            <w:pPr>
              <w:rPr>
                <w:color w:val="000000"/>
              </w:rPr>
            </w:pPr>
          </w:p>
        </w:tc>
        <w:tc>
          <w:tcPr>
            <w:tcW w:w="1300" w:type="dxa"/>
            <w:noWrap/>
            <w:hideMark/>
          </w:tcPr>
          <w:p w14:paraId="7EB11256"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6A1958E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0.95</w:t>
            </w:r>
          </w:p>
        </w:tc>
        <w:tc>
          <w:tcPr>
            <w:tcW w:w="1557" w:type="dxa"/>
            <w:noWrap/>
            <w:hideMark/>
          </w:tcPr>
          <w:p w14:paraId="6974E39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444C2F3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15.38</w:t>
            </w:r>
          </w:p>
        </w:tc>
        <w:tc>
          <w:tcPr>
            <w:tcW w:w="1034" w:type="dxa"/>
            <w:noWrap/>
            <w:hideMark/>
          </w:tcPr>
          <w:p w14:paraId="39BC012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0.73</w:t>
            </w:r>
          </w:p>
        </w:tc>
      </w:tr>
      <w:tr w:rsidR="003C5CC7" w:rsidRPr="00AE5090" w14:paraId="31280DE2"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1EF3A8D" w14:textId="77777777" w:rsidR="003C5CC7" w:rsidRPr="00AE5090" w:rsidRDefault="003C5CC7" w:rsidP="00D43AA5">
            <w:pPr>
              <w:rPr>
                <w:color w:val="000000"/>
              </w:rPr>
            </w:pPr>
          </w:p>
        </w:tc>
        <w:tc>
          <w:tcPr>
            <w:tcW w:w="1300" w:type="dxa"/>
            <w:noWrap/>
            <w:hideMark/>
          </w:tcPr>
          <w:p w14:paraId="71A5F109"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061CE0D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0.94</w:t>
            </w:r>
          </w:p>
        </w:tc>
        <w:tc>
          <w:tcPr>
            <w:tcW w:w="1557" w:type="dxa"/>
            <w:noWrap/>
            <w:hideMark/>
          </w:tcPr>
          <w:p w14:paraId="1CEAEB5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0.02</w:t>
            </w:r>
          </w:p>
        </w:tc>
        <w:tc>
          <w:tcPr>
            <w:tcW w:w="1166" w:type="dxa"/>
            <w:noWrap/>
            <w:hideMark/>
          </w:tcPr>
          <w:p w14:paraId="7B52D11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15.52</w:t>
            </w:r>
          </w:p>
        </w:tc>
        <w:tc>
          <w:tcPr>
            <w:tcW w:w="1034" w:type="dxa"/>
            <w:noWrap/>
            <w:hideMark/>
          </w:tcPr>
          <w:p w14:paraId="332BC4C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0.76</w:t>
            </w:r>
          </w:p>
        </w:tc>
      </w:tr>
      <w:tr w:rsidR="003C5CC7" w:rsidRPr="00AE5090" w14:paraId="44A3A7F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68A974E9" w14:textId="77777777" w:rsidR="003C5CC7" w:rsidRPr="00AE5090" w:rsidRDefault="003C5CC7" w:rsidP="00D43AA5">
            <w:pPr>
              <w:rPr>
                <w:color w:val="000000"/>
              </w:rPr>
            </w:pPr>
          </w:p>
        </w:tc>
        <w:tc>
          <w:tcPr>
            <w:tcW w:w="1300" w:type="dxa"/>
            <w:noWrap/>
            <w:hideMark/>
          </w:tcPr>
          <w:p w14:paraId="47F6F85E"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68A3134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0.94</w:t>
            </w:r>
          </w:p>
        </w:tc>
        <w:tc>
          <w:tcPr>
            <w:tcW w:w="1557" w:type="dxa"/>
            <w:noWrap/>
            <w:hideMark/>
          </w:tcPr>
          <w:p w14:paraId="5328530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0.02</w:t>
            </w:r>
          </w:p>
        </w:tc>
        <w:tc>
          <w:tcPr>
            <w:tcW w:w="1166" w:type="dxa"/>
            <w:noWrap/>
            <w:hideMark/>
          </w:tcPr>
          <w:p w14:paraId="4D07110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15.37</w:t>
            </w:r>
          </w:p>
        </w:tc>
        <w:tc>
          <w:tcPr>
            <w:tcW w:w="1034" w:type="dxa"/>
            <w:noWrap/>
            <w:hideMark/>
          </w:tcPr>
          <w:p w14:paraId="23245A2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0.79</w:t>
            </w:r>
          </w:p>
        </w:tc>
      </w:tr>
      <w:tr w:rsidR="003C5CC7" w:rsidRPr="00AE5090" w14:paraId="2ABDA8D4"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556F9D19" w14:textId="77777777" w:rsidR="003C5CC7" w:rsidRPr="00AE5090" w:rsidRDefault="003C5CC7" w:rsidP="00D43AA5">
            <w:pPr>
              <w:rPr>
                <w:color w:val="000000"/>
              </w:rPr>
            </w:pPr>
            <w:r w:rsidRPr="00AE5090">
              <w:rPr>
                <w:color w:val="000000"/>
              </w:rPr>
              <w:t>India International Bank (Malaysia) Berhad</w:t>
            </w:r>
          </w:p>
        </w:tc>
        <w:tc>
          <w:tcPr>
            <w:tcW w:w="1300" w:type="dxa"/>
            <w:noWrap/>
            <w:hideMark/>
          </w:tcPr>
          <w:p w14:paraId="35EAB747"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0885E78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0.98</w:t>
            </w:r>
          </w:p>
        </w:tc>
        <w:tc>
          <w:tcPr>
            <w:tcW w:w="1557" w:type="dxa"/>
            <w:noWrap/>
            <w:hideMark/>
          </w:tcPr>
          <w:p w14:paraId="1410CE0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63BC0EF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13.04</w:t>
            </w:r>
          </w:p>
        </w:tc>
        <w:tc>
          <w:tcPr>
            <w:tcW w:w="1034" w:type="dxa"/>
            <w:noWrap/>
            <w:hideMark/>
          </w:tcPr>
          <w:p w14:paraId="4098388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0.29</w:t>
            </w:r>
          </w:p>
        </w:tc>
      </w:tr>
      <w:tr w:rsidR="003C5CC7" w:rsidRPr="00AE5090" w14:paraId="6C2585B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49028450" w14:textId="77777777" w:rsidR="003C5CC7" w:rsidRPr="00AE5090" w:rsidRDefault="003C5CC7" w:rsidP="00D43AA5">
            <w:pPr>
              <w:rPr>
                <w:color w:val="000000"/>
              </w:rPr>
            </w:pPr>
          </w:p>
        </w:tc>
        <w:tc>
          <w:tcPr>
            <w:tcW w:w="1300" w:type="dxa"/>
            <w:noWrap/>
            <w:hideMark/>
          </w:tcPr>
          <w:p w14:paraId="009ACCDB"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4DB18E3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0.98</w:t>
            </w:r>
          </w:p>
        </w:tc>
        <w:tc>
          <w:tcPr>
            <w:tcW w:w="1557" w:type="dxa"/>
            <w:noWrap/>
            <w:hideMark/>
          </w:tcPr>
          <w:p w14:paraId="2FAA286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2DDCDAD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13.05</w:t>
            </w:r>
          </w:p>
        </w:tc>
        <w:tc>
          <w:tcPr>
            <w:tcW w:w="1034" w:type="dxa"/>
            <w:noWrap/>
            <w:hideMark/>
          </w:tcPr>
          <w:p w14:paraId="0CC4921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0.31</w:t>
            </w:r>
          </w:p>
        </w:tc>
      </w:tr>
      <w:tr w:rsidR="003C5CC7" w:rsidRPr="00AE5090" w14:paraId="450CC620"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7686FBD7" w14:textId="77777777" w:rsidR="003C5CC7" w:rsidRPr="00AE5090" w:rsidRDefault="003C5CC7" w:rsidP="00D43AA5">
            <w:pPr>
              <w:rPr>
                <w:color w:val="000000"/>
              </w:rPr>
            </w:pPr>
          </w:p>
        </w:tc>
        <w:tc>
          <w:tcPr>
            <w:tcW w:w="1300" w:type="dxa"/>
            <w:noWrap/>
            <w:hideMark/>
          </w:tcPr>
          <w:p w14:paraId="337862D0"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2C739B3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0.99</w:t>
            </w:r>
          </w:p>
        </w:tc>
        <w:tc>
          <w:tcPr>
            <w:tcW w:w="1557" w:type="dxa"/>
            <w:noWrap/>
            <w:hideMark/>
          </w:tcPr>
          <w:p w14:paraId="6A160B5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6ABD95D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13.07</w:t>
            </w:r>
          </w:p>
        </w:tc>
        <w:tc>
          <w:tcPr>
            <w:tcW w:w="1034" w:type="dxa"/>
            <w:noWrap/>
            <w:hideMark/>
          </w:tcPr>
          <w:p w14:paraId="062B454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0.33</w:t>
            </w:r>
          </w:p>
        </w:tc>
      </w:tr>
      <w:tr w:rsidR="003C5CC7" w:rsidRPr="00AE5090" w14:paraId="447BBDDD"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619889A" w14:textId="77777777" w:rsidR="003C5CC7" w:rsidRPr="00AE5090" w:rsidRDefault="003C5CC7" w:rsidP="00D43AA5">
            <w:pPr>
              <w:rPr>
                <w:color w:val="000000"/>
              </w:rPr>
            </w:pPr>
          </w:p>
        </w:tc>
        <w:tc>
          <w:tcPr>
            <w:tcW w:w="1300" w:type="dxa"/>
            <w:noWrap/>
            <w:hideMark/>
          </w:tcPr>
          <w:p w14:paraId="6C9A40A7"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74AF362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1.00</w:t>
            </w:r>
          </w:p>
        </w:tc>
        <w:tc>
          <w:tcPr>
            <w:tcW w:w="1557" w:type="dxa"/>
            <w:noWrap/>
            <w:hideMark/>
          </w:tcPr>
          <w:p w14:paraId="00BDA78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06D0976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13.01</w:t>
            </w:r>
          </w:p>
        </w:tc>
        <w:tc>
          <w:tcPr>
            <w:tcW w:w="1034" w:type="dxa"/>
            <w:noWrap/>
            <w:hideMark/>
          </w:tcPr>
          <w:p w14:paraId="0B4DD89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0.28</w:t>
            </w:r>
          </w:p>
        </w:tc>
      </w:tr>
      <w:tr w:rsidR="003C5CC7" w:rsidRPr="00AE5090" w14:paraId="6B8C43C0"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5A2F99AB" w14:textId="77777777" w:rsidR="003C5CC7" w:rsidRPr="00AE5090" w:rsidRDefault="003C5CC7" w:rsidP="00D43AA5">
            <w:pPr>
              <w:rPr>
                <w:color w:val="000000"/>
              </w:rPr>
            </w:pPr>
          </w:p>
        </w:tc>
        <w:tc>
          <w:tcPr>
            <w:tcW w:w="1300" w:type="dxa"/>
            <w:noWrap/>
            <w:hideMark/>
          </w:tcPr>
          <w:p w14:paraId="6F271720"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49AF16F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0.99</w:t>
            </w:r>
          </w:p>
        </w:tc>
        <w:tc>
          <w:tcPr>
            <w:tcW w:w="1557" w:type="dxa"/>
            <w:noWrap/>
            <w:hideMark/>
          </w:tcPr>
          <w:p w14:paraId="5D10002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49E3BC6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13.04</w:t>
            </w:r>
          </w:p>
        </w:tc>
        <w:tc>
          <w:tcPr>
            <w:tcW w:w="1034" w:type="dxa"/>
            <w:noWrap/>
            <w:hideMark/>
          </w:tcPr>
          <w:p w14:paraId="40BE9CA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0.30</w:t>
            </w:r>
          </w:p>
        </w:tc>
      </w:tr>
      <w:tr w:rsidR="003C5CC7" w:rsidRPr="00AE5090" w14:paraId="39660803"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7F100678" w14:textId="77777777" w:rsidR="003C5CC7" w:rsidRPr="00AE5090" w:rsidRDefault="003C5CC7" w:rsidP="00D43AA5">
            <w:pPr>
              <w:rPr>
                <w:color w:val="000000"/>
              </w:rPr>
            </w:pPr>
          </w:p>
        </w:tc>
        <w:tc>
          <w:tcPr>
            <w:tcW w:w="1300" w:type="dxa"/>
            <w:noWrap/>
            <w:hideMark/>
          </w:tcPr>
          <w:p w14:paraId="24D53530"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2266353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0.99</w:t>
            </w:r>
          </w:p>
        </w:tc>
        <w:tc>
          <w:tcPr>
            <w:tcW w:w="1557" w:type="dxa"/>
            <w:noWrap/>
            <w:hideMark/>
          </w:tcPr>
          <w:p w14:paraId="4613B94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0.03</w:t>
            </w:r>
          </w:p>
        </w:tc>
        <w:tc>
          <w:tcPr>
            <w:tcW w:w="1166" w:type="dxa"/>
            <w:noWrap/>
            <w:hideMark/>
          </w:tcPr>
          <w:p w14:paraId="7DB8754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13.04</w:t>
            </w:r>
          </w:p>
        </w:tc>
        <w:tc>
          <w:tcPr>
            <w:tcW w:w="1034" w:type="dxa"/>
            <w:noWrap/>
            <w:hideMark/>
          </w:tcPr>
          <w:p w14:paraId="2878B28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0.30</w:t>
            </w:r>
          </w:p>
        </w:tc>
      </w:tr>
      <w:tr w:rsidR="003C5CC7" w:rsidRPr="00AE5090" w14:paraId="323A42C9"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1A4E378E" w14:textId="77777777" w:rsidR="003C5CC7" w:rsidRPr="00AE5090" w:rsidRDefault="003C5CC7" w:rsidP="00D43AA5">
            <w:pPr>
              <w:rPr>
                <w:color w:val="000000"/>
              </w:rPr>
            </w:pPr>
            <w:r w:rsidRPr="00AE5090">
              <w:rPr>
                <w:color w:val="000000"/>
              </w:rPr>
              <w:t>Standard Chartered Bank Malaysia Berhad</w:t>
            </w:r>
          </w:p>
        </w:tc>
        <w:tc>
          <w:tcPr>
            <w:tcW w:w="1300" w:type="dxa"/>
            <w:noWrap/>
            <w:hideMark/>
          </w:tcPr>
          <w:p w14:paraId="45B5FB9B"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2014</w:t>
            </w:r>
          </w:p>
        </w:tc>
        <w:tc>
          <w:tcPr>
            <w:tcW w:w="1143" w:type="dxa"/>
            <w:noWrap/>
            <w:hideMark/>
          </w:tcPr>
          <w:p w14:paraId="71824BE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2EA72B5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0.03</w:t>
            </w:r>
          </w:p>
        </w:tc>
        <w:tc>
          <w:tcPr>
            <w:tcW w:w="1166" w:type="dxa"/>
            <w:noWrap/>
            <w:hideMark/>
          </w:tcPr>
          <w:p w14:paraId="5E36B8F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17.81</w:t>
            </w:r>
          </w:p>
        </w:tc>
        <w:tc>
          <w:tcPr>
            <w:tcW w:w="1034" w:type="dxa"/>
            <w:noWrap/>
            <w:hideMark/>
          </w:tcPr>
          <w:p w14:paraId="7463C2E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0.81</w:t>
            </w:r>
          </w:p>
        </w:tc>
      </w:tr>
      <w:tr w:rsidR="003C5CC7" w:rsidRPr="00AE5090" w14:paraId="7B8AE97B"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0020EB85" w14:textId="77777777" w:rsidR="003C5CC7" w:rsidRPr="00AE5090" w:rsidRDefault="003C5CC7" w:rsidP="00D43AA5">
            <w:pPr>
              <w:rPr>
                <w:color w:val="000000"/>
              </w:rPr>
            </w:pPr>
          </w:p>
        </w:tc>
        <w:tc>
          <w:tcPr>
            <w:tcW w:w="1300" w:type="dxa"/>
            <w:noWrap/>
            <w:hideMark/>
          </w:tcPr>
          <w:p w14:paraId="09F80045"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2015</w:t>
            </w:r>
          </w:p>
        </w:tc>
        <w:tc>
          <w:tcPr>
            <w:tcW w:w="1143" w:type="dxa"/>
            <w:noWrap/>
            <w:hideMark/>
          </w:tcPr>
          <w:p w14:paraId="0A2F1E5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4CAB346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0.04</w:t>
            </w:r>
          </w:p>
        </w:tc>
        <w:tc>
          <w:tcPr>
            <w:tcW w:w="1166" w:type="dxa"/>
            <w:noWrap/>
            <w:hideMark/>
          </w:tcPr>
          <w:p w14:paraId="5F06315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17.71</w:t>
            </w:r>
          </w:p>
        </w:tc>
        <w:tc>
          <w:tcPr>
            <w:tcW w:w="1034" w:type="dxa"/>
            <w:noWrap/>
            <w:hideMark/>
          </w:tcPr>
          <w:p w14:paraId="0B9F5BA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0.76</w:t>
            </w:r>
          </w:p>
        </w:tc>
      </w:tr>
      <w:tr w:rsidR="003C5CC7" w:rsidRPr="00AE5090" w14:paraId="5E41971A"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B2C0427" w14:textId="77777777" w:rsidR="003C5CC7" w:rsidRPr="00AE5090" w:rsidRDefault="003C5CC7" w:rsidP="00D43AA5">
            <w:pPr>
              <w:rPr>
                <w:color w:val="000000"/>
              </w:rPr>
            </w:pPr>
          </w:p>
        </w:tc>
        <w:tc>
          <w:tcPr>
            <w:tcW w:w="1300" w:type="dxa"/>
            <w:noWrap/>
            <w:hideMark/>
          </w:tcPr>
          <w:p w14:paraId="02A81860"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2016</w:t>
            </w:r>
          </w:p>
        </w:tc>
        <w:tc>
          <w:tcPr>
            <w:tcW w:w="1143" w:type="dxa"/>
            <w:noWrap/>
            <w:hideMark/>
          </w:tcPr>
          <w:p w14:paraId="05BBC3F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0.97</w:t>
            </w:r>
          </w:p>
        </w:tc>
        <w:tc>
          <w:tcPr>
            <w:tcW w:w="1557" w:type="dxa"/>
            <w:noWrap/>
            <w:hideMark/>
          </w:tcPr>
          <w:p w14:paraId="0F58965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0.04</w:t>
            </w:r>
          </w:p>
        </w:tc>
        <w:tc>
          <w:tcPr>
            <w:tcW w:w="1166" w:type="dxa"/>
            <w:noWrap/>
            <w:hideMark/>
          </w:tcPr>
          <w:p w14:paraId="548C9BB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17.67</w:t>
            </w:r>
          </w:p>
        </w:tc>
        <w:tc>
          <w:tcPr>
            <w:tcW w:w="1034" w:type="dxa"/>
            <w:noWrap/>
            <w:hideMark/>
          </w:tcPr>
          <w:p w14:paraId="313F237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0.75</w:t>
            </w:r>
          </w:p>
        </w:tc>
      </w:tr>
      <w:tr w:rsidR="003C5CC7" w:rsidRPr="00AE5090" w14:paraId="05FEFCD7"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154EA3BA" w14:textId="77777777" w:rsidR="003C5CC7" w:rsidRPr="00AE5090" w:rsidRDefault="003C5CC7" w:rsidP="00D43AA5">
            <w:pPr>
              <w:rPr>
                <w:color w:val="000000"/>
              </w:rPr>
            </w:pPr>
          </w:p>
        </w:tc>
        <w:tc>
          <w:tcPr>
            <w:tcW w:w="1300" w:type="dxa"/>
            <w:noWrap/>
            <w:hideMark/>
          </w:tcPr>
          <w:p w14:paraId="04EBE3E6"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2017</w:t>
            </w:r>
          </w:p>
        </w:tc>
        <w:tc>
          <w:tcPr>
            <w:tcW w:w="1143" w:type="dxa"/>
            <w:noWrap/>
            <w:hideMark/>
          </w:tcPr>
          <w:p w14:paraId="6892B36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0.97</w:t>
            </w:r>
          </w:p>
        </w:tc>
        <w:tc>
          <w:tcPr>
            <w:tcW w:w="1557" w:type="dxa"/>
            <w:noWrap/>
            <w:hideMark/>
          </w:tcPr>
          <w:p w14:paraId="5EF9C09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0.04</w:t>
            </w:r>
          </w:p>
        </w:tc>
        <w:tc>
          <w:tcPr>
            <w:tcW w:w="1166" w:type="dxa"/>
            <w:noWrap/>
            <w:hideMark/>
          </w:tcPr>
          <w:p w14:paraId="2E5DA3C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17.62</w:t>
            </w:r>
          </w:p>
        </w:tc>
        <w:tc>
          <w:tcPr>
            <w:tcW w:w="1034" w:type="dxa"/>
            <w:noWrap/>
            <w:hideMark/>
          </w:tcPr>
          <w:p w14:paraId="596154C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E5090">
              <w:rPr>
                <w:rFonts w:ascii="Calibri" w:hAnsi="Calibri"/>
                <w:color w:val="000000"/>
              </w:rPr>
              <w:t>0.76</w:t>
            </w:r>
          </w:p>
        </w:tc>
      </w:tr>
      <w:tr w:rsidR="003C5CC7" w:rsidRPr="00AE5090" w14:paraId="5915EF48"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23678B5" w14:textId="77777777" w:rsidR="003C5CC7" w:rsidRPr="00AE5090" w:rsidRDefault="003C5CC7" w:rsidP="00D43AA5">
            <w:pPr>
              <w:rPr>
                <w:color w:val="000000"/>
              </w:rPr>
            </w:pPr>
          </w:p>
        </w:tc>
        <w:tc>
          <w:tcPr>
            <w:tcW w:w="1300" w:type="dxa"/>
            <w:noWrap/>
            <w:hideMark/>
          </w:tcPr>
          <w:p w14:paraId="1EC17EDD"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rPr>
            </w:pPr>
            <w:r w:rsidRPr="00AE5090">
              <w:rPr>
                <w:color w:val="000000"/>
              </w:rPr>
              <w:t>2018</w:t>
            </w:r>
          </w:p>
        </w:tc>
        <w:tc>
          <w:tcPr>
            <w:tcW w:w="1143" w:type="dxa"/>
            <w:noWrap/>
            <w:hideMark/>
          </w:tcPr>
          <w:p w14:paraId="002CA63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0.96</w:t>
            </w:r>
          </w:p>
        </w:tc>
        <w:tc>
          <w:tcPr>
            <w:tcW w:w="1557" w:type="dxa"/>
            <w:noWrap/>
            <w:hideMark/>
          </w:tcPr>
          <w:p w14:paraId="4BF1AC8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0.04</w:t>
            </w:r>
          </w:p>
        </w:tc>
        <w:tc>
          <w:tcPr>
            <w:tcW w:w="1166" w:type="dxa"/>
            <w:noWrap/>
            <w:hideMark/>
          </w:tcPr>
          <w:p w14:paraId="117580E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17.60</w:t>
            </w:r>
          </w:p>
        </w:tc>
        <w:tc>
          <w:tcPr>
            <w:tcW w:w="1034" w:type="dxa"/>
            <w:noWrap/>
            <w:hideMark/>
          </w:tcPr>
          <w:p w14:paraId="63DE0FE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E5090">
              <w:rPr>
                <w:rFonts w:ascii="Calibri" w:hAnsi="Calibri"/>
                <w:color w:val="000000"/>
              </w:rPr>
              <w:t>0.77</w:t>
            </w:r>
          </w:p>
        </w:tc>
      </w:tr>
      <w:tr w:rsidR="003C5CC7" w:rsidRPr="00AE5090" w14:paraId="0F4D432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00" w:type="dxa"/>
            <w:vMerge/>
            <w:hideMark/>
          </w:tcPr>
          <w:p w14:paraId="3989847C" w14:textId="77777777" w:rsidR="003C5CC7" w:rsidRPr="00AE5090" w:rsidRDefault="003C5CC7" w:rsidP="00D43AA5">
            <w:pPr>
              <w:rPr>
                <w:color w:val="000000"/>
              </w:rPr>
            </w:pPr>
          </w:p>
        </w:tc>
        <w:tc>
          <w:tcPr>
            <w:tcW w:w="1300" w:type="dxa"/>
            <w:noWrap/>
            <w:hideMark/>
          </w:tcPr>
          <w:p w14:paraId="6BAC4F07"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Average</w:t>
            </w:r>
          </w:p>
        </w:tc>
        <w:tc>
          <w:tcPr>
            <w:tcW w:w="1143" w:type="dxa"/>
            <w:noWrap/>
            <w:hideMark/>
          </w:tcPr>
          <w:p w14:paraId="4C60B26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0.97</w:t>
            </w:r>
          </w:p>
        </w:tc>
        <w:tc>
          <w:tcPr>
            <w:tcW w:w="1557" w:type="dxa"/>
            <w:noWrap/>
            <w:hideMark/>
          </w:tcPr>
          <w:p w14:paraId="34A92B2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0.04</w:t>
            </w:r>
          </w:p>
        </w:tc>
        <w:tc>
          <w:tcPr>
            <w:tcW w:w="1166" w:type="dxa"/>
            <w:noWrap/>
            <w:hideMark/>
          </w:tcPr>
          <w:p w14:paraId="58E95C2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17.68</w:t>
            </w:r>
          </w:p>
        </w:tc>
        <w:tc>
          <w:tcPr>
            <w:tcW w:w="1034" w:type="dxa"/>
            <w:noWrap/>
            <w:hideMark/>
          </w:tcPr>
          <w:p w14:paraId="0B81D82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rPr>
            </w:pPr>
            <w:r w:rsidRPr="00AE5090">
              <w:rPr>
                <w:color w:val="000000"/>
              </w:rPr>
              <w:t>0.77</w:t>
            </w:r>
          </w:p>
        </w:tc>
      </w:tr>
    </w:tbl>
    <w:p w14:paraId="22160EDB" w14:textId="77777777" w:rsidR="003C5CC7" w:rsidRPr="00AE5090" w:rsidRDefault="003C5CC7" w:rsidP="003C5CC7"/>
    <w:p w14:paraId="2DA8157D" w14:textId="16F27F1D" w:rsidR="003C5CC7" w:rsidRPr="0000782B" w:rsidRDefault="0000782B" w:rsidP="0000782B">
      <w:pPr>
        <w:spacing w:line="360" w:lineRule="auto"/>
        <w:jc w:val="both"/>
        <w:rPr>
          <w:rFonts w:ascii="Arial" w:hAnsi="Arial" w:cs="Arial"/>
          <w:b/>
          <w:bCs/>
        </w:rPr>
      </w:pPr>
      <w:r>
        <w:rPr>
          <w:rFonts w:ascii="Arial" w:hAnsi="Arial" w:cs="Arial"/>
          <w:b/>
          <w:bCs/>
        </w:rPr>
        <w:t>2. Islamic Banks</w:t>
      </w:r>
    </w:p>
    <w:p w14:paraId="244D3893" w14:textId="77777777" w:rsidR="003C5CC7" w:rsidRDefault="003C5CC7" w:rsidP="003C5CC7"/>
    <w:tbl>
      <w:tblPr>
        <w:tblStyle w:val="PlainTable5"/>
        <w:tblW w:w="9283" w:type="dxa"/>
        <w:tblLook w:val="04A0" w:firstRow="1" w:lastRow="0" w:firstColumn="1" w:lastColumn="0" w:noHBand="0" w:noVBand="1"/>
      </w:tblPr>
      <w:tblGrid>
        <w:gridCol w:w="2801"/>
        <w:gridCol w:w="1029"/>
        <w:gridCol w:w="1423"/>
        <w:gridCol w:w="1536"/>
        <w:gridCol w:w="1245"/>
        <w:gridCol w:w="1249"/>
      </w:tblGrid>
      <w:tr w:rsidR="003C5CC7" w:rsidRPr="00AE5090" w14:paraId="09AB6D77" w14:textId="77777777" w:rsidTr="00D43AA5">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2801" w:type="dxa"/>
            <w:noWrap/>
            <w:hideMark/>
          </w:tcPr>
          <w:p w14:paraId="418022EA" w14:textId="77777777" w:rsidR="003C5CC7" w:rsidRPr="00AE5090" w:rsidRDefault="003C5CC7" w:rsidP="00D43AA5">
            <w:pPr>
              <w:jc w:val="center"/>
              <w:rPr>
                <w:b/>
                <w:bCs/>
                <w:i w:val="0"/>
                <w:iCs w:val="0"/>
                <w:color w:val="000000"/>
                <w:sz w:val="24"/>
                <w:szCs w:val="22"/>
              </w:rPr>
            </w:pPr>
            <w:r w:rsidRPr="00AE5090">
              <w:rPr>
                <w:b/>
                <w:bCs/>
                <w:i w:val="0"/>
                <w:iCs w:val="0"/>
                <w:color w:val="000000"/>
                <w:sz w:val="24"/>
                <w:szCs w:val="22"/>
              </w:rPr>
              <w:t>Banks</w:t>
            </w:r>
          </w:p>
        </w:tc>
        <w:tc>
          <w:tcPr>
            <w:tcW w:w="1029" w:type="dxa"/>
            <w:noWrap/>
            <w:hideMark/>
          </w:tcPr>
          <w:p w14:paraId="6BC837BB" w14:textId="77777777" w:rsidR="003C5CC7" w:rsidRPr="00AE5090" w:rsidRDefault="003C5CC7" w:rsidP="00D43AA5">
            <w:pPr>
              <w:cnfStyle w:val="100000000000" w:firstRow="1" w:lastRow="0" w:firstColumn="0" w:lastColumn="0" w:oddVBand="0" w:evenVBand="0" w:oddHBand="0" w:evenHBand="0" w:firstRowFirstColumn="0" w:firstRowLastColumn="0" w:lastRowFirstColumn="0" w:lastRowLastColumn="0"/>
              <w:rPr>
                <w:b/>
                <w:bCs/>
                <w:i w:val="0"/>
                <w:iCs w:val="0"/>
                <w:color w:val="000000"/>
                <w:sz w:val="24"/>
                <w:szCs w:val="22"/>
              </w:rPr>
            </w:pPr>
            <w:r w:rsidRPr="00AE5090">
              <w:rPr>
                <w:b/>
                <w:bCs/>
                <w:i w:val="0"/>
                <w:iCs w:val="0"/>
                <w:color w:val="000000"/>
                <w:sz w:val="24"/>
                <w:szCs w:val="22"/>
              </w:rPr>
              <w:t>Years</w:t>
            </w:r>
          </w:p>
        </w:tc>
        <w:tc>
          <w:tcPr>
            <w:tcW w:w="5453" w:type="dxa"/>
            <w:gridSpan w:val="4"/>
            <w:noWrap/>
            <w:hideMark/>
          </w:tcPr>
          <w:p w14:paraId="7B0F0122" w14:textId="77777777" w:rsidR="003C5CC7" w:rsidRPr="00AE5090" w:rsidRDefault="003C5CC7" w:rsidP="00D43AA5">
            <w:pPr>
              <w:jc w:val="center"/>
              <w:cnfStyle w:val="100000000000" w:firstRow="1" w:lastRow="0" w:firstColumn="0" w:lastColumn="0" w:oddVBand="0" w:evenVBand="0" w:oddHBand="0" w:evenHBand="0" w:firstRowFirstColumn="0" w:firstRowLastColumn="0" w:lastRowFirstColumn="0" w:lastRowLastColumn="0"/>
              <w:rPr>
                <w:b/>
                <w:bCs/>
                <w:i w:val="0"/>
                <w:iCs w:val="0"/>
                <w:color w:val="000000"/>
                <w:sz w:val="24"/>
                <w:szCs w:val="22"/>
              </w:rPr>
            </w:pPr>
            <w:r w:rsidRPr="00AE5090">
              <w:rPr>
                <w:b/>
                <w:bCs/>
                <w:i w:val="0"/>
                <w:iCs w:val="0"/>
                <w:color w:val="000000"/>
                <w:sz w:val="24"/>
                <w:szCs w:val="22"/>
              </w:rPr>
              <w:t>Measurement</w:t>
            </w:r>
          </w:p>
        </w:tc>
      </w:tr>
      <w:tr w:rsidR="003C5CC7" w:rsidRPr="00AE5090" w14:paraId="670BD7B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noWrap/>
            <w:hideMark/>
          </w:tcPr>
          <w:p w14:paraId="1093284E"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787DE30B"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 </w:t>
            </w:r>
          </w:p>
        </w:tc>
        <w:tc>
          <w:tcPr>
            <w:tcW w:w="1423" w:type="dxa"/>
            <w:noWrap/>
            <w:hideMark/>
          </w:tcPr>
          <w:p w14:paraId="107C0B5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r w:rsidRPr="00AE5090">
              <w:rPr>
                <w:b/>
                <w:bCs/>
                <w:color w:val="000000"/>
                <w:szCs w:val="22"/>
              </w:rPr>
              <w:t>Liquidity</w:t>
            </w:r>
          </w:p>
        </w:tc>
        <w:tc>
          <w:tcPr>
            <w:tcW w:w="1536" w:type="dxa"/>
            <w:noWrap/>
            <w:hideMark/>
          </w:tcPr>
          <w:p w14:paraId="01CCDE0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proofErr w:type="spellStart"/>
            <w:r w:rsidRPr="00AE5090">
              <w:rPr>
                <w:b/>
                <w:bCs/>
                <w:color w:val="000000"/>
                <w:szCs w:val="22"/>
              </w:rPr>
              <w:t>Profitiability</w:t>
            </w:r>
            <w:proofErr w:type="spellEnd"/>
          </w:p>
        </w:tc>
        <w:tc>
          <w:tcPr>
            <w:tcW w:w="1245" w:type="dxa"/>
            <w:noWrap/>
            <w:hideMark/>
          </w:tcPr>
          <w:p w14:paraId="2B6F8ED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r w:rsidRPr="00AE5090">
              <w:rPr>
                <w:b/>
                <w:bCs/>
                <w:color w:val="000000"/>
                <w:szCs w:val="22"/>
              </w:rPr>
              <w:t>Bank size</w:t>
            </w:r>
          </w:p>
        </w:tc>
        <w:tc>
          <w:tcPr>
            <w:tcW w:w="1249" w:type="dxa"/>
            <w:noWrap/>
            <w:hideMark/>
          </w:tcPr>
          <w:p w14:paraId="71C67F3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b/>
                <w:bCs/>
                <w:color w:val="000000"/>
                <w:szCs w:val="22"/>
              </w:rPr>
            </w:pPr>
            <w:r w:rsidRPr="00AE5090">
              <w:rPr>
                <w:b/>
                <w:bCs/>
                <w:color w:val="000000"/>
                <w:szCs w:val="22"/>
              </w:rPr>
              <w:t>Deposits</w:t>
            </w:r>
          </w:p>
        </w:tc>
      </w:tr>
      <w:tr w:rsidR="003C5CC7" w:rsidRPr="00AE5090" w14:paraId="23C30C0D"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4C5F8D3A" w14:textId="77777777" w:rsidR="003C5CC7" w:rsidRPr="00AE5090" w:rsidRDefault="003C5CC7" w:rsidP="00D43AA5">
            <w:pPr>
              <w:rPr>
                <w:b/>
                <w:bCs/>
                <w:i w:val="0"/>
                <w:iCs w:val="0"/>
                <w:color w:val="000000"/>
                <w:sz w:val="24"/>
                <w:szCs w:val="22"/>
              </w:rPr>
            </w:pPr>
            <w:proofErr w:type="spellStart"/>
            <w:r w:rsidRPr="00AE5090">
              <w:rPr>
                <w:b/>
                <w:bCs/>
                <w:i w:val="0"/>
                <w:iCs w:val="0"/>
                <w:color w:val="000000"/>
                <w:sz w:val="24"/>
                <w:szCs w:val="22"/>
              </w:rPr>
              <w:t>Affin</w:t>
            </w:r>
            <w:proofErr w:type="spellEnd"/>
            <w:r w:rsidRPr="00AE5090">
              <w:rPr>
                <w:b/>
                <w:bCs/>
                <w:i w:val="0"/>
                <w:iCs w:val="0"/>
                <w:color w:val="000000"/>
                <w:sz w:val="24"/>
                <w:szCs w:val="22"/>
              </w:rPr>
              <w:t xml:space="preserve"> Islamic Bank berhad</w:t>
            </w:r>
          </w:p>
          <w:p w14:paraId="08B9CCAE"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5AEDE42F"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7357C905"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09C7BEE1"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4EF26D2B"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4552E3A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0.95</w:t>
            </w:r>
          </w:p>
        </w:tc>
        <w:tc>
          <w:tcPr>
            <w:tcW w:w="1536" w:type="dxa"/>
            <w:noWrap/>
            <w:hideMark/>
          </w:tcPr>
          <w:p w14:paraId="17F3B5F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7B987EB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16.36</w:t>
            </w:r>
          </w:p>
        </w:tc>
        <w:tc>
          <w:tcPr>
            <w:tcW w:w="1249" w:type="dxa"/>
            <w:noWrap/>
            <w:hideMark/>
          </w:tcPr>
          <w:p w14:paraId="24426FA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0.94</w:t>
            </w:r>
          </w:p>
        </w:tc>
      </w:tr>
      <w:tr w:rsidR="003C5CC7" w:rsidRPr="00AE5090" w14:paraId="28B9A8EA"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0CB21E26" w14:textId="77777777" w:rsidR="003C5CC7" w:rsidRPr="00AE5090" w:rsidRDefault="003C5CC7" w:rsidP="00D43AA5">
            <w:pPr>
              <w:rPr>
                <w:b/>
                <w:bCs/>
                <w:i w:val="0"/>
                <w:iCs w:val="0"/>
                <w:color w:val="000000"/>
                <w:sz w:val="24"/>
                <w:szCs w:val="22"/>
              </w:rPr>
            </w:pPr>
          </w:p>
        </w:tc>
        <w:tc>
          <w:tcPr>
            <w:tcW w:w="1029" w:type="dxa"/>
            <w:noWrap/>
            <w:hideMark/>
          </w:tcPr>
          <w:p w14:paraId="283B5FF6"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08DD372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0.95</w:t>
            </w:r>
          </w:p>
        </w:tc>
        <w:tc>
          <w:tcPr>
            <w:tcW w:w="1536" w:type="dxa"/>
            <w:noWrap/>
            <w:hideMark/>
          </w:tcPr>
          <w:p w14:paraId="2998FA3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6CC46BF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16.41</w:t>
            </w:r>
          </w:p>
        </w:tc>
        <w:tc>
          <w:tcPr>
            <w:tcW w:w="1249" w:type="dxa"/>
            <w:noWrap/>
            <w:hideMark/>
          </w:tcPr>
          <w:p w14:paraId="466EEE5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0.92</w:t>
            </w:r>
          </w:p>
        </w:tc>
      </w:tr>
      <w:tr w:rsidR="003C5CC7" w:rsidRPr="00AE5090" w14:paraId="59C6B442"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7591ECC6" w14:textId="77777777" w:rsidR="003C5CC7" w:rsidRPr="00AE5090" w:rsidRDefault="003C5CC7" w:rsidP="00D43AA5">
            <w:pPr>
              <w:rPr>
                <w:b/>
                <w:bCs/>
                <w:i w:val="0"/>
                <w:iCs w:val="0"/>
                <w:color w:val="000000"/>
                <w:sz w:val="24"/>
                <w:szCs w:val="22"/>
              </w:rPr>
            </w:pPr>
          </w:p>
        </w:tc>
        <w:tc>
          <w:tcPr>
            <w:tcW w:w="1029" w:type="dxa"/>
            <w:noWrap/>
            <w:hideMark/>
          </w:tcPr>
          <w:p w14:paraId="7A356AFA"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6E55ED2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7179015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4A3605C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16.54</w:t>
            </w:r>
          </w:p>
        </w:tc>
        <w:tc>
          <w:tcPr>
            <w:tcW w:w="1249" w:type="dxa"/>
            <w:noWrap/>
            <w:hideMark/>
          </w:tcPr>
          <w:p w14:paraId="1589928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0.77</w:t>
            </w:r>
          </w:p>
        </w:tc>
      </w:tr>
      <w:tr w:rsidR="003C5CC7" w:rsidRPr="00AE5090" w14:paraId="10AB3E5F"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36FE2DCE" w14:textId="77777777" w:rsidR="003C5CC7" w:rsidRPr="00AE5090" w:rsidRDefault="003C5CC7" w:rsidP="00D43AA5">
            <w:pPr>
              <w:rPr>
                <w:b/>
                <w:bCs/>
                <w:i w:val="0"/>
                <w:iCs w:val="0"/>
                <w:color w:val="000000"/>
                <w:sz w:val="24"/>
                <w:szCs w:val="22"/>
              </w:rPr>
            </w:pPr>
          </w:p>
        </w:tc>
        <w:tc>
          <w:tcPr>
            <w:tcW w:w="1029" w:type="dxa"/>
            <w:noWrap/>
            <w:hideMark/>
          </w:tcPr>
          <w:p w14:paraId="50300BE8"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5E45957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2E844D2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248F9C5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16.81</w:t>
            </w:r>
          </w:p>
        </w:tc>
        <w:tc>
          <w:tcPr>
            <w:tcW w:w="1249" w:type="dxa"/>
            <w:noWrap/>
            <w:hideMark/>
          </w:tcPr>
          <w:p w14:paraId="346E908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0.77</w:t>
            </w:r>
          </w:p>
        </w:tc>
      </w:tr>
      <w:tr w:rsidR="003C5CC7" w:rsidRPr="00AE5090" w14:paraId="09A7FF79"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14848640" w14:textId="77777777" w:rsidR="003C5CC7" w:rsidRPr="00AE5090" w:rsidRDefault="003C5CC7" w:rsidP="00D43AA5">
            <w:pPr>
              <w:rPr>
                <w:b/>
                <w:bCs/>
                <w:i w:val="0"/>
                <w:iCs w:val="0"/>
                <w:color w:val="000000"/>
                <w:sz w:val="24"/>
                <w:szCs w:val="22"/>
              </w:rPr>
            </w:pPr>
          </w:p>
        </w:tc>
        <w:tc>
          <w:tcPr>
            <w:tcW w:w="1029" w:type="dxa"/>
            <w:noWrap/>
            <w:hideMark/>
          </w:tcPr>
          <w:p w14:paraId="3B1F0085"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2F63BBC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20282D8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4067FC5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17.05</w:t>
            </w:r>
          </w:p>
        </w:tc>
        <w:tc>
          <w:tcPr>
            <w:tcW w:w="1249" w:type="dxa"/>
            <w:noWrap/>
            <w:hideMark/>
          </w:tcPr>
          <w:p w14:paraId="7047B2E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0.79</w:t>
            </w:r>
          </w:p>
        </w:tc>
      </w:tr>
      <w:tr w:rsidR="003C5CC7" w:rsidRPr="00AE5090" w14:paraId="3B6A101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noWrap/>
            <w:hideMark/>
          </w:tcPr>
          <w:p w14:paraId="0D0082A0"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679FFA68"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7F56502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2D4DE95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20FDB48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16.63</w:t>
            </w:r>
          </w:p>
        </w:tc>
        <w:tc>
          <w:tcPr>
            <w:tcW w:w="1249" w:type="dxa"/>
            <w:noWrap/>
            <w:hideMark/>
          </w:tcPr>
          <w:p w14:paraId="4002830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0.84</w:t>
            </w:r>
          </w:p>
        </w:tc>
      </w:tr>
      <w:tr w:rsidR="003C5CC7" w:rsidRPr="00AE5090" w14:paraId="6B587186"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6EF82D0D"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MBSB Bank Berhad</w:t>
            </w:r>
          </w:p>
          <w:p w14:paraId="41E53EBD"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12A4AB9C"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52583612"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1D1F256F"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4EEBE572"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4ACE234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0.99</w:t>
            </w:r>
          </w:p>
        </w:tc>
        <w:tc>
          <w:tcPr>
            <w:tcW w:w="1536" w:type="dxa"/>
            <w:noWrap/>
            <w:hideMark/>
          </w:tcPr>
          <w:p w14:paraId="612B2A1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0.04</w:t>
            </w:r>
          </w:p>
        </w:tc>
        <w:tc>
          <w:tcPr>
            <w:tcW w:w="1245" w:type="dxa"/>
            <w:noWrap/>
            <w:hideMark/>
          </w:tcPr>
          <w:p w14:paraId="4FFB688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17.44</w:t>
            </w:r>
          </w:p>
        </w:tc>
        <w:tc>
          <w:tcPr>
            <w:tcW w:w="1249" w:type="dxa"/>
            <w:noWrap/>
            <w:hideMark/>
          </w:tcPr>
          <w:p w14:paraId="7AE62CF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0.73</w:t>
            </w:r>
          </w:p>
        </w:tc>
      </w:tr>
      <w:tr w:rsidR="003C5CC7" w:rsidRPr="00AE5090" w14:paraId="52F1F77F"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3B080183" w14:textId="77777777" w:rsidR="003C5CC7" w:rsidRPr="00AE5090" w:rsidRDefault="003C5CC7" w:rsidP="00D43AA5">
            <w:pPr>
              <w:rPr>
                <w:b/>
                <w:bCs/>
                <w:i w:val="0"/>
                <w:iCs w:val="0"/>
                <w:color w:val="000000"/>
                <w:sz w:val="24"/>
                <w:szCs w:val="22"/>
              </w:rPr>
            </w:pPr>
          </w:p>
        </w:tc>
        <w:tc>
          <w:tcPr>
            <w:tcW w:w="1029" w:type="dxa"/>
            <w:noWrap/>
            <w:hideMark/>
          </w:tcPr>
          <w:p w14:paraId="3D2EE4B8"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4B09306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3A93874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48BAC70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17.53</w:t>
            </w:r>
          </w:p>
        </w:tc>
        <w:tc>
          <w:tcPr>
            <w:tcW w:w="1249" w:type="dxa"/>
            <w:noWrap/>
            <w:hideMark/>
          </w:tcPr>
          <w:p w14:paraId="40713B0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0.70</w:t>
            </w:r>
          </w:p>
        </w:tc>
      </w:tr>
      <w:tr w:rsidR="003C5CC7" w:rsidRPr="00AE5090" w14:paraId="6F73EBAA"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27B0A452" w14:textId="77777777" w:rsidR="003C5CC7" w:rsidRPr="00AE5090" w:rsidRDefault="003C5CC7" w:rsidP="00D43AA5">
            <w:pPr>
              <w:rPr>
                <w:b/>
                <w:bCs/>
                <w:i w:val="0"/>
                <w:iCs w:val="0"/>
                <w:color w:val="000000"/>
                <w:sz w:val="24"/>
                <w:szCs w:val="22"/>
              </w:rPr>
            </w:pPr>
          </w:p>
        </w:tc>
        <w:tc>
          <w:tcPr>
            <w:tcW w:w="1029" w:type="dxa"/>
            <w:noWrap/>
            <w:hideMark/>
          </w:tcPr>
          <w:p w14:paraId="3E9CA7D2"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1ADEE87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0.98</w:t>
            </w:r>
          </w:p>
        </w:tc>
        <w:tc>
          <w:tcPr>
            <w:tcW w:w="1536" w:type="dxa"/>
            <w:noWrap/>
            <w:hideMark/>
          </w:tcPr>
          <w:p w14:paraId="7488505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2C7F7EF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17.58</w:t>
            </w:r>
          </w:p>
        </w:tc>
        <w:tc>
          <w:tcPr>
            <w:tcW w:w="1249" w:type="dxa"/>
            <w:noWrap/>
            <w:hideMark/>
          </w:tcPr>
          <w:p w14:paraId="32367D5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0.71</w:t>
            </w:r>
          </w:p>
        </w:tc>
      </w:tr>
      <w:tr w:rsidR="003C5CC7" w:rsidRPr="00AE5090" w14:paraId="6781494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4D24D045" w14:textId="77777777" w:rsidR="003C5CC7" w:rsidRPr="00AE5090" w:rsidRDefault="003C5CC7" w:rsidP="00D43AA5">
            <w:pPr>
              <w:rPr>
                <w:b/>
                <w:bCs/>
                <w:i w:val="0"/>
                <w:iCs w:val="0"/>
                <w:color w:val="000000"/>
                <w:sz w:val="24"/>
                <w:szCs w:val="22"/>
              </w:rPr>
            </w:pPr>
          </w:p>
        </w:tc>
        <w:tc>
          <w:tcPr>
            <w:tcW w:w="1029" w:type="dxa"/>
            <w:noWrap/>
            <w:hideMark/>
          </w:tcPr>
          <w:p w14:paraId="1856B61E"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5195689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6BD9BAC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1ADF22F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17.62</w:t>
            </w:r>
          </w:p>
        </w:tc>
        <w:tc>
          <w:tcPr>
            <w:tcW w:w="1249" w:type="dxa"/>
            <w:noWrap/>
            <w:hideMark/>
          </w:tcPr>
          <w:p w14:paraId="7D4BFEF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0.73</w:t>
            </w:r>
          </w:p>
        </w:tc>
      </w:tr>
      <w:tr w:rsidR="003C5CC7" w:rsidRPr="00AE5090" w14:paraId="0CE96773"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65E448CF" w14:textId="77777777" w:rsidR="003C5CC7" w:rsidRPr="00AE5090" w:rsidRDefault="003C5CC7" w:rsidP="00D43AA5">
            <w:pPr>
              <w:rPr>
                <w:b/>
                <w:bCs/>
                <w:i w:val="0"/>
                <w:iCs w:val="0"/>
                <w:color w:val="000000"/>
                <w:sz w:val="24"/>
                <w:szCs w:val="22"/>
              </w:rPr>
            </w:pPr>
          </w:p>
        </w:tc>
        <w:tc>
          <w:tcPr>
            <w:tcW w:w="1029" w:type="dxa"/>
            <w:noWrap/>
            <w:hideMark/>
          </w:tcPr>
          <w:p w14:paraId="01CA1341"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4051673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0.94</w:t>
            </w:r>
          </w:p>
        </w:tc>
        <w:tc>
          <w:tcPr>
            <w:tcW w:w="1536" w:type="dxa"/>
            <w:noWrap/>
            <w:hideMark/>
          </w:tcPr>
          <w:p w14:paraId="0DF1E1E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137456D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17.63</w:t>
            </w:r>
          </w:p>
        </w:tc>
        <w:tc>
          <w:tcPr>
            <w:tcW w:w="1249" w:type="dxa"/>
            <w:noWrap/>
            <w:hideMark/>
          </w:tcPr>
          <w:p w14:paraId="7134AD4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0.72</w:t>
            </w:r>
          </w:p>
        </w:tc>
      </w:tr>
      <w:tr w:rsidR="003C5CC7" w:rsidRPr="00AE5090" w14:paraId="0161DAC1"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noWrap/>
            <w:hideMark/>
          </w:tcPr>
          <w:p w14:paraId="71325FA5"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348C37FA"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024C2F3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3FBB153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07298B1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17.56</w:t>
            </w:r>
          </w:p>
        </w:tc>
        <w:tc>
          <w:tcPr>
            <w:tcW w:w="1249" w:type="dxa"/>
            <w:noWrap/>
            <w:hideMark/>
          </w:tcPr>
          <w:p w14:paraId="5FCAC7D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0.72</w:t>
            </w:r>
          </w:p>
        </w:tc>
      </w:tr>
      <w:tr w:rsidR="003C5CC7" w:rsidRPr="00AE5090" w14:paraId="6AD7C6D1"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2211C873"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OCBC Al-Amin Bank Berhad</w:t>
            </w:r>
          </w:p>
          <w:p w14:paraId="1F43AF4F"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02A92C47"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2F144EF6"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3926072D" w14:textId="77777777" w:rsidR="003C5CC7" w:rsidRPr="00AE5090" w:rsidRDefault="003C5CC7" w:rsidP="00D43AA5">
            <w:pPr>
              <w:rPr>
                <w:b/>
                <w:bCs/>
                <w:color w:val="000000"/>
                <w:szCs w:val="22"/>
              </w:rPr>
            </w:pPr>
            <w:r w:rsidRPr="00AE5090">
              <w:rPr>
                <w:b/>
                <w:bCs/>
                <w:i w:val="0"/>
                <w:iCs w:val="0"/>
                <w:color w:val="000000"/>
                <w:sz w:val="24"/>
                <w:szCs w:val="22"/>
              </w:rPr>
              <w:t> </w:t>
            </w:r>
          </w:p>
          <w:p w14:paraId="02EE2D58"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064E38A1"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01DF19B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66E92AF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1A219BC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16.43</w:t>
            </w:r>
          </w:p>
        </w:tc>
        <w:tc>
          <w:tcPr>
            <w:tcW w:w="1249" w:type="dxa"/>
            <w:noWrap/>
            <w:hideMark/>
          </w:tcPr>
          <w:p w14:paraId="1662E42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0.92</w:t>
            </w:r>
          </w:p>
        </w:tc>
      </w:tr>
      <w:tr w:rsidR="003C5CC7" w:rsidRPr="00AE5090" w14:paraId="5389E86C"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72F33C87" w14:textId="77777777" w:rsidR="003C5CC7" w:rsidRPr="00AE5090" w:rsidRDefault="003C5CC7" w:rsidP="00D43AA5">
            <w:pPr>
              <w:rPr>
                <w:b/>
                <w:bCs/>
                <w:i w:val="0"/>
                <w:iCs w:val="0"/>
                <w:color w:val="000000"/>
                <w:sz w:val="24"/>
                <w:szCs w:val="22"/>
              </w:rPr>
            </w:pPr>
          </w:p>
        </w:tc>
        <w:tc>
          <w:tcPr>
            <w:tcW w:w="1029" w:type="dxa"/>
            <w:noWrap/>
            <w:hideMark/>
          </w:tcPr>
          <w:p w14:paraId="786609F1"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7D9848F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5634845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37C628F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16.50</w:t>
            </w:r>
          </w:p>
        </w:tc>
        <w:tc>
          <w:tcPr>
            <w:tcW w:w="1249" w:type="dxa"/>
            <w:noWrap/>
            <w:hideMark/>
          </w:tcPr>
          <w:p w14:paraId="481E756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0.91</w:t>
            </w:r>
          </w:p>
        </w:tc>
      </w:tr>
      <w:tr w:rsidR="003C5CC7" w:rsidRPr="00AE5090" w14:paraId="07D013F6"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6CA65D6F" w14:textId="77777777" w:rsidR="003C5CC7" w:rsidRPr="00AE5090" w:rsidRDefault="003C5CC7" w:rsidP="00D43AA5">
            <w:pPr>
              <w:rPr>
                <w:b/>
                <w:bCs/>
                <w:i w:val="0"/>
                <w:iCs w:val="0"/>
                <w:color w:val="000000"/>
                <w:sz w:val="24"/>
                <w:szCs w:val="22"/>
              </w:rPr>
            </w:pPr>
          </w:p>
        </w:tc>
        <w:tc>
          <w:tcPr>
            <w:tcW w:w="1029" w:type="dxa"/>
            <w:noWrap/>
            <w:hideMark/>
          </w:tcPr>
          <w:p w14:paraId="455B623C"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5DD47BD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3B9F3A4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668C5DF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16.54</w:t>
            </w:r>
          </w:p>
        </w:tc>
        <w:tc>
          <w:tcPr>
            <w:tcW w:w="1249" w:type="dxa"/>
            <w:noWrap/>
            <w:hideMark/>
          </w:tcPr>
          <w:p w14:paraId="31FE675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0.81</w:t>
            </w:r>
          </w:p>
        </w:tc>
      </w:tr>
      <w:tr w:rsidR="003C5CC7" w:rsidRPr="00AE5090" w14:paraId="578F5C0F"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549A682F" w14:textId="77777777" w:rsidR="003C5CC7" w:rsidRPr="00AE5090" w:rsidRDefault="003C5CC7" w:rsidP="00D43AA5">
            <w:pPr>
              <w:rPr>
                <w:b/>
                <w:bCs/>
                <w:i w:val="0"/>
                <w:iCs w:val="0"/>
                <w:color w:val="000000"/>
                <w:sz w:val="24"/>
                <w:szCs w:val="22"/>
              </w:rPr>
            </w:pPr>
          </w:p>
        </w:tc>
        <w:tc>
          <w:tcPr>
            <w:tcW w:w="1029" w:type="dxa"/>
            <w:noWrap/>
            <w:hideMark/>
          </w:tcPr>
          <w:p w14:paraId="429BA62B"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6842AA5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608CD87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165839E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16.58</w:t>
            </w:r>
          </w:p>
        </w:tc>
        <w:tc>
          <w:tcPr>
            <w:tcW w:w="1249" w:type="dxa"/>
            <w:noWrap/>
            <w:hideMark/>
          </w:tcPr>
          <w:p w14:paraId="51B2E88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0.77</w:t>
            </w:r>
          </w:p>
        </w:tc>
      </w:tr>
      <w:tr w:rsidR="003C5CC7" w:rsidRPr="00AE5090" w14:paraId="2FB01BCB"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31CB7D32" w14:textId="77777777" w:rsidR="003C5CC7" w:rsidRPr="00AE5090" w:rsidRDefault="003C5CC7" w:rsidP="00D43AA5">
            <w:pPr>
              <w:rPr>
                <w:b/>
                <w:bCs/>
                <w:i w:val="0"/>
                <w:iCs w:val="0"/>
                <w:color w:val="000000"/>
                <w:sz w:val="24"/>
                <w:szCs w:val="22"/>
              </w:rPr>
            </w:pPr>
          </w:p>
        </w:tc>
        <w:tc>
          <w:tcPr>
            <w:tcW w:w="1029" w:type="dxa"/>
            <w:noWrap/>
            <w:hideMark/>
          </w:tcPr>
          <w:p w14:paraId="668EC785"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0E8929C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3F14D02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1C820A4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16.59</w:t>
            </w:r>
          </w:p>
        </w:tc>
        <w:tc>
          <w:tcPr>
            <w:tcW w:w="1249" w:type="dxa"/>
            <w:noWrap/>
            <w:hideMark/>
          </w:tcPr>
          <w:p w14:paraId="43D0789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0.80</w:t>
            </w:r>
          </w:p>
        </w:tc>
      </w:tr>
      <w:tr w:rsidR="003C5CC7" w:rsidRPr="00AE5090" w14:paraId="0A53DE19"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1226FEC9" w14:textId="77777777" w:rsidR="003C5CC7" w:rsidRPr="00AE5090" w:rsidRDefault="003C5CC7" w:rsidP="00D43AA5">
            <w:pPr>
              <w:rPr>
                <w:b/>
                <w:bCs/>
                <w:i w:val="0"/>
                <w:iCs w:val="0"/>
                <w:color w:val="000000"/>
                <w:sz w:val="24"/>
                <w:szCs w:val="22"/>
              </w:rPr>
            </w:pPr>
          </w:p>
        </w:tc>
        <w:tc>
          <w:tcPr>
            <w:tcW w:w="1029" w:type="dxa"/>
            <w:noWrap/>
            <w:hideMark/>
          </w:tcPr>
          <w:p w14:paraId="7D0915CB"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6096167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78E8A7A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1075668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16.53</w:t>
            </w:r>
          </w:p>
        </w:tc>
        <w:tc>
          <w:tcPr>
            <w:tcW w:w="1249" w:type="dxa"/>
            <w:noWrap/>
            <w:hideMark/>
          </w:tcPr>
          <w:p w14:paraId="02EAF20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0.84</w:t>
            </w:r>
          </w:p>
        </w:tc>
      </w:tr>
      <w:tr w:rsidR="003C5CC7" w:rsidRPr="00AE5090" w14:paraId="6D7AE48A"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4E7C199C"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Bank Islam Malaysia Berhad</w:t>
            </w:r>
          </w:p>
          <w:p w14:paraId="09EF4CCF"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3C624EE8" w14:textId="77777777" w:rsidR="003C5CC7" w:rsidRPr="00AE5090" w:rsidRDefault="003C5CC7" w:rsidP="00D43AA5">
            <w:pPr>
              <w:rPr>
                <w:b/>
                <w:bCs/>
                <w:i w:val="0"/>
                <w:iCs w:val="0"/>
                <w:color w:val="000000"/>
                <w:sz w:val="24"/>
                <w:szCs w:val="22"/>
              </w:rPr>
            </w:pPr>
            <w:r w:rsidRPr="00AE5090">
              <w:rPr>
                <w:b/>
                <w:bCs/>
                <w:i w:val="0"/>
                <w:iCs w:val="0"/>
                <w:color w:val="000000"/>
                <w:sz w:val="24"/>
                <w:szCs w:val="22"/>
              </w:rPr>
              <w:lastRenderedPageBreak/>
              <w:t> </w:t>
            </w:r>
          </w:p>
          <w:p w14:paraId="2279EC7B"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3A71E820" w14:textId="77777777" w:rsidR="003C5CC7" w:rsidRPr="00AE5090" w:rsidRDefault="003C5CC7" w:rsidP="00D43AA5">
            <w:pPr>
              <w:rPr>
                <w:b/>
                <w:bCs/>
                <w:color w:val="000000"/>
                <w:szCs w:val="22"/>
              </w:rPr>
            </w:pPr>
            <w:r w:rsidRPr="00AE5090">
              <w:rPr>
                <w:b/>
                <w:bCs/>
                <w:i w:val="0"/>
                <w:iCs w:val="0"/>
                <w:color w:val="000000"/>
                <w:sz w:val="24"/>
                <w:szCs w:val="22"/>
              </w:rPr>
              <w:t> </w:t>
            </w:r>
          </w:p>
          <w:p w14:paraId="3EE2EB5E"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226C4387"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lastRenderedPageBreak/>
              <w:t>2014</w:t>
            </w:r>
          </w:p>
        </w:tc>
        <w:tc>
          <w:tcPr>
            <w:tcW w:w="1423" w:type="dxa"/>
            <w:noWrap/>
            <w:hideMark/>
          </w:tcPr>
          <w:p w14:paraId="2E67455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4ADD113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1DEB7F8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17.64</w:t>
            </w:r>
          </w:p>
        </w:tc>
        <w:tc>
          <w:tcPr>
            <w:tcW w:w="1249" w:type="dxa"/>
            <w:noWrap/>
            <w:hideMark/>
          </w:tcPr>
          <w:p w14:paraId="6E87DEC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0.90</w:t>
            </w:r>
          </w:p>
        </w:tc>
      </w:tr>
      <w:tr w:rsidR="003C5CC7" w:rsidRPr="00AE5090" w14:paraId="36B8B8E4"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1E9E7766" w14:textId="77777777" w:rsidR="003C5CC7" w:rsidRPr="00AE5090" w:rsidRDefault="003C5CC7" w:rsidP="00D43AA5">
            <w:pPr>
              <w:rPr>
                <w:b/>
                <w:bCs/>
                <w:i w:val="0"/>
                <w:iCs w:val="0"/>
                <w:color w:val="000000"/>
                <w:sz w:val="24"/>
                <w:szCs w:val="22"/>
              </w:rPr>
            </w:pPr>
          </w:p>
        </w:tc>
        <w:tc>
          <w:tcPr>
            <w:tcW w:w="1029" w:type="dxa"/>
            <w:noWrap/>
            <w:hideMark/>
          </w:tcPr>
          <w:p w14:paraId="405741DF"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6E86DC3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46BBA39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277ECD5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17.72</w:t>
            </w:r>
          </w:p>
        </w:tc>
        <w:tc>
          <w:tcPr>
            <w:tcW w:w="1249" w:type="dxa"/>
            <w:noWrap/>
            <w:hideMark/>
          </w:tcPr>
          <w:p w14:paraId="4697558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0.88</w:t>
            </w:r>
          </w:p>
        </w:tc>
      </w:tr>
      <w:tr w:rsidR="003C5CC7" w:rsidRPr="00AE5090" w14:paraId="6225568A"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6799DA0B" w14:textId="77777777" w:rsidR="003C5CC7" w:rsidRPr="00AE5090" w:rsidRDefault="003C5CC7" w:rsidP="00D43AA5">
            <w:pPr>
              <w:rPr>
                <w:b/>
                <w:bCs/>
                <w:i w:val="0"/>
                <w:iCs w:val="0"/>
                <w:color w:val="000000"/>
                <w:sz w:val="24"/>
                <w:szCs w:val="22"/>
              </w:rPr>
            </w:pPr>
          </w:p>
        </w:tc>
        <w:tc>
          <w:tcPr>
            <w:tcW w:w="1029" w:type="dxa"/>
            <w:noWrap/>
            <w:hideMark/>
          </w:tcPr>
          <w:p w14:paraId="144EC253"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2C8193F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02162BD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279CD16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17.84</w:t>
            </w:r>
          </w:p>
        </w:tc>
        <w:tc>
          <w:tcPr>
            <w:tcW w:w="1249" w:type="dxa"/>
            <w:noWrap/>
            <w:hideMark/>
          </w:tcPr>
          <w:p w14:paraId="4619AD9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0.83</w:t>
            </w:r>
          </w:p>
        </w:tc>
      </w:tr>
      <w:tr w:rsidR="003C5CC7" w:rsidRPr="00AE5090" w14:paraId="6B27A42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4D75E06C" w14:textId="77777777" w:rsidR="003C5CC7" w:rsidRPr="00AE5090" w:rsidRDefault="003C5CC7" w:rsidP="00D43AA5">
            <w:pPr>
              <w:rPr>
                <w:b/>
                <w:bCs/>
                <w:i w:val="0"/>
                <w:iCs w:val="0"/>
                <w:color w:val="000000"/>
                <w:sz w:val="24"/>
                <w:szCs w:val="22"/>
              </w:rPr>
            </w:pPr>
          </w:p>
        </w:tc>
        <w:tc>
          <w:tcPr>
            <w:tcW w:w="1029" w:type="dxa"/>
            <w:noWrap/>
            <w:hideMark/>
          </w:tcPr>
          <w:p w14:paraId="3E2F657A"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3B54D5C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409A390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778B173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17.87</w:t>
            </w:r>
          </w:p>
        </w:tc>
        <w:tc>
          <w:tcPr>
            <w:tcW w:w="1249" w:type="dxa"/>
            <w:noWrap/>
            <w:hideMark/>
          </w:tcPr>
          <w:p w14:paraId="2E075A8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0.80</w:t>
            </w:r>
          </w:p>
        </w:tc>
      </w:tr>
      <w:tr w:rsidR="003C5CC7" w:rsidRPr="00AE5090" w14:paraId="4E80BB7C"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6AD1938E" w14:textId="77777777" w:rsidR="003C5CC7" w:rsidRPr="00AE5090" w:rsidRDefault="003C5CC7" w:rsidP="00D43AA5">
            <w:pPr>
              <w:rPr>
                <w:b/>
                <w:bCs/>
                <w:i w:val="0"/>
                <w:iCs w:val="0"/>
                <w:color w:val="000000"/>
                <w:sz w:val="24"/>
                <w:szCs w:val="22"/>
              </w:rPr>
            </w:pPr>
          </w:p>
        </w:tc>
        <w:tc>
          <w:tcPr>
            <w:tcW w:w="1029" w:type="dxa"/>
            <w:noWrap/>
            <w:hideMark/>
          </w:tcPr>
          <w:p w14:paraId="0516A6B3"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5105DB1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68B31F2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3ABF098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17.97</w:t>
            </w:r>
          </w:p>
        </w:tc>
        <w:tc>
          <w:tcPr>
            <w:tcW w:w="1249" w:type="dxa"/>
            <w:noWrap/>
            <w:hideMark/>
          </w:tcPr>
          <w:p w14:paraId="4DDDBBF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0.78</w:t>
            </w:r>
          </w:p>
        </w:tc>
      </w:tr>
      <w:tr w:rsidR="003C5CC7" w:rsidRPr="00AE5090" w14:paraId="5E1E7936"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3BA56C33" w14:textId="77777777" w:rsidR="003C5CC7" w:rsidRPr="00AE5090" w:rsidRDefault="003C5CC7" w:rsidP="00D43AA5">
            <w:pPr>
              <w:rPr>
                <w:b/>
                <w:bCs/>
                <w:i w:val="0"/>
                <w:iCs w:val="0"/>
                <w:color w:val="000000"/>
                <w:sz w:val="24"/>
                <w:szCs w:val="22"/>
              </w:rPr>
            </w:pPr>
          </w:p>
        </w:tc>
        <w:tc>
          <w:tcPr>
            <w:tcW w:w="1029" w:type="dxa"/>
            <w:noWrap/>
            <w:hideMark/>
          </w:tcPr>
          <w:p w14:paraId="5434A66F"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02E1DC3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2DCA3FC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42FCF98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17.81</w:t>
            </w:r>
          </w:p>
        </w:tc>
        <w:tc>
          <w:tcPr>
            <w:tcW w:w="1249" w:type="dxa"/>
            <w:noWrap/>
            <w:hideMark/>
          </w:tcPr>
          <w:p w14:paraId="7DFC964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0.84</w:t>
            </w:r>
          </w:p>
        </w:tc>
      </w:tr>
      <w:tr w:rsidR="003C5CC7" w:rsidRPr="00AE5090" w14:paraId="30A514DF"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521CEED9"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Bank Muamalat Malaysia Berhad</w:t>
            </w:r>
          </w:p>
          <w:p w14:paraId="3B03D9B1"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1DC3337E"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649B3A98" w14:textId="77777777" w:rsidR="003C5CC7" w:rsidRPr="00AE5090" w:rsidRDefault="003C5CC7" w:rsidP="00D43AA5">
            <w:pPr>
              <w:rPr>
                <w:b/>
                <w:bCs/>
                <w:color w:val="000000"/>
                <w:szCs w:val="22"/>
              </w:rPr>
            </w:pPr>
            <w:r w:rsidRPr="00AE5090">
              <w:rPr>
                <w:b/>
                <w:bCs/>
                <w:i w:val="0"/>
                <w:iCs w:val="0"/>
                <w:color w:val="000000"/>
                <w:sz w:val="24"/>
                <w:szCs w:val="22"/>
              </w:rPr>
              <w:t> </w:t>
            </w:r>
          </w:p>
          <w:p w14:paraId="3223C08C" w14:textId="77777777" w:rsidR="003C5CC7" w:rsidRPr="00AE5090" w:rsidRDefault="003C5CC7" w:rsidP="00D43AA5">
            <w:pPr>
              <w:rPr>
                <w:b/>
                <w:bCs/>
                <w:color w:val="000000"/>
                <w:szCs w:val="22"/>
              </w:rPr>
            </w:pPr>
            <w:r w:rsidRPr="00AE5090">
              <w:rPr>
                <w:b/>
                <w:bCs/>
                <w:i w:val="0"/>
                <w:iCs w:val="0"/>
                <w:color w:val="000000"/>
                <w:sz w:val="24"/>
                <w:szCs w:val="22"/>
              </w:rPr>
              <w:t> </w:t>
            </w:r>
          </w:p>
          <w:p w14:paraId="209E80D8"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7BC1AAF8"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4FC8D76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66FBF55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6B00C90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16.81</w:t>
            </w:r>
          </w:p>
        </w:tc>
        <w:tc>
          <w:tcPr>
            <w:tcW w:w="1249" w:type="dxa"/>
            <w:noWrap/>
            <w:hideMark/>
          </w:tcPr>
          <w:p w14:paraId="182DD08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0.88</w:t>
            </w:r>
          </w:p>
        </w:tc>
      </w:tr>
      <w:tr w:rsidR="003C5CC7" w:rsidRPr="00AE5090" w14:paraId="7B017593"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481E7C56" w14:textId="77777777" w:rsidR="003C5CC7" w:rsidRPr="00AE5090" w:rsidRDefault="003C5CC7" w:rsidP="00D43AA5">
            <w:pPr>
              <w:rPr>
                <w:b/>
                <w:bCs/>
                <w:i w:val="0"/>
                <w:iCs w:val="0"/>
                <w:color w:val="000000"/>
                <w:sz w:val="24"/>
                <w:szCs w:val="22"/>
              </w:rPr>
            </w:pPr>
          </w:p>
        </w:tc>
        <w:tc>
          <w:tcPr>
            <w:tcW w:w="1029" w:type="dxa"/>
            <w:noWrap/>
            <w:hideMark/>
          </w:tcPr>
          <w:p w14:paraId="5494DA77"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6D8DDE4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0.95</w:t>
            </w:r>
          </w:p>
        </w:tc>
        <w:tc>
          <w:tcPr>
            <w:tcW w:w="1536" w:type="dxa"/>
            <w:noWrap/>
            <w:hideMark/>
          </w:tcPr>
          <w:p w14:paraId="7695E5F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6FA5402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16.93</w:t>
            </w:r>
          </w:p>
        </w:tc>
        <w:tc>
          <w:tcPr>
            <w:tcW w:w="1249" w:type="dxa"/>
            <w:noWrap/>
            <w:hideMark/>
          </w:tcPr>
          <w:p w14:paraId="3199F96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0.89</w:t>
            </w:r>
          </w:p>
        </w:tc>
      </w:tr>
      <w:tr w:rsidR="003C5CC7" w:rsidRPr="00AE5090" w14:paraId="3C5C95F5"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02087919" w14:textId="77777777" w:rsidR="003C5CC7" w:rsidRPr="00AE5090" w:rsidRDefault="003C5CC7" w:rsidP="00D43AA5">
            <w:pPr>
              <w:rPr>
                <w:b/>
                <w:bCs/>
                <w:i w:val="0"/>
                <w:iCs w:val="0"/>
                <w:color w:val="000000"/>
                <w:sz w:val="24"/>
                <w:szCs w:val="22"/>
              </w:rPr>
            </w:pPr>
          </w:p>
        </w:tc>
        <w:tc>
          <w:tcPr>
            <w:tcW w:w="1029" w:type="dxa"/>
            <w:noWrap/>
            <w:hideMark/>
          </w:tcPr>
          <w:p w14:paraId="1A1A6EC1"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03179E3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3C1D3BA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4886852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16.94</w:t>
            </w:r>
          </w:p>
        </w:tc>
        <w:tc>
          <w:tcPr>
            <w:tcW w:w="1249" w:type="dxa"/>
            <w:noWrap/>
            <w:hideMark/>
          </w:tcPr>
          <w:p w14:paraId="6BAF3A4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0.89</w:t>
            </w:r>
          </w:p>
        </w:tc>
      </w:tr>
      <w:tr w:rsidR="003C5CC7" w:rsidRPr="00AE5090" w14:paraId="5725CF7B"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46F1A6C1" w14:textId="77777777" w:rsidR="003C5CC7" w:rsidRPr="00AE5090" w:rsidRDefault="003C5CC7" w:rsidP="00D43AA5">
            <w:pPr>
              <w:rPr>
                <w:b/>
                <w:bCs/>
                <w:i w:val="0"/>
                <w:iCs w:val="0"/>
                <w:color w:val="000000"/>
                <w:sz w:val="24"/>
                <w:szCs w:val="22"/>
              </w:rPr>
            </w:pPr>
          </w:p>
        </w:tc>
        <w:tc>
          <w:tcPr>
            <w:tcW w:w="1029" w:type="dxa"/>
            <w:noWrap/>
            <w:hideMark/>
          </w:tcPr>
          <w:p w14:paraId="3F971048"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21586FA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58C016C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5C37E56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16.97</w:t>
            </w:r>
          </w:p>
        </w:tc>
        <w:tc>
          <w:tcPr>
            <w:tcW w:w="1249" w:type="dxa"/>
            <w:noWrap/>
            <w:hideMark/>
          </w:tcPr>
          <w:p w14:paraId="67698BD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0.87</w:t>
            </w:r>
          </w:p>
        </w:tc>
      </w:tr>
      <w:tr w:rsidR="003C5CC7" w:rsidRPr="00AE5090" w14:paraId="11BAA7CF"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60957381" w14:textId="77777777" w:rsidR="003C5CC7" w:rsidRPr="00AE5090" w:rsidRDefault="003C5CC7" w:rsidP="00D43AA5">
            <w:pPr>
              <w:rPr>
                <w:b/>
                <w:bCs/>
                <w:i w:val="0"/>
                <w:iCs w:val="0"/>
                <w:color w:val="000000"/>
                <w:sz w:val="24"/>
                <w:szCs w:val="22"/>
              </w:rPr>
            </w:pPr>
          </w:p>
        </w:tc>
        <w:tc>
          <w:tcPr>
            <w:tcW w:w="1029" w:type="dxa"/>
            <w:noWrap/>
            <w:hideMark/>
          </w:tcPr>
          <w:p w14:paraId="607D0330"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36F034C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3825CF8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1D970C9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16.99</w:t>
            </w:r>
          </w:p>
        </w:tc>
        <w:tc>
          <w:tcPr>
            <w:tcW w:w="1249" w:type="dxa"/>
            <w:noWrap/>
            <w:hideMark/>
          </w:tcPr>
          <w:p w14:paraId="46CBC11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0.84</w:t>
            </w:r>
          </w:p>
        </w:tc>
      </w:tr>
      <w:tr w:rsidR="003C5CC7" w:rsidRPr="00AE5090" w14:paraId="79BBD1F9"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40C462A0" w14:textId="77777777" w:rsidR="003C5CC7" w:rsidRPr="00AE5090" w:rsidRDefault="003C5CC7" w:rsidP="00D43AA5">
            <w:pPr>
              <w:rPr>
                <w:b/>
                <w:bCs/>
                <w:i w:val="0"/>
                <w:iCs w:val="0"/>
                <w:color w:val="000000"/>
                <w:sz w:val="24"/>
                <w:szCs w:val="22"/>
              </w:rPr>
            </w:pPr>
          </w:p>
        </w:tc>
        <w:tc>
          <w:tcPr>
            <w:tcW w:w="1029" w:type="dxa"/>
            <w:noWrap/>
            <w:hideMark/>
          </w:tcPr>
          <w:p w14:paraId="49087754"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64D6BE3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1D4CF32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2C1882C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16.93</w:t>
            </w:r>
          </w:p>
        </w:tc>
        <w:tc>
          <w:tcPr>
            <w:tcW w:w="1249" w:type="dxa"/>
            <w:noWrap/>
            <w:hideMark/>
          </w:tcPr>
          <w:p w14:paraId="435D9F7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0.87</w:t>
            </w:r>
          </w:p>
        </w:tc>
      </w:tr>
      <w:tr w:rsidR="003C5CC7" w:rsidRPr="00AE5090" w14:paraId="0F863EA2"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357348AD"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CIMB Islamic Bank Berhad</w:t>
            </w:r>
          </w:p>
          <w:p w14:paraId="22B7DB35"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0261493D"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6943597D"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57CCF052" w14:textId="77777777" w:rsidR="003C5CC7" w:rsidRPr="00AE5090" w:rsidRDefault="003C5CC7" w:rsidP="00D43AA5">
            <w:pPr>
              <w:rPr>
                <w:b/>
                <w:bCs/>
                <w:color w:val="000000"/>
                <w:szCs w:val="22"/>
              </w:rPr>
            </w:pPr>
            <w:r w:rsidRPr="00AE5090">
              <w:rPr>
                <w:b/>
                <w:bCs/>
                <w:i w:val="0"/>
                <w:iCs w:val="0"/>
                <w:color w:val="000000"/>
                <w:sz w:val="24"/>
                <w:szCs w:val="22"/>
              </w:rPr>
              <w:t> </w:t>
            </w:r>
          </w:p>
          <w:p w14:paraId="6C2C5772"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7C23B290"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00862BC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364A800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631E8DB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17.72</w:t>
            </w:r>
          </w:p>
        </w:tc>
        <w:tc>
          <w:tcPr>
            <w:tcW w:w="1249" w:type="dxa"/>
            <w:noWrap/>
            <w:hideMark/>
          </w:tcPr>
          <w:p w14:paraId="262FB6D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0.90</w:t>
            </w:r>
          </w:p>
        </w:tc>
      </w:tr>
      <w:tr w:rsidR="003C5CC7" w:rsidRPr="00AE5090" w14:paraId="3BBE2F30"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2C1D8F3D" w14:textId="77777777" w:rsidR="003C5CC7" w:rsidRPr="00AE5090" w:rsidRDefault="003C5CC7" w:rsidP="00D43AA5">
            <w:pPr>
              <w:rPr>
                <w:b/>
                <w:bCs/>
                <w:i w:val="0"/>
                <w:iCs w:val="0"/>
                <w:color w:val="000000"/>
                <w:sz w:val="24"/>
                <w:szCs w:val="22"/>
              </w:rPr>
            </w:pPr>
          </w:p>
        </w:tc>
        <w:tc>
          <w:tcPr>
            <w:tcW w:w="1029" w:type="dxa"/>
            <w:noWrap/>
            <w:hideMark/>
          </w:tcPr>
          <w:p w14:paraId="050CEE75"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5C24A31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0490B59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3E9349B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17.81</w:t>
            </w:r>
          </w:p>
        </w:tc>
        <w:tc>
          <w:tcPr>
            <w:tcW w:w="1249" w:type="dxa"/>
            <w:noWrap/>
            <w:hideMark/>
          </w:tcPr>
          <w:p w14:paraId="337F752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0.83</w:t>
            </w:r>
          </w:p>
        </w:tc>
      </w:tr>
      <w:tr w:rsidR="003C5CC7" w:rsidRPr="00AE5090" w14:paraId="5128877E"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0A250BFF" w14:textId="77777777" w:rsidR="003C5CC7" w:rsidRPr="00AE5090" w:rsidRDefault="003C5CC7" w:rsidP="00D43AA5">
            <w:pPr>
              <w:rPr>
                <w:b/>
                <w:bCs/>
                <w:i w:val="0"/>
                <w:iCs w:val="0"/>
                <w:color w:val="000000"/>
                <w:sz w:val="24"/>
                <w:szCs w:val="22"/>
              </w:rPr>
            </w:pPr>
          </w:p>
        </w:tc>
        <w:tc>
          <w:tcPr>
            <w:tcW w:w="1029" w:type="dxa"/>
            <w:noWrap/>
            <w:hideMark/>
          </w:tcPr>
          <w:p w14:paraId="4A49FB05"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132FD04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2C56D98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1AE351A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18.01</w:t>
            </w:r>
          </w:p>
        </w:tc>
        <w:tc>
          <w:tcPr>
            <w:tcW w:w="1249" w:type="dxa"/>
            <w:noWrap/>
            <w:hideMark/>
          </w:tcPr>
          <w:p w14:paraId="1DBF5B9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0.81</w:t>
            </w:r>
          </w:p>
        </w:tc>
      </w:tr>
      <w:tr w:rsidR="003C5CC7" w:rsidRPr="00AE5090" w14:paraId="49D4B1FE"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1AE2C0FF" w14:textId="77777777" w:rsidR="003C5CC7" w:rsidRPr="00AE5090" w:rsidRDefault="003C5CC7" w:rsidP="00D43AA5">
            <w:pPr>
              <w:rPr>
                <w:b/>
                <w:bCs/>
                <w:i w:val="0"/>
                <w:iCs w:val="0"/>
                <w:color w:val="000000"/>
                <w:sz w:val="24"/>
                <w:szCs w:val="22"/>
              </w:rPr>
            </w:pPr>
          </w:p>
        </w:tc>
        <w:tc>
          <w:tcPr>
            <w:tcW w:w="1029" w:type="dxa"/>
            <w:noWrap/>
            <w:hideMark/>
          </w:tcPr>
          <w:p w14:paraId="0812B069"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5006615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1FD1457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3A62873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18.26</w:t>
            </w:r>
          </w:p>
        </w:tc>
        <w:tc>
          <w:tcPr>
            <w:tcW w:w="1249" w:type="dxa"/>
            <w:noWrap/>
            <w:hideMark/>
          </w:tcPr>
          <w:p w14:paraId="70E9865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0.78</w:t>
            </w:r>
          </w:p>
        </w:tc>
      </w:tr>
      <w:tr w:rsidR="003C5CC7" w:rsidRPr="00AE5090" w14:paraId="5566BFAD"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7FBD4233" w14:textId="77777777" w:rsidR="003C5CC7" w:rsidRPr="00AE5090" w:rsidRDefault="003C5CC7" w:rsidP="00D43AA5">
            <w:pPr>
              <w:rPr>
                <w:b/>
                <w:bCs/>
                <w:i w:val="0"/>
                <w:iCs w:val="0"/>
                <w:color w:val="000000"/>
                <w:sz w:val="24"/>
                <w:szCs w:val="22"/>
              </w:rPr>
            </w:pPr>
          </w:p>
        </w:tc>
        <w:tc>
          <w:tcPr>
            <w:tcW w:w="1029" w:type="dxa"/>
            <w:noWrap/>
            <w:hideMark/>
          </w:tcPr>
          <w:p w14:paraId="1AA19212"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436D739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58F914E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66A44EC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18.40</w:t>
            </w:r>
          </w:p>
        </w:tc>
        <w:tc>
          <w:tcPr>
            <w:tcW w:w="1249" w:type="dxa"/>
            <w:noWrap/>
            <w:hideMark/>
          </w:tcPr>
          <w:p w14:paraId="486E956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0.80</w:t>
            </w:r>
          </w:p>
        </w:tc>
      </w:tr>
      <w:tr w:rsidR="003C5CC7" w:rsidRPr="00AE5090" w14:paraId="6AEF4F2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61D42437" w14:textId="77777777" w:rsidR="003C5CC7" w:rsidRPr="00AE5090" w:rsidRDefault="003C5CC7" w:rsidP="00D43AA5">
            <w:pPr>
              <w:rPr>
                <w:b/>
                <w:bCs/>
                <w:i w:val="0"/>
                <w:iCs w:val="0"/>
                <w:color w:val="000000"/>
                <w:sz w:val="24"/>
                <w:szCs w:val="22"/>
              </w:rPr>
            </w:pPr>
          </w:p>
        </w:tc>
        <w:tc>
          <w:tcPr>
            <w:tcW w:w="1029" w:type="dxa"/>
            <w:noWrap/>
            <w:hideMark/>
          </w:tcPr>
          <w:p w14:paraId="227E400D"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606C060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2B30AD3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0572BD7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18.04</w:t>
            </w:r>
          </w:p>
        </w:tc>
        <w:tc>
          <w:tcPr>
            <w:tcW w:w="1249" w:type="dxa"/>
            <w:noWrap/>
            <w:hideMark/>
          </w:tcPr>
          <w:p w14:paraId="1DDAB8C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0.82</w:t>
            </w:r>
          </w:p>
        </w:tc>
      </w:tr>
      <w:tr w:rsidR="003C5CC7" w:rsidRPr="00AE5090" w14:paraId="68C33189"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79BC9974"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Hong Leong Islamic Bank Berhad</w:t>
            </w:r>
          </w:p>
          <w:p w14:paraId="5357F4F2"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705CC0DA"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315F5C57"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326633DF"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15E0C9AE"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6BA5DF9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55808E3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3FDC70F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16.90</w:t>
            </w:r>
          </w:p>
        </w:tc>
        <w:tc>
          <w:tcPr>
            <w:tcW w:w="1249" w:type="dxa"/>
            <w:noWrap/>
            <w:hideMark/>
          </w:tcPr>
          <w:p w14:paraId="06E70BF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0.86</w:t>
            </w:r>
          </w:p>
        </w:tc>
      </w:tr>
      <w:tr w:rsidR="003C5CC7" w:rsidRPr="00AE5090" w14:paraId="3E6D522F"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23504C0F" w14:textId="77777777" w:rsidR="003C5CC7" w:rsidRPr="00AE5090" w:rsidRDefault="003C5CC7" w:rsidP="00D43AA5">
            <w:pPr>
              <w:rPr>
                <w:b/>
                <w:bCs/>
                <w:i w:val="0"/>
                <w:iCs w:val="0"/>
                <w:color w:val="000000"/>
                <w:sz w:val="24"/>
                <w:szCs w:val="22"/>
              </w:rPr>
            </w:pPr>
          </w:p>
        </w:tc>
        <w:tc>
          <w:tcPr>
            <w:tcW w:w="1029" w:type="dxa"/>
            <w:noWrap/>
            <w:hideMark/>
          </w:tcPr>
          <w:p w14:paraId="5A829584"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5EAEE06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75E3245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25F5C01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16.96</w:t>
            </w:r>
          </w:p>
        </w:tc>
        <w:tc>
          <w:tcPr>
            <w:tcW w:w="1249" w:type="dxa"/>
            <w:noWrap/>
            <w:hideMark/>
          </w:tcPr>
          <w:p w14:paraId="5FD661A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0.88</w:t>
            </w:r>
          </w:p>
        </w:tc>
      </w:tr>
      <w:tr w:rsidR="003C5CC7" w:rsidRPr="00AE5090" w14:paraId="4C8EC243"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02F69AFD" w14:textId="77777777" w:rsidR="003C5CC7" w:rsidRPr="00AE5090" w:rsidRDefault="003C5CC7" w:rsidP="00D43AA5">
            <w:pPr>
              <w:rPr>
                <w:b/>
                <w:bCs/>
                <w:i w:val="0"/>
                <w:iCs w:val="0"/>
                <w:color w:val="000000"/>
                <w:sz w:val="24"/>
                <w:szCs w:val="22"/>
              </w:rPr>
            </w:pPr>
          </w:p>
        </w:tc>
        <w:tc>
          <w:tcPr>
            <w:tcW w:w="1029" w:type="dxa"/>
            <w:noWrap/>
            <w:hideMark/>
          </w:tcPr>
          <w:p w14:paraId="49A47B14"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46129DB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0.95</w:t>
            </w:r>
          </w:p>
        </w:tc>
        <w:tc>
          <w:tcPr>
            <w:tcW w:w="1536" w:type="dxa"/>
            <w:noWrap/>
            <w:hideMark/>
          </w:tcPr>
          <w:p w14:paraId="5338373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2EABF1E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17.06</w:t>
            </w:r>
          </w:p>
        </w:tc>
        <w:tc>
          <w:tcPr>
            <w:tcW w:w="1249" w:type="dxa"/>
            <w:noWrap/>
            <w:hideMark/>
          </w:tcPr>
          <w:p w14:paraId="156B32F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0.89</w:t>
            </w:r>
          </w:p>
        </w:tc>
      </w:tr>
      <w:tr w:rsidR="003C5CC7" w:rsidRPr="00AE5090" w14:paraId="385E0883"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1BBF5557" w14:textId="77777777" w:rsidR="003C5CC7" w:rsidRPr="00AE5090" w:rsidRDefault="003C5CC7" w:rsidP="00D43AA5">
            <w:pPr>
              <w:rPr>
                <w:b/>
                <w:bCs/>
                <w:i w:val="0"/>
                <w:iCs w:val="0"/>
                <w:color w:val="000000"/>
                <w:sz w:val="24"/>
                <w:szCs w:val="22"/>
              </w:rPr>
            </w:pPr>
          </w:p>
        </w:tc>
        <w:tc>
          <w:tcPr>
            <w:tcW w:w="1029" w:type="dxa"/>
            <w:noWrap/>
            <w:hideMark/>
          </w:tcPr>
          <w:p w14:paraId="1639ABA5"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3D7AA5E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253B0A9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65116EB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17.16</w:t>
            </w:r>
          </w:p>
        </w:tc>
        <w:tc>
          <w:tcPr>
            <w:tcW w:w="1249" w:type="dxa"/>
            <w:noWrap/>
            <w:hideMark/>
          </w:tcPr>
          <w:p w14:paraId="68D116A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0.89</w:t>
            </w:r>
          </w:p>
        </w:tc>
      </w:tr>
      <w:tr w:rsidR="003C5CC7" w:rsidRPr="00AE5090" w14:paraId="6C815FAF"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0A796442" w14:textId="77777777" w:rsidR="003C5CC7" w:rsidRPr="00AE5090" w:rsidRDefault="003C5CC7" w:rsidP="00D43AA5">
            <w:pPr>
              <w:rPr>
                <w:b/>
                <w:bCs/>
                <w:i w:val="0"/>
                <w:iCs w:val="0"/>
                <w:color w:val="000000"/>
                <w:sz w:val="24"/>
                <w:szCs w:val="22"/>
              </w:rPr>
            </w:pPr>
          </w:p>
        </w:tc>
        <w:tc>
          <w:tcPr>
            <w:tcW w:w="1029" w:type="dxa"/>
            <w:noWrap/>
            <w:hideMark/>
          </w:tcPr>
          <w:p w14:paraId="6E07E335"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3FA4610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0.98</w:t>
            </w:r>
          </w:p>
        </w:tc>
        <w:tc>
          <w:tcPr>
            <w:tcW w:w="1536" w:type="dxa"/>
            <w:noWrap/>
            <w:hideMark/>
          </w:tcPr>
          <w:p w14:paraId="202B8EF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4218FE9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17.26</w:t>
            </w:r>
          </w:p>
        </w:tc>
        <w:tc>
          <w:tcPr>
            <w:tcW w:w="1249" w:type="dxa"/>
            <w:noWrap/>
            <w:hideMark/>
          </w:tcPr>
          <w:p w14:paraId="53EAA9C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0.88</w:t>
            </w:r>
          </w:p>
        </w:tc>
      </w:tr>
      <w:tr w:rsidR="003C5CC7" w:rsidRPr="00AE5090" w14:paraId="3D885BC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noWrap/>
            <w:hideMark/>
          </w:tcPr>
          <w:p w14:paraId="3A40B596"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5F82FC74"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3F1BDA7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2A99B9E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667E0AF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17.07</w:t>
            </w:r>
          </w:p>
        </w:tc>
        <w:tc>
          <w:tcPr>
            <w:tcW w:w="1249" w:type="dxa"/>
            <w:noWrap/>
            <w:hideMark/>
          </w:tcPr>
          <w:p w14:paraId="0C769D9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0.88</w:t>
            </w:r>
          </w:p>
        </w:tc>
      </w:tr>
      <w:tr w:rsidR="003C5CC7" w:rsidRPr="00AE5090" w14:paraId="705DE6C5"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3334FA45"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HSBC Amanah Malaysia Berhad</w:t>
            </w:r>
          </w:p>
          <w:p w14:paraId="1271E5E9"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368DE201"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7C240957"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0D874BAA"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1A6E7261"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1A26C0DE"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5BC1BF0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0.95</w:t>
            </w:r>
          </w:p>
        </w:tc>
        <w:tc>
          <w:tcPr>
            <w:tcW w:w="1536" w:type="dxa"/>
            <w:noWrap/>
            <w:hideMark/>
          </w:tcPr>
          <w:p w14:paraId="32C9E96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070BCBF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16.61</w:t>
            </w:r>
          </w:p>
        </w:tc>
        <w:tc>
          <w:tcPr>
            <w:tcW w:w="1249" w:type="dxa"/>
            <w:noWrap/>
            <w:hideMark/>
          </w:tcPr>
          <w:p w14:paraId="6A9BA6E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0.82</w:t>
            </w:r>
          </w:p>
        </w:tc>
      </w:tr>
      <w:tr w:rsidR="003C5CC7" w:rsidRPr="00AE5090" w14:paraId="44E82F62"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5D6AF605" w14:textId="77777777" w:rsidR="003C5CC7" w:rsidRPr="00AE5090" w:rsidRDefault="003C5CC7" w:rsidP="00D43AA5">
            <w:pPr>
              <w:rPr>
                <w:b/>
                <w:bCs/>
                <w:i w:val="0"/>
                <w:iCs w:val="0"/>
                <w:color w:val="000000"/>
                <w:sz w:val="24"/>
                <w:szCs w:val="22"/>
              </w:rPr>
            </w:pPr>
          </w:p>
        </w:tc>
        <w:tc>
          <w:tcPr>
            <w:tcW w:w="1029" w:type="dxa"/>
            <w:noWrap/>
            <w:hideMark/>
          </w:tcPr>
          <w:p w14:paraId="6B6D11BA"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524E0CB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1749F9E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0C04183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16.78</w:t>
            </w:r>
          </w:p>
        </w:tc>
        <w:tc>
          <w:tcPr>
            <w:tcW w:w="1249" w:type="dxa"/>
            <w:noWrap/>
            <w:hideMark/>
          </w:tcPr>
          <w:p w14:paraId="1420AF0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0.70</w:t>
            </w:r>
          </w:p>
        </w:tc>
      </w:tr>
      <w:tr w:rsidR="003C5CC7" w:rsidRPr="00AE5090" w14:paraId="0620FE9D"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1A6E9C25" w14:textId="77777777" w:rsidR="003C5CC7" w:rsidRPr="00AE5090" w:rsidRDefault="003C5CC7" w:rsidP="00D43AA5">
            <w:pPr>
              <w:rPr>
                <w:b/>
                <w:bCs/>
                <w:i w:val="0"/>
                <w:iCs w:val="0"/>
                <w:color w:val="000000"/>
                <w:sz w:val="24"/>
                <w:szCs w:val="22"/>
              </w:rPr>
            </w:pPr>
          </w:p>
        </w:tc>
        <w:tc>
          <w:tcPr>
            <w:tcW w:w="1029" w:type="dxa"/>
            <w:noWrap/>
            <w:hideMark/>
          </w:tcPr>
          <w:p w14:paraId="2068ED3E"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7462270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748050F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79B0207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16.61</w:t>
            </w:r>
          </w:p>
        </w:tc>
        <w:tc>
          <w:tcPr>
            <w:tcW w:w="1249" w:type="dxa"/>
            <w:noWrap/>
            <w:hideMark/>
          </w:tcPr>
          <w:p w14:paraId="74DABA1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0.72</w:t>
            </w:r>
          </w:p>
        </w:tc>
      </w:tr>
      <w:tr w:rsidR="003C5CC7" w:rsidRPr="00AE5090" w14:paraId="75A5F31E"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3AD477D2" w14:textId="77777777" w:rsidR="003C5CC7" w:rsidRPr="00AE5090" w:rsidRDefault="003C5CC7" w:rsidP="00D43AA5">
            <w:pPr>
              <w:rPr>
                <w:b/>
                <w:bCs/>
                <w:i w:val="0"/>
                <w:iCs w:val="0"/>
                <w:color w:val="000000"/>
                <w:sz w:val="24"/>
                <w:szCs w:val="22"/>
              </w:rPr>
            </w:pPr>
          </w:p>
        </w:tc>
        <w:tc>
          <w:tcPr>
            <w:tcW w:w="1029" w:type="dxa"/>
            <w:noWrap/>
            <w:hideMark/>
          </w:tcPr>
          <w:p w14:paraId="04058244"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62632F6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0.98</w:t>
            </w:r>
          </w:p>
        </w:tc>
        <w:tc>
          <w:tcPr>
            <w:tcW w:w="1536" w:type="dxa"/>
            <w:noWrap/>
            <w:hideMark/>
          </w:tcPr>
          <w:p w14:paraId="121EBEA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408457D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16.69</w:t>
            </w:r>
          </w:p>
        </w:tc>
        <w:tc>
          <w:tcPr>
            <w:tcW w:w="1249" w:type="dxa"/>
            <w:noWrap/>
            <w:hideMark/>
          </w:tcPr>
          <w:p w14:paraId="302AD12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0.75</w:t>
            </w:r>
          </w:p>
        </w:tc>
      </w:tr>
      <w:tr w:rsidR="003C5CC7" w:rsidRPr="00AE5090" w14:paraId="26D62057"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7A6CCA12" w14:textId="77777777" w:rsidR="003C5CC7" w:rsidRPr="00AE5090" w:rsidRDefault="003C5CC7" w:rsidP="00D43AA5">
            <w:pPr>
              <w:rPr>
                <w:b/>
                <w:bCs/>
                <w:i w:val="0"/>
                <w:iCs w:val="0"/>
                <w:color w:val="000000"/>
                <w:sz w:val="24"/>
                <w:szCs w:val="22"/>
              </w:rPr>
            </w:pPr>
          </w:p>
        </w:tc>
        <w:tc>
          <w:tcPr>
            <w:tcW w:w="1029" w:type="dxa"/>
            <w:noWrap/>
            <w:hideMark/>
          </w:tcPr>
          <w:p w14:paraId="3A90FE43"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6777359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0.98</w:t>
            </w:r>
          </w:p>
        </w:tc>
        <w:tc>
          <w:tcPr>
            <w:tcW w:w="1536" w:type="dxa"/>
            <w:noWrap/>
            <w:hideMark/>
          </w:tcPr>
          <w:p w14:paraId="634EE4B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64A9805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16.83</w:t>
            </w:r>
          </w:p>
        </w:tc>
        <w:tc>
          <w:tcPr>
            <w:tcW w:w="1249" w:type="dxa"/>
            <w:noWrap/>
            <w:hideMark/>
          </w:tcPr>
          <w:p w14:paraId="55AE9D5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0.72</w:t>
            </w:r>
          </w:p>
        </w:tc>
      </w:tr>
      <w:tr w:rsidR="003C5CC7" w:rsidRPr="00AE5090" w14:paraId="2B5D959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7FA3835E" w14:textId="77777777" w:rsidR="003C5CC7" w:rsidRPr="00AE5090" w:rsidRDefault="003C5CC7" w:rsidP="00D43AA5">
            <w:pPr>
              <w:rPr>
                <w:b/>
                <w:bCs/>
                <w:i w:val="0"/>
                <w:iCs w:val="0"/>
                <w:color w:val="000000"/>
                <w:sz w:val="24"/>
                <w:szCs w:val="22"/>
              </w:rPr>
            </w:pPr>
          </w:p>
        </w:tc>
        <w:tc>
          <w:tcPr>
            <w:tcW w:w="1029" w:type="dxa"/>
            <w:noWrap/>
            <w:hideMark/>
          </w:tcPr>
          <w:p w14:paraId="3EF39E37"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2309819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3EBC6C7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5D9B0F4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16.70</w:t>
            </w:r>
          </w:p>
        </w:tc>
        <w:tc>
          <w:tcPr>
            <w:tcW w:w="1249" w:type="dxa"/>
            <w:noWrap/>
            <w:hideMark/>
          </w:tcPr>
          <w:p w14:paraId="20A66AD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0.74</w:t>
            </w:r>
          </w:p>
        </w:tc>
      </w:tr>
      <w:tr w:rsidR="003C5CC7" w:rsidRPr="00AE5090" w14:paraId="6CBE5781"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4040B9BE"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Public Islamic Bank Berhad</w:t>
            </w:r>
          </w:p>
          <w:p w14:paraId="0E22797B"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5B9B13C9"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6752F762"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74E963FC"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38AD9E47"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779DDAA3"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7DD99F0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20B73E5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30DF654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17.46</w:t>
            </w:r>
          </w:p>
        </w:tc>
        <w:tc>
          <w:tcPr>
            <w:tcW w:w="1249" w:type="dxa"/>
            <w:noWrap/>
            <w:hideMark/>
          </w:tcPr>
          <w:p w14:paraId="053C135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0.90</w:t>
            </w:r>
          </w:p>
        </w:tc>
      </w:tr>
      <w:tr w:rsidR="003C5CC7" w:rsidRPr="00AE5090" w14:paraId="4768309B"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5D2FCF78" w14:textId="77777777" w:rsidR="003C5CC7" w:rsidRPr="00AE5090" w:rsidRDefault="003C5CC7" w:rsidP="00D43AA5">
            <w:pPr>
              <w:rPr>
                <w:b/>
                <w:bCs/>
                <w:i w:val="0"/>
                <w:iCs w:val="0"/>
                <w:color w:val="000000"/>
                <w:sz w:val="24"/>
                <w:szCs w:val="22"/>
              </w:rPr>
            </w:pPr>
          </w:p>
        </w:tc>
        <w:tc>
          <w:tcPr>
            <w:tcW w:w="1029" w:type="dxa"/>
            <w:noWrap/>
            <w:hideMark/>
          </w:tcPr>
          <w:p w14:paraId="0E37261C"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74BDA8C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2B00EBB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5D602E2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17.64</w:t>
            </w:r>
          </w:p>
        </w:tc>
        <w:tc>
          <w:tcPr>
            <w:tcW w:w="1249" w:type="dxa"/>
            <w:noWrap/>
            <w:hideMark/>
          </w:tcPr>
          <w:p w14:paraId="4DD6E05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0.91</w:t>
            </w:r>
          </w:p>
        </w:tc>
      </w:tr>
      <w:tr w:rsidR="003C5CC7" w:rsidRPr="00AE5090" w14:paraId="244D6811"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031D9875" w14:textId="77777777" w:rsidR="003C5CC7" w:rsidRPr="00AE5090" w:rsidRDefault="003C5CC7" w:rsidP="00D43AA5">
            <w:pPr>
              <w:rPr>
                <w:b/>
                <w:bCs/>
                <w:i w:val="0"/>
                <w:iCs w:val="0"/>
                <w:color w:val="000000"/>
                <w:sz w:val="24"/>
                <w:szCs w:val="22"/>
              </w:rPr>
            </w:pPr>
          </w:p>
        </w:tc>
        <w:tc>
          <w:tcPr>
            <w:tcW w:w="1029" w:type="dxa"/>
            <w:noWrap/>
            <w:hideMark/>
          </w:tcPr>
          <w:p w14:paraId="216E746E"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2575751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0.83</w:t>
            </w:r>
          </w:p>
        </w:tc>
        <w:tc>
          <w:tcPr>
            <w:tcW w:w="1536" w:type="dxa"/>
            <w:noWrap/>
            <w:hideMark/>
          </w:tcPr>
          <w:p w14:paraId="26197E4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3B0EF10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17.72</w:t>
            </w:r>
          </w:p>
        </w:tc>
        <w:tc>
          <w:tcPr>
            <w:tcW w:w="1249" w:type="dxa"/>
            <w:noWrap/>
            <w:hideMark/>
          </w:tcPr>
          <w:p w14:paraId="4741044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0.90</w:t>
            </w:r>
          </w:p>
        </w:tc>
      </w:tr>
      <w:tr w:rsidR="003C5CC7" w:rsidRPr="00AE5090" w14:paraId="5079CEE0"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489E12F7" w14:textId="77777777" w:rsidR="003C5CC7" w:rsidRPr="00AE5090" w:rsidRDefault="003C5CC7" w:rsidP="00D43AA5">
            <w:pPr>
              <w:rPr>
                <w:b/>
                <w:bCs/>
                <w:i w:val="0"/>
                <w:iCs w:val="0"/>
                <w:color w:val="000000"/>
                <w:sz w:val="24"/>
                <w:szCs w:val="22"/>
              </w:rPr>
            </w:pPr>
          </w:p>
        </w:tc>
        <w:tc>
          <w:tcPr>
            <w:tcW w:w="1029" w:type="dxa"/>
            <w:noWrap/>
            <w:hideMark/>
          </w:tcPr>
          <w:p w14:paraId="734A6FCF"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09B04F7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4BE6287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57ABC7C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17.86</w:t>
            </w:r>
          </w:p>
        </w:tc>
        <w:tc>
          <w:tcPr>
            <w:tcW w:w="1249" w:type="dxa"/>
            <w:noWrap/>
            <w:hideMark/>
          </w:tcPr>
          <w:p w14:paraId="741B257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0.90</w:t>
            </w:r>
          </w:p>
        </w:tc>
      </w:tr>
      <w:tr w:rsidR="003C5CC7" w:rsidRPr="00AE5090" w14:paraId="5AE1F138"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6C02567E" w14:textId="77777777" w:rsidR="003C5CC7" w:rsidRPr="00AE5090" w:rsidRDefault="003C5CC7" w:rsidP="00D43AA5">
            <w:pPr>
              <w:rPr>
                <w:b/>
                <w:bCs/>
                <w:i w:val="0"/>
                <w:iCs w:val="0"/>
                <w:color w:val="000000"/>
                <w:sz w:val="24"/>
                <w:szCs w:val="22"/>
              </w:rPr>
            </w:pPr>
          </w:p>
        </w:tc>
        <w:tc>
          <w:tcPr>
            <w:tcW w:w="1029" w:type="dxa"/>
            <w:noWrap/>
            <w:hideMark/>
          </w:tcPr>
          <w:p w14:paraId="30BD07ED"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5EE5D52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322F330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57C46E2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17.95</w:t>
            </w:r>
          </w:p>
        </w:tc>
        <w:tc>
          <w:tcPr>
            <w:tcW w:w="1249" w:type="dxa"/>
            <w:noWrap/>
            <w:hideMark/>
          </w:tcPr>
          <w:p w14:paraId="25C392C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0.89</w:t>
            </w:r>
          </w:p>
        </w:tc>
      </w:tr>
      <w:tr w:rsidR="003C5CC7" w:rsidRPr="00AE5090" w14:paraId="3AD27248"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28EFDBE5" w14:textId="77777777" w:rsidR="003C5CC7" w:rsidRPr="00AE5090" w:rsidRDefault="003C5CC7" w:rsidP="00D43AA5">
            <w:pPr>
              <w:rPr>
                <w:b/>
                <w:bCs/>
                <w:i w:val="0"/>
                <w:iCs w:val="0"/>
                <w:color w:val="000000"/>
                <w:sz w:val="24"/>
                <w:szCs w:val="22"/>
              </w:rPr>
            </w:pPr>
          </w:p>
        </w:tc>
        <w:tc>
          <w:tcPr>
            <w:tcW w:w="1029" w:type="dxa"/>
            <w:noWrap/>
            <w:hideMark/>
          </w:tcPr>
          <w:p w14:paraId="14D39EE9"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1584056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0.94</w:t>
            </w:r>
          </w:p>
        </w:tc>
        <w:tc>
          <w:tcPr>
            <w:tcW w:w="1536" w:type="dxa"/>
            <w:noWrap/>
            <w:hideMark/>
          </w:tcPr>
          <w:p w14:paraId="04CFC8B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3254B45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17.72</w:t>
            </w:r>
          </w:p>
        </w:tc>
        <w:tc>
          <w:tcPr>
            <w:tcW w:w="1249" w:type="dxa"/>
            <w:noWrap/>
            <w:hideMark/>
          </w:tcPr>
          <w:p w14:paraId="7697DBA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0.90</w:t>
            </w:r>
          </w:p>
        </w:tc>
      </w:tr>
      <w:tr w:rsidR="003C5CC7" w:rsidRPr="00AE5090" w14:paraId="327F428D"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3676FB1D"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RHB Islamic Bank Berhad</w:t>
            </w:r>
          </w:p>
          <w:p w14:paraId="0D8C61E7"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5D9490A4"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277DC67C"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1F3453E6"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358351A8"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09E06F3A"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0217CBB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65EE84B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0A674A6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17.40</w:t>
            </w:r>
          </w:p>
        </w:tc>
        <w:tc>
          <w:tcPr>
            <w:tcW w:w="1249" w:type="dxa"/>
            <w:noWrap/>
            <w:hideMark/>
          </w:tcPr>
          <w:p w14:paraId="379D8EE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0.88</w:t>
            </w:r>
          </w:p>
        </w:tc>
      </w:tr>
      <w:tr w:rsidR="003C5CC7" w:rsidRPr="00AE5090" w14:paraId="47A6049B"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5728FBE1" w14:textId="77777777" w:rsidR="003C5CC7" w:rsidRPr="00AE5090" w:rsidRDefault="003C5CC7" w:rsidP="00D43AA5">
            <w:pPr>
              <w:rPr>
                <w:b/>
                <w:bCs/>
                <w:i w:val="0"/>
                <w:iCs w:val="0"/>
                <w:color w:val="000000"/>
                <w:sz w:val="24"/>
                <w:szCs w:val="22"/>
              </w:rPr>
            </w:pPr>
          </w:p>
        </w:tc>
        <w:tc>
          <w:tcPr>
            <w:tcW w:w="1029" w:type="dxa"/>
            <w:noWrap/>
            <w:hideMark/>
          </w:tcPr>
          <w:p w14:paraId="5A53CCB7"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5BE16A7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71BF075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488A5F5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17.60</w:t>
            </w:r>
          </w:p>
        </w:tc>
        <w:tc>
          <w:tcPr>
            <w:tcW w:w="1249" w:type="dxa"/>
            <w:noWrap/>
            <w:hideMark/>
          </w:tcPr>
          <w:p w14:paraId="7F785D7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0.75</w:t>
            </w:r>
          </w:p>
        </w:tc>
      </w:tr>
      <w:tr w:rsidR="003C5CC7" w:rsidRPr="00AE5090" w14:paraId="25760A90"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470B83A7" w14:textId="77777777" w:rsidR="003C5CC7" w:rsidRPr="00AE5090" w:rsidRDefault="003C5CC7" w:rsidP="00D43AA5">
            <w:pPr>
              <w:rPr>
                <w:b/>
                <w:bCs/>
                <w:i w:val="0"/>
                <w:iCs w:val="0"/>
                <w:color w:val="000000"/>
                <w:sz w:val="24"/>
                <w:szCs w:val="22"/>
              </w:rPr>
            </w:pPr>
          </w:p>
        </w:tc>
        <w:tc>
          <w:tcPr>
            <w:tcW w:w="1029" w:type="dxa"/>
            <w:noWrap/>
            <w:hideMark/>
          </w:tcPr>
          <w:p w14:paraId="1FC6733D"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1B3FAF4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7533C82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5E93459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17.69</w:t>
            </w:r>
          </w:p>
        </w:tc>
        <w:tc>
          <w:tcPr>
            <w:tcW w:w="1249" w:type="dxa"/>
            <w:noWrap/>
            <w:hideMark/>
          </w:tcPr>
          <w:p w14:paraId="52E139D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0.75</w:t>
            </w:r>
          </w:p>
        </w:tc>
      </w:tr>
      <w:tr w:rsidR="003C5CC7" w:rsidRPr="00AE5090" w14:paraId="0E5F9425"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3C7FF507" w14:textId="77777777" w:rsidR="003C5CC7" w:rsidRPr="00AE5090" w:rsidRDefault="003C5CC7" w:rsidP="00D43AA5">
            <w:pPr>
              <w:rPr>
                <w:b/>
                <w:bCs/>
                <w:i w:val="0"/>
                <w:iCs w:val="0"/>
                <w:color w:val="000000"/>
                <w:sz w:val="24"/>
                <w:szCs w:val="22"/>
              </w:rPr>
            </w:pPr>
          </w:p>
        </w:tc>
        <w:tc>
          <w:tcPr>
            <w:tcW w:w="1029" w:type="dxa"/>
            <w:noWrap/>
            <w:hideMark/>
          </w:tcPr>
          <w:p w14:paraId="13E7E8A9"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42D54A1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0B879AF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6C50A3F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17.84</w:t>
            </w:r>
          </w:p>
        </w:tc>
        <w:tc>
          <w:tcPr>
            <w:tcW w:w="1249" w:type="dxa"/>
            <w:noWrap/>
            <w:hideMark/>
          </w:tcPr>
          <w:p w14:paraId="6CAEF0F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0.68</w:t>
            </w:r>
          </w:p>
        </w:tc>
      </w:tr>
      <w:tr w:rsidR="003C5CC7" w:rsidRPr="00AE5090" w14:paraId="0E8CFC87"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03C30385" w14:textId="77777777" w:rsidR="003C5CC7" w:rsidRPr="00AE5090" w:rsidRDefault="003C5CC7" w:rsidP="00D43AA5">
            <w:pPr>
              <w:rPr>
                <w:b/>
                <w:bCs/>
                <w:i w:val="0"/>
                <w:iCs w:val="0"/>
                <w:color w:val="000000"/>
                <w:sz w:val="24"/>
                <w:szCs w:val="22"/>
              </w:rPr>
            </w:pPr>
          </w:p>
        </w:tc>
        <w:tc>
          <w:tcPr>
            <w:tcW w:w="1029" w:type="dxa"/>
            <w:noWrap/>
            <w:hideMark/>
          </w:tcPr>
          <w:p w14:paraId="6B6AC202"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79A1A58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495763E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389FD87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18.00</w:t>
            </w:r>
          </w:p>
        </w:tc>
        <w:tc>
          <w:tcPr>
            <w:tcW w:w="1249" w:type="dxa"/>
            <w:noWrap/>
            <w:hideMark/>
          </w:tcPr>
          <w:p w14:paraId="673F9D9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0.76</w:t>
            </w:r>
          </w:p>
        </w:tc>
      </w:tr>
      <w:tr w:rsidR="003C5CC7" w:rsidRPr="00AE5090" w14:paraId="1FB957BB"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51C07EA4" w14:textId="77777777" w:rsidR="003C5CC7" w:rsidRPr="00AE5090" w:rsidRDefault="003C5CC7" w:rsidP="00D43AA5">
            <w:pPr>
              <w:rPr>
                <w:b/>
                <w:bCs/>
                <w:i w:val="0"/>
                <w:iCs w:val="0"/>
                <w:color w:val="000000"/>
                <w:sz w:val="24"/>
                <w:szCs w:val="22"/>
              </w:rPr>
            </w:pPr>
          </w:p>
        </w:tc>
        <w:tc>
          <w:tcPr>
            <w:tcW w:w="1029" w:type="dxa"/>
            <w:noWrap/>
            <w:hideMark/>
          </w:tcPr>
          <w:p w14:paraId="60C72AE0"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53C4B04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3BABC35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47721D9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17.71</w:t>
            </w:r>
          </w:p>
        </w:tc>
        <w:tc>
          <w:tcPr>
            <w:tcW w:w="1249" w:type="dxa"/>
            <w:noWrap/>
            <w:hideMark/>
          </w:tcPr>
          <w:p w14:paraId="7FE56DF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0.76</w:t>
            </w:r>
          </w:p>
        </w:tc>
      </w:tr>
      <w:tr w:rsidR="003C5CC7" w:rsidRPr="00AE5090" w14:paraId="20E8A1C9"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24676C17"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Al Rajhi Banking &amp; Investment Corporation (Malaysia) Berhad</w:t>
            </w:r>
          </w:p>
          <w:p w14:paraId="2EAA68F3"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5A890DC3"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56E1E9B9"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33D05006" w14:textId="77777777" w:rsidR="003C5CC7" w:rsidRPr="00AE5090" w:rsidRDefault="003C5CC7" w:rsidP="00D43AA5">
            <w:pPr>
              <w:rPr>
                <w:b/>
                <w:bCs/>
                <w:color w:val="000000"/>
                <w:szCs w:val="22"/>
              </w:rPr>
            </w:pPr>
            <w:r w:rsidRPr="00AE5090">
              <w:rPr>
                <w:b/>
                <w:bCs/>
                <w:i w:val="0"/>
                <w:iCs w:val="0"/>
                <w:color w:val="000000"/>
                <w:sz w:val="24"/>
                <w:szCs w:val="22"/>
              </w:rPr>
              <w:t> </w:t>
            </w:r>
          </w:p>
          <w:p w14:paraId="599ACCA5"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22A9C74F"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664FF4B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0.94</w:t>
            </w:r>
          </w:p>
        </w:tc>
        <w:tc>
          <w:tcPr>
            <w:tcW w:w="1536" w:type="dxa"/>
            <w:noWrap/>
            <w:hideMark/>
          </w:tcPr>
          <w:p w14:paraId="246C1A9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62444A2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15.80</w:t>
            </w:r>
          </w:p>
        </w:tc>
        <w:tc>
          <w:tcPr>
            <w:tcW w:w="1249" w:type="dxa"/>
            <w:noWrap/>
            <w:hideMark/>
          </w:tcPr>
          <w:p w14:paraId="70DE72D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0.86</w:t>
            </w:r>
          </w:p>
        </w:tc>
      </w:tr>
      <w:tr w:rsidR="003C5CC7" w:rsidRPr="00AE5090" w14:paraId="182E246D"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17936347" w14:textId="77777777" w:rsidR="003C5CC7" w:rsidRPr="00AE5090" w:rsidRDefault="003C5CC7" w:rsidP="00D43AA5">
            <w:pPr>
              <w:rPr>
                <w:b/>
                <w:bCs/>
                <w:i w:val="0"/>
                <w:iCs w:val="0"/>
                <w:color w:val="000000"/>
                <w:sz w:val="24"/>
                <w:szCs w:val="22"/>
              </w:rPr>
            </w:pPr>
          </w:p>
        </w:tc>
        <w:tc>
          <w:tcPr>
            <w:tcW w:w="1029" w:type="dxa"/>
            <w:noWrap/>
            <w:hideMark/>
          </w:tcPr>
          <w:p w14:paraId="0C546AAC"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1D8CEDB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0.94</w:t>
            </w:r>
          </w:p>
        </w:tc>
        <w:tc>
          <w:tcPr>
            <w:tcW w:w="1536" w:type="dxa"/>
            <w:noWrap/>
            <w:hideMark/>
          </w:tcPr>
          <w:p w14:paraId="4288B69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11D267C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15.81</w:t>
            </w:r>
          </w:p>
        </w:tc>
        <w:tc>
          <w:tcPr>
            <w:tcW w:w="1249" w:type="dxa"/>
            <w:noWrap/>
            <w:hideMark/>
          </w:tcPr>
          <w:p w14:paraId="4FE4D0E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0.85</w:t>
            </w:r>
          </w:p>
        </w:tc>
      </w:tr>
      <w:tr w:rsidR="003C5CC7" w:rsidRPr="00AE5090" w14:paraId="22AFAF84"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3D383786" w14:textId="77777777" w:rsidR="003C5CC7" w:rsidRPr="00AE5090" w:rsidRDefault="003C5CC7" w:rsidP="00D43AA5">
            <w:pPr>
              <w:rPr>
                <w:b/>
                <w:bCs/>
                <w:i w:val="0"/>
                <w:iCs w:val="0"/>
                <w:color w:val="000000"/>
                <w:sz w:val="24"/>
                <w:szCs w:val="22"/>
              </w:rPr>
            </w:pPr>
          </w:p>
        </w:tc>
        <w:tc>
          <w:tcPr>
            <w:tcW w:w="1029" w:type="dxa"/>
            <w:noWrap/>
            <w:hideMark/>
          </w:tcPr>
          <w:p w14:paraId="30B6E5EC"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739F6B3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0.94</w:t>
            </w:r>
          </w:p>
        </w:tc>
        <w:tc>
          <w:tcPr>
            <w:tcW w:w="1536" w:type="dxa"/>
            <w:noWrap/>
            <w:hideMark/>
          </w:tcPr>
          <w:p w14:paraId="45E03C8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467FA98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15.94</w:t>
            </w:r>
          </w:p>
        </w:tc>
        <w:tc>
          <w:tcPr>
            <w:tcW w:w="1249" w:type="dxa"/>
            <w:noWrap/>
            <w:hideMark/>
          </w:tcPr>
          <w:p w14:paraId="2A97F57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0.87</w:t>
            </w:r>
          </w:p>
        </w:tc>
      </w:tr>
      <w:tr w:rsidR="003C5CC7" w:rsidRPr="00AE5090" w14:paraId="321B542E"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48ED2F06" w14:textId="77777777" w:rsidR="003C5CC7" w:rsidRPr="00AE5090" w:rsidRDefault="003C5CC7" w:rsidP="00D43AA5">
            <w:pPr>
              <w:rPr>
                <w:b/>
                <w:bCs/>
                <w:i w:val="0"/>
                <w:iCs w:val="0"/>
                <w:color w:val="000000"/>
                <w:sz w:val="24"/>
                <w:szCs w:val="22"/>
              </w:rPr>
            </w:pPr>
          </w:p>
        </w:tc>
        <w:tc>
          <w:tcPr>
            <w:tcW w:w="1029" w:type="dxa"/>
            <w:noWrap/>
            <w:hideMark/>
          </w:tcPr>
          <w:p w14:paraId="4E31CB60"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675405A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0.94</w:t>
            </w:r>
          </w:p>
        </w:tc>
        <w:tc>
          <w:tcPr>
            <w:tcW w:w="1536" w:type="dxa"/>
            <w:noWrap/>
            <w:hideMark/>
          </w:tcPr>
          <w:p w14:paraId="1D6ABBF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22B94E0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15.98</w:t>
            </w:r>
          </w:p>
        </w:tc>
        <w:tc>
          <w:tcPr>
            <w:tcW w:w="1249" w:type="dxa"/>
            <w:noWrap/>
            <w:hideMark/>
          </w:tcPr>
          <w:p w14:paraId="39F2C92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0.86</w:t>
            </w:r>
          </w:p>
        </w:tc>
      </w:tr>
      <w:tr w:rsidR="003C5CC7" w:rsidRPr="00AE5090" w14:paraId="18EBD926" w14:textId="77777777" w:rsidTr="00D43AA5">
        <w:trPr>
          <w:trHeight w:val="379"/>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5D7923FA" w14:textId="77777777" w:rsidR="003C5CC7" w:rsidRPr="00AE5090" w:rsidRDefault="003C5CC7" w:rsidP="00D43AA5">
            <w:pPr>
              <w:rPr>
                <w:b/>
                <w:bCs/>
                <w:i w:val="0"/>
                <w:iCs w:val="0"/>
                <w:color w:val="000000"/>
                <w:sz w:val="24"/>
                <w:szCs w:val="22"/>
              </w:rPr>
            </w:pPr>
          </w:p>
        </w:tc>
        <w:tc>
          <w:tcPr>
            <w:tcW w:w="1029" w:type="dxa"/>
            <w:noWrap/>
            <w:hideMark/>
          </w:tcPr>
          <w:p w14:paraId="0B6621AA"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6826233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0.95</w:t>
            </w:r>
          </w:p>
        </w:tc>
        <w:tc>
          <w:tcPr>
            <w:tcW w:w="1536" w:type="dxa"/>
            <w:noWrap/>
            <w:hideMark/>
          </w:tcPr>
          <w:p w14:paraId="1A20DDA1"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79E3204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15.84</w:t>
            </w:r>
          </w:p>
        </w:tc>
        <w:tc>
          <w:tcPr>
            <w:tcW w:w="1249" w:type="dxa"/>
            <w:noWrap/>
            <w:hideMark/>
          </w:tcPr>
          <w:p w14:paraId="19597BB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0.84</w:t>
            </w:r>
          </w:p>
        </w:tc>
      </w:tr>
      <w:tr w:rsidR="003C5CC7" w:rsidRPr="00AE5090" w14:paraId="41F9A01F"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2AF64D17" w14:textId="77777777" w:rsidR="003C5CC7" w:rsidRPr="00AE5090" w:rsidRDefault="003C5CC7" w:rsidP="00D43AA5">
            <w:pPr>
              <w:rPr>
                <w:b/>
                <w:bCs/>
                <w:i w:val="0"/>
                <w:iCs w:val="0"/>
                <w:color w:val="000000"/>
                <w:sz w:val="24"/>
                <w:szCs w:val="22"/>
              </w:rPr>
            </w:pPr>
          </w:p>
        </w:tc>
        <w:tc>
          <w:tcPr>
            <w:tcW w:w="1029" w:type="dxa"/>
            <w:noWrap/>
            <w:hideMark/>
          </w:tcPr>
          <w:p w14:paraId="45F82D5E"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5CF149F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0.94</w:t>
            </w:r>
          </w:p>
        </w:tc>
        <w:tc>
          <w:tcPr>
            <w:tcW w:w="1536" w:type="dxa"/>
            <w:noWrap/>
            <w:hideMark/>
          </w:tcPr>
          <w:p w14:paraId="2FAF41E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7180051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15.87</w:t>
            </w:r>
          </w:p>
        </w:tc>
        <w:tc>
          <w:tcPr>
            <w:tcW w:w="1249" w:type="dxa"/>
            <w:noWrap/>
            <w:hideMark/>
          </w:tcPr>
          <w:p w14:paraId="5750632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0.86</w:t>
            </w:r>
          </w:p>
        </w:tc>
      </w:tr>
      <w:tr w:rsidR="003C5CC7" w:rsidRPr="00AE5090" w14:paraId="708B5C02"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208098E2"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Kuwait Finance House (Malaysia) Berhad</w:t>
            </w:r>
          </w:p>
          <w:p w14:paraId="0075E4DB"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45D9555D"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3DACA648"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2373E0C4"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2F82730E"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3A84AE3D"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0F1D1EF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0.93</w:t>
            </w:r>
          </w:p>
        </w:tc>
        <w:tc>
          <w:tcPr>
            <w:tcW w:w="1536" w:type="dxa"/>
            <w:noWrap/>
            <w:hideMark/>
          </w:tcPr>
          <w:p w14:paraId="6B38FA0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03DC259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16.16</w:t>
            </w:r>
          </w:p>
        </w:tc>
        <w:tc>
          <w:tcPr>
            <w:tcW w:w="1249" w:type="dxa"/>
            <w:noWrap/>
            <w:hideMark/>
          </w:tcPr>
          <w:p w14:paraId="2F9B36A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0.42</w:t>
            </w:r>
          </w:p>
        </w:tc>
      </w:tr>
      <w:tr w:rsidR="003C5CC7" w:rsidRPr="00AE5090" w14:paraId="0781181C"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2D55A84C" w14:textId="77777777" w:rsidR="003C5CC7" w:rsidRPr="00AE5090" w:rsidRDefault="003C5CC7" w:rsidP="00D43AA5">
            <w:pPr>
              <w:rPr>
                <w:b/>
                <w:bCs/>
                <w:i w:val="0"/>
                <w:iCs w:val="0"/>
                <w:color w:val="000000"/>
                <w:sz w:val="24"/>
                <w:szCs w:val="22"/>
              </w:rPr>
            </w:pPr>
          </w:p>
        </w:tc>
        <w:tc>
          <w:tcPr>
            <w:tcW w:w="1029" w:type="dxa"/>
            <w:noWrap/>
            <w:hideMark/>
          </w:tcPr>
          <w:p w14:paraId="4A2630EB"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362F81E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0.93</w:t>
            </w:r>
          </w:p>
        </w:tc>
        <w:tc>
          <w:tcPr>
            <w:tcW w:w="1536" w:type="dxa"/>
            <w:noWrap/>
            <w:hideMark/>
          </w:tcPr>
          <w:p w14:paraId="5796A52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4949974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16.18</w:t>
            </w:r>
          </w:p>
        </w:tc>
        <w:tc>
          <w:tcPr>
            <w:tcW w:w="1249" w:type="dxa"/>
            <w:noWrap/>
            <w:hideMark/>
          </w:tcPr>
          <w:p w14:paraId="273DC37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0.80</w:t>
            </w:r>
          </w:p>
        </w:tc>
      </w:tr>
      <w:tr w:rsidR="003C5CC7" w:rsidRPr="00AE5090" w14:paraId="0F73ECC1"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7E869627" w14:textId="77777777" w:rsidR="003C5CC7" w:rsidRPr="00AE5090" w:rsidRDefault="003C5CC7" w:rsidP="00D43AA5">
            <w:pPr>
              <w:rPr>
                <w:b/>
                <w:bCs/>
                <w:i w:val="0"/>
                <w:iCs w:val="0"/>
                <w:color w:val="000000"/>
                <w:sz w:val="24"/>
                <w:szCs w:val="22"/>
              </w:rPr>
            </w:pPr>
          </w:p>
        </w:tc>
        <w:tc>
          <w:tcPr>
            <w:tcW w:w="1029" w:type="dxa"/>
            <w:noWrap/>
            <w:hideMark/>
          </w:tcPr>
          <w:p w14:paraId="0C3B47EA"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5942854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0.95</w:t>
            </w:r>
          </w:p>
        </w:tc>
        <w:tc>
          <w:tcPr>
            <w:tcW w:w="1536" w:type="dxa"/>
            <w:noWrap/>
            <w:hideMark/>
          </w:tcPr>
          <w:p w14:paraId="68006B4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7321801A"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16.19</w:t>
            </w:r>
          </w:p>
        </w:tc>
        <w:tc>
          <w:tcPr>
            <w:tcW w:w="1249" w:type="dxa"/>
            <w:noWrap/>
            <w:hideMark/>
          </w:tcPr>
          <w:p w14:paraId="673C4D7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0.80</w:t>
            </w:r>
          </w:p>
        </w:tc>
      </w:tr>
      <w:tr w:rsidR="003C5CC7" w:rsidRPr="00AE5090" w14:paraId="7C7E6295"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6D4E4F86" w14:textId="77777777" w:rsidR="003C5CC7" w:rsidRPr="00AE5090" w:rsidRDefault="003C5CC7" w:rsidP="00D43AA5">
            <w:pPr>
              <w:rPr>
                <w:b/>
                <w:bCs/>
                <w:i w:val="0"/>
                <w:iCs w:val="0"/>
                <w:color w:val="000000"/>
                <w:sz w:val="24"/>
                <w:szCs w:val="22"/>
              </w:rPr>
            </w:pPr>
          </w:p>
        </w:tc>
        <w:tc>
          <w:tcPr>
            <w:tcW w:w="1029" w:type="dxa"/>
            <w:noWrap/>
            <w:hideMark/>
          </w:tcPr>
          <w:p w14:paraId="704DB659"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7059591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0.94</w:t>
            </w:r>
          </w:p>
        </w:tc>
        <w:tc>
          <w:tcPr>
            <w:tcW w:w="1536" w:type="dxa"/>
            <w:noWrap/>
            <w:hideMark/>
          </w:tcPr>
          <w:p w14:paraId="2EBC6CD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0DA8AD68"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16.03</w:t>
            </w:r>
          </w:p>
        </w:tc>
        <w:tc>
          <w:tcPr>
            <w:tcW w:w="1249" w:type="dxa"/>
            <w:noWrap/>
            <w:hideMark/>
          </w:tcPr>
          <w:p w14:paraId="1B1129D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0.76</w:t>
            </w:r>
          </w:p>
        </w:tc>
      </w:tr>
      <w:tr w:rsidR="003C5CC7" w:rsidRPr="00AE5090" w14:paraId="7D1E2F53"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1798F3A7" w14:textId="77777777" w:rsidR="003C5CC7" w:rsidRPr="00AE5090" w:rsidRDefault="003C5CC7" w:rsidP="00D43AA5">
            <w:pPr>
              <w:rPr>
                <w:b/>
                <w:bCs/>
                <w:i w:val="0"/>
                <w:iCs w:val="0"/>
                <w:color w:val="000000"/>
                <w:sz w:val="24"/>
                <w:szCs w:val="22"/>
              </w:rPr>
            </w:pPr>
          </w:p>
        </w:tc>
        <w:tc>
          <w:tcPr>
            <w:tcW w:w="1029" w:type="dxa"/>
            <w:noWrap/>
            <w:hideMark/>
          </w:tcPr>
          <w:p w14:paraId="61C81B84"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54D48C9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0.94</w:t>
            </w:r>
          </w:p>
        </w:tc>
        <w:tc>
          <w:tcPr>
            <w:tcW w:w="1536" w:type="dxa"/>
            <w:noWrap/>
            <w:hideMark/>
          </w:tcPr>
          <w:p w14:paraId="79225D6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0.03</w:t>
            </w:r>
          </w:p>
        </w:tc>
        <w:tc>
          <w:tcPr>
            <w:tcW w:w="1245" w:type="dxa"/>
            <w:noWrap/>
            <w:hideMark/>
          </w:tcPr>
          <w:p w14:paraId="366770B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16.04</w:t>
            </w:r>
          </w:p>
        </w:tc>
        <w:tc>
          <w:tcPr>
            <w:tcW w:w="1249" w:type="dxa"/>
            <w:noWrap/>
            <w:hideMark/>
          </w:tcPr>
          <w:p w14:paraId="395B42CB"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0.81</w:t>
            </w:r>
          </w:p>
        </w:tc>
      </w:tr>
      <w:tr w:rsidR="003C5CC7" w:rsidRPr="00AE5090" w14:paraId="6C275D4D"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0A0A6B3B" w14:textId="77777777" w:rsidR="003C5CC7" w:rsidRPr="00AE5090" w:rsidRDefault="003C5CC7" w:rsidP="00D43AA5">
            <w:pPr>
              <w:rPr>
                <w:b/>
                <w:bCs/>
                <w:i w:val="0"/>
                <w:iCs w:val="0"/>
                <w:color w:val="000000"/>
                <w:sz w:val="24"/>
                <w:szCs w:val="22"/>
              </w:rPr>
            </w:pPr>
          </w:p>
        </w:tc>
        <w:tc>
          <w:tcPr>
            <w:tcW w:w="1029" w:type="dxa"/>
            <w:noWrap/>
            <w:hideMark/>
          </w:tcPr>
          <w:p w14:paraId="4CC07573"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0E668D6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0.94</w:t>
            </w:r>
          </w:p>
        </w:tc>
        <w:tc>
          <w:tcPr>
            <w:tcW w:w="1536" w:type="dxa"/>
            <w:noWrap/>
            <w:hideMark/>
          </w:tcPr>
          <w:p w14:paraId="0F4B6CF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5BA0946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16.12</w:t>
            </w:r>
          </w:p>
        </w:tc>
        <w:tc>
          <w:tcPr>
            <w:tcW w:w="1249" w:type="dxa"/>
            <w:noWrap/>
            <w:hideMark/>
          </w:tcPr>
          <w:p w14:paraId="3A6913B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0.72</w:t>
            </w:r>
          </w:p>
        </w:tc>
      </w:tr>
      <w:tr w:rsidR="003C5CC7" w:rsidRPr="00AE5090" w14:paraId="4617EFE2"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3D3347C9"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Alliance Islamic Bank Berhad</w:t>
            </w:r>
          </w:p>
          <w:p w14:paraId="7355CAC0"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3D5014B2"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4436CEB3"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05A4814C"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1300F30A"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2678837A"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7858A5A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7BD8CD3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4744A7A4"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15.82</w:t>
            </w:r>
          </w:p>
        </w:tc>
        <w:tc>
          <w:tcPr>
            <w:tcW w:w="1249" w:type="dxa"/>
            <w:noWrap/>
            <w:hideMark/>
          </w:tcPr>
          <w:p w14:paraId="2FE02C8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0.89</w:t>
            </w:r>
          </w:p>
        </w:tc>
      </w:tr>
      <w:tr w:rsidR="003C5CC7" w:rsidRPr="00AE5090" w14:paraId="155449BE"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1F5A9296" w14:textId="77777777" w:rsidR="003C5CC7" w:rsidRPr="00AE5090" w:rsidRDefault="003C5CC7" w:rsidP="00D43AA5">
            <w:pPr>
              <w:rPr>
                <w:b/>
                <w:bCs/>
                <w:i w:val="0"/>
                <w:iCs w:val="0"/>
                <w:color w:val="000000"/>
                <w:sz w:val="24"/>
                <w:szCs w:val="22"/>
              </w:rPr>
            </w:pPr>
          </w:p>
        </w:tc>
        <w:tc>
          <w:tcPr>
            <w:tcW w:w="1029" w:type="dxa"/>
            <w:noWrap/>
            <w:hideMark/>
          </w:tcPr>
          <w:p w14:paraId="70B64407"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1B5CC1F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50892F1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39DF63F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16.03</w:t>
            </w:r>
          </w:p>
        </w:tc>
        <w:tc>
          <w:tcPr>
            <w:tcW w:w="1249" w:type="dxa"/>
            <w:noWrap/>
            <w:hideMark/>
          </w:tcPr>
          <w:p w14:paraId="4A0AA47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0.91</w:t>
            </w:r>
          </w:p>
        </w:tc>
      </w:tr>
      <w:tr w:rsidR="003C5CC7" w:rsidRPr="00AE5090" w14:paraId="1DFF5A0A"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5D9DAFB3" w14:textId="77777777" w:rsidR="003C5CC7" w:rsidRPr="00AE5090" w:rsidRDefault="003C5CC7" w:rsidP="00D43AA5">
            <w:pPr>
              <w:rPr>
                <w:b/>
                <w:bCs/>
                <w:i w:val="0"/>
                <w:iCs w:val="0"/>
                <w:color w:val="000000"/>
                <w:sz w:val="24"/>
                <w:szCs w:val="22"/>
              </w:rPr>
            </w:pPr>
          </w:p>
        </w:tc>
        <w:tc>
          <w:tcPr>
            <w:tcW w:w="1029" w:type="dxa"/>
            <w:noWrap/>
            <w:hideMark/>
          </w:tcPr>
          <w:p w14:paraId="056A5048"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5A967CF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5A462E3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0.04</w:t>
            </w:r>
          </w:p>
        </w:tc>
        <w:tc>
          <w:tcPr>
            <w:tcW w:w="1245" w:type="dxa"/>
            <w:noWrap/>
            <w:hideMark/>
          </w:tcPr>
          <w:p w14:paraId="5168875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16.10</w:t>
            </w:r>
          </w:p>
        </w:tc>
        <w:tc>
          <w:tcPr>
            <w:tcW w:w="1249" w:type="dxa"/>
            <w:noWrap/>
            <w:hideMark/>
          </w:tcPr>
          <w:p w14:paraId="321D02C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0.90</w:t>
            </w:r>
          </w:p>
        </w:tc>
      </w:tr>
      <w:tr w:rsidR="003C5CC7" w:rsidRPr="00AE5090" w14:paraId="59662D54"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682E06C0" w14:textId="77777777" w:rsidR="003C5CC7" w:rsidRPr="00AE5090" w:rsidRDefault="003C5CC7" w:rsidP="00D43AA5">
            <w:pPr>
              <w:rPr>
                <w:b/>
                <w:bCs/>
                <w:i w:val="0"/>
                <w:iCs w:val="0"/>
                <w:color w:val="000000"/>
                <w:sz w:val="24"/>
                <w:szCs w:val="22"/>
              </w:rPr>
            </w:pPr>
          </w:p>
        </w:tc>
        <w:tc>
          <w:tcPr>
            <w:tcW w:w="1029" w:type="dxa"/>
            <w:noWrap/>
            <w:hideMark/>
          </w:tcPr>
          <w:p w14:paraId="48C5DAC7"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6966D4C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28FD403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16945B3D"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16.11</w:t>
            </w:r>
          </w:p>
        </w:tc>
        <w:tc>
          <w:tcPr>
            <w:tcW w:w="1249" w:type="dxa"/>
            <w:noWrap/>
            <w:hideMark/>
          </w:tcPr>
          <w:p w14:paraId="547CF8E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0.90</w:t>
            </w:r>
          </w:p>
        </w:tc>
      </w:tr>
      <w:tr w:rsidR="003C5CC7" w:rsidRPr="00AE5090" w14:paraId="1AB96FA1"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3FE5E72D" w14:textId="77777777" w:rsidR="003C5CC7" w:rsidRPr="00AE5090" w:rsidRDefault="003C5CC7" w:rsidP="00D43AA5">
            <w:pPr>
              <w:rPr>
                <w:b/>
                <w:bCs/>
                <w:i w:val="0"/>
                <w:iCs w:val="0"/>
                <w:color w:val="000000"/>
                <w:sz w:val="24"/>
                <w:szCs w:val="22"/>
              </w:rPr>
            </w:pPr>
          </w:p>
        </w:tc>
        <w:tc>
          <w:tcPr>
            <w:tcW w:w="1029" w:type="dxa"/>
            <w:noWrap/>
            <w:hideMark/>
          </w:tcPr>
          <w:p w14:paraId="71E28642"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1A4574C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0.98</w:t>
            </w:r>
          </w:p>
        </w:tc>
        <w:tc>
          <w:tcPr>
            <w:tcW w:w="1536" w:type="dxa"/>
            <w:noWrap/>
            <w:hideMark/>
          </w:tcPr>
          <w:p w14:paraId="759EF327"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6DE303B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16.25</w:t>
            </w:r>
          </w:p>
        </w:tc>
        <w:tc>
          <w:tcPr>
            <w:tcW w:w="1249" w:type="dxa"/>
            <w:noWrap/>
            <w:hideMark/>
          </w:tcPr>
          <w:p w14:paraId="3912A10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0.85</w:t>
            </w:r>
          </w:p>
        </w:tc>
      </w:tr>
      <w:tr w:rsidR="003C5CC7" w:rsidRPr="00AE5090" w14:paraId="03F1CB29"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56FC2949" w14:textId="77777777" w:rsidR="003C5CC7" w:rsidRPr="00AE5090" w:rsidRDefault="003C5CC7" w:rsidP="00D43AA5">
            <w:pPr>
              <w:rPr>
                <w:b/>
                <w:bCs/>
                <w:i w:val="0"/>
                <w:iCs w:val="0"/>
                <w:color w:val="000000"/>
                <w:sz w:val="24"/>
                <w:szCs w:val="22"/>
              </w:rPr>
            </w:pPr>
          </w:p>
        </w:tc>
        <w:tc>
          <w:tcPr>
            <w:tcW w:w="1029" w:type="dxa"/>
            <w:noWrap/>
            <w:hideMark/>
          </w:tcPr>
          <w:p w14:paraId="22C8BF65"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0A63526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1F5DACB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67B793C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16.06</w:t>
            </w:r>
          </w:p>
        </w:tc>
        <w:tc>
          <w:tcPr>
            <w:tcW w:w="1249" w:type="dxa"/>
            <w:noWrap/>
            <w:hideMark/>
          </w:tcPr>
          <w:p w14:paraId="08AD85C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0.89</w:t>
            </w:r>
          </w:p>
        </w:tc>
      </w:tr>
      <w:tr w:rsidR="003C5CC7" w:rsidRPr="00AE5090" w14:paraId="38FCB263"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6E0B8948"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Standard Chartered Saadiq Berhad</w:t>
            </w:r>
          </w:p>
          <w:p w14:paraId="4B9E817F"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1ADAC62C"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55F14213"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2380C6AB"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1E5259F3"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tc>
        <w:tc>
          <w:tcPr>
            <w:tcW w:w="1029" w:type="dxa"/>
            <w:noWrap/>
            <w:hideMark/>
          </w:tcPr>
          <w:p w14:paraId="58519239"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4C63717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0.97</w:t>
            </w:r>
          </w:p>
        </w:tc>
        <w:tc>
          <w:tcPr>
            <w:tcW w:w="1536" w:type="dxa"/>
            <w:noWrap/>
            <w:hideMark/>
          </w:tcPr>
          <w:p w14:paraId="1E04DD7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3BB1D68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16.09</w:t>
            </w:r>
          </w:p>
        </w:tc>
        <w:tc>
          <w:tcPr>
            <w:tcW w:w="1249" w:type="dxa"/>
            <w:noWrap/>
            <w:hideMark/>
          </w:tcPr>
          <w:p w14:paraId="307FFC3E"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0.88</w:t>
            </w:r>
          </w:p>
        </w:tc>
      </w:tr>
      <w:tr w:rsidR="003C5CC7" w:rsidRPr="00AE5090" w14:paraId="5BCE489C"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51544DF7" w14:textId="77777777" w:rsidR="003C5CC7" w:rsidRPr="00AE5090" w:rsidRDefault="003C5CC7" w:rsidP="00D43AA5">
            <w:pPr>
              <w:rPr>
                <w:b/>
                <w:bCs/>
                <w:i w:val="0"/>
                <w:iCs w:val="0"/>
                <w:color w:val="000000"/>
                <w:sz w:val="24"/>
                <w:szCs w:val="22"/>
              </w:rPr>
            </w:pPr>
          </w:p>
        </w:tc>
        <w:tc>
          <w:tcPr>
            <w:tcW w:w="1029" w:type="dxa"/>
            <w:noWrap/>
            <w:hideMark/>
          </w:tcPr>
          <w:p w14:paraId="2A3FD9F1"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6E98CAE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0.80</w:t>
            </w:r>
          </w:p>
        </w:tc>
        <w:tc>
          <w:tcPr>
            <w:tcW w:w="1536" w:type="dxa"/>
            <w:noWrap/>
            <w:hideMark/>
          </w:tcPr>
          <w:p w14:paraId="76AC6C95"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4FCE95BA"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16.24</w:t>
            </w:r>
          </w:p>
        </w:tc>
        <w:tc>
          <w:tcPr>
            <w:tcW w:w="1249" w:type="dxa"/>
            <w:noWrap/>
            <w:hideMark/>
          </w:tcPr>
          <w:p w14:paraId="4352D550"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0.86</w:t>
            </w:r>
          </w:p>
        </w:tc>
      </w:tr>
      <w:tr w:rsidR="003C5CC7" w:rsidRPr="00AE5090" w14:paraId="5D8EFE69"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13C46DC1" w14:textId="77777777" w:rsidR="003C5CC7" w:rsidRPr="00AE5090" w:rsidRDefault="003C5CC7" w:rsidP="00D43AA5">
            <w:pPr>
              <w:rPr>
                <w:b/>
                <w:bCs/>
                <w:i w:val="0"/>
                <w:iCs w:val="0"/>
                <w:color w:val="000000"/>
                <w:sz w:val="24"/>
                <w:szCs w:val="22"/>
              </w:rPr>
            </w:pPr>
          </w:p>
        </w:tc>
        <w:tc>
          <w:tcPr>
            <w:tcW w:w="1029" w:type="dxa"/>
            <w:noWrap/>
            <w:hideMark/>
          </w:tcPr>
          <w:p w14:paraId="71B339DC"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03BFA85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0.91</w:t>
            </w:r>
          </w:p>
        </w:tc>
        <w:tc>
          <w:tcPr>
            <w:tcW w:w="1536" w:type="dxa"/>
            <w:noWrap/>
            <w:hideMark/>
          </w:tcPr>
          <w:p w14:paraId="6AA97EA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036C81DF"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16.03</w:t>
            </w:r>
          </w:p>
        </w:tc>
        <w:tc>
          <w:tcPr>
            <w:tcW w:w="1249" w:type="dxa"/>
            <w:noWrap/>
            <w:hideMark/>
          </w:tcPr>
          <w:p w14:paraId="74BEFA2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0.62</w:t>
            </w:r>
          </w:p>
        </w:tc>
      </w:tr>
      <w:tr w:rsidR="003C5CC7" w:rsidRPr="00AE5090" w14:paraId="59453DAD"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51C2D8FC" w14:textId="77777777" w:rsidR="003C5CC7" w:rsidRPr="00AE5090" w:rsidRDefault="003C5CC7" w:rsidP="00D43AA5">
            <w:pPr>
              <w:rPr>
                <w:b/>
                <w:bCs/>
                <w:i w:val="0"/>
                <w:iCs w:val="0"/>
                <w:color w:val="000000"/>
                <w:sz w:val="24"/>
                <w:szCs w:val="22"/>
              </w:rPr>
            </w:pPr>
          </w:p>
        </w:tc>
        <w:tc>
          <w:tcPr>
            <w:tcW w:w="1029" w:type="dxa"/>
            <w:noWrap/>
            <w:hideMark/>
          </w:tcPr>
          <w:p w14:paraId="3B0B2964"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363FC61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479FDF69"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5B4AA4A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15.87</w:t>
            </w:r>
          </w:p>
        </w:tc>
        <w:tc>
          <w:tcPr>
            <w:tcW w:w="1249" w:type="dxa"/>
            <w:noWrap/>
            <w:hideMark/>
          </w:tcPr>
          <w:p w14:paraId="599C390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0.42</w:t>
            </w:r>
          </w:p>
        </w:tc>
      </w:tr>
      <w:tr w:rsidR="003C5CC7" w:rsidRPr="00AE5090" w14:paraId="58C3A21B"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505BF827" w14:textId="77777777" w:rsidR="003C5CC7" w:rsidRPr="00AE5090" w:rsidRDefault="003C5CC7" w:rsidP="00D43AA5">
            <w:pPr>
              <w:rPr>
                <w:b/>
                <w:bCs/>
                <w:i w:val="0"/>
                <w:iCs w:val="0"/>
                <w:color w:val="000000"/>
                <w:sz w:val="24"/>
                <w:szCs w:val="22"/>
              </w:rPr>
            </w:pPr>
          </w:p>
        </w:tc>
        <w:tc>
          <w:tcPr>
            <w:tcW w:w="1029" w:type="dxa"/>
            <w:noWrap/>
            <w:hideMark/>
          </w:tcPr>
          <w:p w14:paraId="734BD5FE"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3F5D6BB5"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0.95</w:t>
            </w:r>
          </w:p>
        </w:tc>
        <w:tc>
          <w:tcPr>
            <w:tcW w:w="1536" w:type="dxa"/>
            <w:noWrap/>
            <w:hideMark/>
          </w:tcPr>
          <w:p w14:paraId="7DF9D11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73D79DD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15.88</w:t>
            </w:r>
          </w:p>
        </w:tc>
        <w:tc>
          <w:tcPr>
            <w:tcW w:w="1249" w:type="dxa"/>
            <w:noWrap/>
            <w:hideMark/>
          </w:tcPr>
          <w:p w14:paraId="31CE774D"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0.42</w:t>
            </w:r>
          </w:p>
        </w:tc>
      </w:tr>
      <w:tr w:rsidR="003C5CC7" w:rsidRPr="00AE5090" w14:paraId="1EB01D16"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642EDD8B" w14:textId="77777777" w:rsidR="003C5CC7" w:rsidRPr="00AE5090" w:rsidRDefault="003C5CC7" w:rsidP="00D43AA5">
            <w:pPr>
              <w:rPr>
                <w:b/>
                <w:bCs/>
                <w:i w:val="0"/>
                <w:iCs w:val="0"/>
                <w:color w:val="000000"/>
                <w:sz w:val="24"/>
                <w:szCs w:val="22"/>
              </w:rPr>
            </w:pPr>
          </w:p>
        </w:tc>
        <w:tc>
          <w:tcPr>
            <w:tcW w:w="1029" w:type="dxa"/>
            <w:noWrap/>
            <w:hideMark/>
          </w:tcPr>
          <w:p w14:paraId="74F6015F"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1C9F9E9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0.92</w:t>
            </w:r>
          </w:p>
        </w:tc>
        <w:tc>
          <w:tcPr>
            <w:tcW w:w="1536" w:type="dxa"/>
            <w:noWrap/>
            <w:hideMark/>
          </w:tcPr>
          <w:p w14:paraId="3293AABF"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660A3B73"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16.02</w:t>
            </w:r>
          </w:p>
        </w:tc>
        <w:tc>
          <w:tcPr>
            <w:tcW w:w="1249" w:type="dxa"/>
            <w:noWrap/>
            <w:hideMark/>
          </w:tcPr>
          <w:p w14:paraId="3197915B"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0.64</w:t>
            </w:r>
          </w:p>
        </w:tc>
      </w:tr>
      <w:tr w:rsidR="003C5CC7" w:rsidRPr="00AE5090" w14:paraId="57B99704"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val="restart"/>
            <w:noWrap/>
            <w:hideMark/>
          </w:tcPr>
          <w:p w14:paraId="6558A457"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Maybank Islamic Berhad</w:t>
            </w:r>
          </w:p>
          <w:p w14:paraId="14A58529"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2CF22A6C"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6152315F"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293CF5EF" w14:textId="77777777" w:rsidR="003C5CC7" w:rsidRPr="00AE5090" w:rsidRDefault="003C5CC7" w:rsidP="00D43AA5">
            <w:pPr>
              <w:rPr>
                <w:b/>
                <w:bCs/>
                <w:i w:val="0"/>
                <w:iCs w:val="0"/>
                <w:color w:val="000000"/>
                <w:sz w:val="24"/>
                <w:szCs w:val="22"/>
              </w:rPr>
            </w:pPr>
            <w:r w:rsidRPr="00AE5090">
              <w:rPr>
                <w:b/>
                <w:bCs/>
                <w:i w:val="0"/>
                <w:iCs w:val="0"/>
                <w:color w:val="000000"/>
                <w:sz w:val="24"/>
                <w:szCs w:val="22"/>
              </w:rPr>
              <w:t> </w:t>
            </w:r>
          </w:p>
          <w:p w14:paraId="4F3B26BA" w14:textId="77777777" w:rsidR="00B27868" w:rsidRDefault="00B27868" w:rsidP="00D43AA5">
            <w:pPr>
              <w:rPr>
                <w:b/>
                <w:bCs/>
                <w:color w:val="000000"/>
                <w:szCs w:val="22"/>
              </w:rPr>
            </w:pPr>
          </w:p>
          <w:p w14:paraId="22B3A54C" w14:textId="014F0338" w:rsidR="003C5CC7" w:rsidRPr="00AE5090" w:rsidRDefault="003C5CC7" w:rsidP="00B27868">
            <w:pPr>
              <w:ind w:right="240"/>
              <w:rPr>
                <w:b/>
                <w:bCs/>
                <w:i w:val="0"/>
                <w:iCs w:val="0"/>
                <w:color w:val="000000"/>
                <w:sz w:val="24"/>
                <w:szCs w:val="22"/>
              </w:rPr>
            </w:pPr>
            <w:r w:rsidRPr="00AE5090">
              <w:rPr>
                <w:b/>
                <w:bCs/>
                <w:i w:val="0"/>
                <w:iCs w:val="0"/>
                <w:color w:val="000000"/>
                <w:sz w:val="24"/>
                <w:szCs w:val="22"/>
              </w:rPr>
              <w:t> </w:t>
            </w:r>
          </w:p>
        </w:tc>
        <w:tc>
          <w:tcPr>
            <w:tcW w:w="1029" w:type="dxa"/>
            <w:noWrap/>
            <w:hideMark/>
          </w:tcPr>
          <w:p w14:paraId="60D9156C"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2014</w:t>
            </w:r>
          </w:p>
        </w:tc>
        <w:tc>
          <w:tcPr>
            <w:tcW w:w="1423" w:type="dxa"/>
            <w:noWrap/>
            <w:hideMark/>
          </w:tcPr>
          <w:p w14:paraId="0317AEA6"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0.95</w:t>
            </w:r>
          </w:p>
        </w:tc>
        <w:tc>
          <w:tcPr>
            <w:tcW w:w="1536" w:type="dxa"/>
            <w:noWrap/>
            <w:hideMark/>
          </w:tcPr>
          <w:p w14:paraId="3E93C4B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45ED5820"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18.73</w:t>
            </w:r>
          </w:p>
        </w:tc>
        <w:tc>
          <w:tcPr>
            <w:tcW w:w="1249" w:type="dxa"/>
            <w:noWrap/>
            <w:hideMark/>
          </w:tcPr>
          <w:p w14:paraId="3D5A995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0.93</w:t>
            </w:r>
          </w:p>
        </w:tc>
      </w:tr>
      <w:tr w:rsidR="003C5CC7" w:rsidRPr="00AE5090" w14:paraId="644DD575"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05E34A53" w14:textId="77777777" w:rsidR="003C5CC7" w:rsidRPr="00AE5090" w:rsidRDefault="003C5CC7" w:rsidP="00D43AA5">
            <w:pPr>
              <w:rPr>
                <w:b/>
                <w:bCs/>
                <w:i w:val="0"/>
                <w:iCs w:val="0"/>
                <w:color w:val="000000"/>
                <w:sz w:val="24"/>
                <w:szCs w:val="22"/>
              </w:rPr>
            </w:pPr>
          </w:p>
        </w:tc>
        <w:tc>
          <w:tcPr>
            <w:tcW w:w="1029" w:type="dxa"/>
            <w:noWrap/>
            <w:hideMark/>
          </w:tcPr>
          <w:p w14:paraId="7BA70BC5"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2015</w:t>
            </w:r>
          </w:p>
        </w:tc>
        <w:tc>
          <w:tcPr>
            <w:tcW w:w="1423" w:type="dxa"/>
            <w:noWrap/>
            <w:hideMark/>
          </w:tcPr>
          <w:p w14:paraId="527B788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0.95</w:t>
            </w:r>
          </w:p>
        </w:tc>
        <w:tc>
          <w:tcPr>
            <w:tcW w:w="1536" w:type="dxa"/>
            <w:noWrap/>
            <w:hideMark/>
          </w:tcPr>
          <w:p w14:paraId="65CCC051"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7AFAD05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18.87</w:t>
            </w:r>
          </w:p>
        </w:tc>
        <w:tc>
          <w:tcPr>
            <w:tcW w:w="1249" w:type="dxa"/>
            <w:noWrap/>
            <w:hideMark/>
          </w:tcPr>
          <w:p w14:paraId="0318AA67"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0.93</w:t>
            </w:r>
          </w:p>
        </w:tc>
      </w:tr>
      <w:tr w:rsidR="003C5CC7" w:rsidRPr="00AE5090" w14:paraId="297BB550"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1902D182" w14:textId="77777777" w:rsidR="003C5CC7" w:rsidRPr="00AE5090" w:rsidRDefault="003C5CC7" w:rsidP="00D43AA5">
            <w:pPr>
              <w:rPr>
                <w:b/>
                <w:bCs/>
                <w:i w:val="0"/>
                <w:iCs w:val="0"/>
                <w:color w:val="000000"/>
                <w:sz w:val="24"/>
                <w:szCs w:val="22"/>
              </w:rPr>
            </w:pPr>
          </w:p>
        </w:tc>
        <w:tc>
          <w:tcPr>
            <w:tcW w:w="1029" w:type="dxa"/>
            <w:noWrap/>
            <w:hideMark/>
          </w:tcPr>
          <w:p w14:paraId="1C2C3734"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2016</w:t>
            </w:r>
          </w:p>
        </w:tc>
        <w:tc>
          <w:tcPr>
            <w:tcW w:w="1423" w:type="dxa"/>
            <w:noWrap/>
            <w:hideMark/>
          </w:tcPr>
          <w:p w14:paraId="674E8A99"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4B27FF1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58716088"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19.02</w:t>
            </w:r>
          </w:p>
        </w:tc>
        <w:tc>
          <w:tcPr>
            <w:tcW w:w="1249" w:type="dxa"/>
            <w:noWrap/>
            <w:hideMark/>
          </w:tcPr>
          <w:p w14:paraId="1091191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0.93</w:t>
            </w:r>
          </w:p>
        </w:tc>
      </w:tr>
      <w:tr w:rsidR="003C5CC7" w:rsidRPr="00AE5090" w14:paraId="1FAB06E9"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09E77583" w14:textId="77777777" w:rsidR="003C5CC7" w:rsidRPr="00AE5090" w:rsidRDefault="003C5CC7" w:rsidP="00D43AA5">
            <w:pPr>
              <w:rPr>
                <w:b/>
                <w:bCs/>
                <w:i w:val="0"/>
                <w:iCs w:val="0"/>
                <w:color w:val="000000"/>
                <w:sz w:val="24"/>
                <w:szCs w:val="22"/>
              </w:rPr>
            </w:pPr>
          </w:p>
        </w:tc>
        <w:tc>
          <w:tcPr>
            <w:tcW w:w="1029" w:type="dxa"/>
            <w:noWrap/>
            <w:hideMark/>
          </w:tcPr>
          <w:p w14:paraId="0F93E5F4" w14:textId="77777777" w:rsidR="003C5CC7" w:rsidRPr="00AE5090" w:rsidRDefault="003C5CC7" w:rsidP="00D43AA5">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2017</w:t>
            </w:r>
          </w:p>
        </w:tc>
        <w:tc>
          <w:tcPr>
            <w:tcW w:w="1423" w:type="dxa"/>
            <w:noWrap/>
            <w:hideMark/>
          </w:tcPr>
          <w:p w14:paraId="37E9806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0.95</w:t>
            </w:r>
          </w:p>
        </w:tc>
        <w:tc>
          <w:tcPr>
            <w:tcW w:w="1536" w:type="dxa"/>
            <w:noWrap/>
            <w:hideMark/>
          </w:tcPr>
          <w:p w14:paraId="13F0DE0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1A831CE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19.13</w:t>
            </w:r>
          </w:p>
        </w:tc>
        <w:tc>
          <w:tcPr>
            <w:tcW w:w="1249" w:type="dxa"/>
            <w:noWrap/>
            <w:hideMark/>
          </w:tcPr>
          <w:p w14:paraId="32F943CE"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0.90</w:t>
            </w:r>
          </w:p>
        </w:tc>
      </w:tr>
      <w:tr w:rsidR="003C5CC7" w:rsidRPr="00AE5090" w14:paraId="7A24D197" w14:textId="77777777" w:rsidTr="00D43AA5">
        <w:trPr>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7F34E0A6" w14:textId="77777777" w:rsidR="003C5CC7" w:rsidRPr="00AE5090" w:rsidRDefault="003C5CC7" w:rsidP="00D43AA5">
            <w:pPr>
              <w:rPr>
                <w:b/>
                <w:bCs/>
                <w:i w:val="0"/>
                <w:iCs w:val="0"/>
                <w:color w:val="000000"/>
                <w:sz w:val="24"/>
                <w:szCs w:val="22"/>
              </w:rPr>
            </w:pPr>
          </w:p>
        </w:tc>
        <w:tc>
          <w:tcPr>
            <w:tcW w:w="1029" w:type="dxa"/>
            <w:noWrap/>
            <w:hideMark/>
          </w:tcPr>
          <w:p w14:paraId="2A9B2F80" w14:textId="77777777" w:rsidR="003C5CC7" w:rsidRPr="00AE5090" w:rsidRDefault="003C5CC7" w:rsidP="00D43AA5">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2018</w:t>
            </w:r>
          </w:p>
        </w:tc>
        <w:tc>
          <w:tcPr>
            <w:tcW w:w="1423" w:type="dxa"/>
            <w:noWrap/>
            <w:hideMark/>
          </w:tcPr>
          <w:p w14:paraId="1E7A0A42"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4AE847C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0.01</w:t>
            </w:r>
          </w:p>
        </w:tc>
        <w:tc>
          <w:tcPr>
            <w:tcW w:w="1245" w:type="dxa"/>
            <w:noWrap/>
            <w:hideMark/>
          </w:tcPr>
          <w:p w14:paraId="4C15F01C"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19.23</w:t>
            </w:r>
          </w:p>
        </w:tc>
        <w:tc>
          <w:tcPr>
            <w:tcW w:w="1249" w:type="dxa"/>
            <w:noWrap/>
            <w:hideMark/>
          </w:tcPr>
          <w:p w14:paraId="00A94E13" w14:textId="77777777" w:rsidR="003C5CC7" w:rsidRPr="00AE5090" w:rsidRDefault="003C5CC7" w:rsidP="00D43AA5">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AE5090">
              <w:rPr>
                <w:color w:val="000000"/>
                <w:szCs w:val="22"/>
              </w:rPr>
              <w:t>0.90</w:t>
            </w:r>
          </w:p>
        </w:tc>
      </w:tr>
      <w:tr w:rsidR="003C5CC7" w:rsidRPr="00AE5090" w14:paraId="60C0768C" w14:textId="77777777" w:rsidTr="00D43AA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1" w:type="dxa"/>
            <w:vMerge/>
            <w:noWrap/>
            <w:hideMark/>
          </w:tcPr>
          <w:p w14:paraId="718991E1" w14:textId="77777777" w:rsidR="003C5CC7" w:rsidRPr="00AE5090" w:rsidRDefault="003C5CC7" w:rsidP="00D43AA5">
            <w:pPr>
              <w:rPr>
                <w:b/>
                <w:bCs/>
                <w:i w:val="0"/>
                <w:iCs w:val="0"/>
                <w:color w:val="000000"/>
                <w:sz w:val="24"/>
                <w:szCs w:val="22"/>
              </w:rPr>
            </w:pPr>
          </w:p>
        </w:tc>
        <w:tc>
          <w:tcPr>
            <w:tcW w:w="1029" w:type="dxa"/>
            <w:noWrap/>
            <w:hideMark/>
          </w:tcPr>
          <w:p w14:paraId="45AE4C10" w14:textId="77777777" w:rsidR="003C5CC7" w:rsidRPr="00AE5090" w:rsidRDefault="003C5CC7" w:rsidP="00D43AA5">
            <w:pP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Average</w:t>
            </w:r>
          </w:p>
        </w:tc>
        <w:tc>
          <w:tcPr>
            <w:tcW w:w="1423" w:type="dxa"/>
            <w:noWrap/>
            <w:hideMark/>
          </w:tcPr>
          <w:p w14:paraId="4AA8EE3C"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0.96</w:t>
            </w:r>
          </w:p>
        </w:tc>
        <w:tc>
          <w:tcPr>
            <w:tcW w:w="1536" w:type="dxa"/>
            <w:noWrap/>
            <w:hideMark/>
          </w:tcPr>
          <w:p w14:paraId="4DC84744"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0.02</w:t>
            </w:r>
          </w:p>
        </w:tc>
        <w:tc>
          <w:tcPr>
            <w:tcW w:w="1245" w:type="dxa"/>
            <w:noWrap/>
            <w:hideMark/>
          </w:tcPr>
          <w:p w14:paraId="1762E2E2"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19.00</w:t>
            </w:r>
          </w:p>
        </w:tc>
        <w:tc>
          <w:tcPr>
            <w:tcW w:w="1249" w:type="dxa"/>
            <w:noWrap/>
            <w:hideMark/>
          </w:tcPr>
          <w:p w14:paraId="47A6B026" w14:textId="77777777" w:rsidR="003C5CC7" w:rsidRPr="00AE5090" w:rsidRDefault="003C5CC7" w:rsidP="00D43AA5">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AE5090">
              <w:rPr>
                <w:color w:val="000000"/>
                <w:szCs w:val="22"/>
              </w:rPr>
              <w:t>0.92</w:t>
            </w:r>
          </w:p>
        </w:tc>
      </w:tr>
    </w:tbl>
    <w:p w14:paraId="65985CD6" w14:textId="77777777" w:rsidR="00B27868" w:rsidRDefault="00B27868" w:rsidP="0000782B">
      <w:pPr>
        <w:spacing w:line="360" w:lineRule="auto"/>
        <w:jc w:val="both"/>
        <w:rPr>
          <w:rFonts w:ascii="Arial" w:hAnsi="Arial" w:cs="Arial"/>
          <w:b/>
          <w:bCs/>
          <w:u w:val="single"/>
        </w:rPr>
      </w:pPr>
    </w:p>
    <w:p w14:paraId="342C4E93" w14:textId="77777777" w:rsidR="007461FD" w:rsidRDefault="007461FD" w:rsidP="0000782B">
      <w:pPr>
        <w:spacing w:line="360" w:lineRule="auto"/>
        <w:jc w:val="both"/>
        <w:rPr>
          <w:rFonts w:ascii="Arial" w:hAnsi="Arial" w:cs="Arial"/>
          <w:b/>
          <w:bCs/>
          <w:u w:val="single"/>
        </w:rPr>
      </w:pPr>
    </w:p>
    <w:p w14:paraId="0098AD72" w14:textId="77777777" w:rsidR="007461FD" w:rsidRDefault="007461FD" w:rsidP="0000782B">
      <w:pPr>
        <w:spacing w:line="360" w:lineRule="auto"/>
        <w:jc w:val="both"/>
        <w:rPr>
          <w:rFonts w:ascii="Arial" w:hAnsi="Arial" w:cs="Arial"/>
          <w:b/>
          <w:bCs/>
          <w:u w:val="single"/>
        </w:rPr>
      </w:pPr>
    </w:p>
    <w:p w14:paraId="2035DCF0" w14:textId="77777777" w:rsidR="007461FD" w:rsidRDefault="007461FD" w:rsidP="0000782B">
      <w:pPr>
        <w:spacing w:line="360" w:lineRule="auto"/>
        <w:jc w:val="both"/>
        <w:rPr>
          <w:rFonts w:ascii="Arial" w:hAnsi="Arial" w:cs="Arial"/>
          <w:b/>
          <w:bCs/>
          <w:u w:val="single"/>
        </w:rPr>
      </w:pPr>
    </w:p>
    <w:p w14:paraId="6AED5994" w14:textId="1CC978F7" w:rsidR="007461FD" w:rsidRDefault="007461FD" w:rsidP="0000782B">
      <w:pPr>
        <w:spacing w:line="360" w:lineRule="auto"/>
        <w:jc w:val="both"/>
        <w:rPr>
          <w:rFonts w:ascii="Arial" w:hAnsi="Arial" w:cs="Arial"/>
          <w:b/>
          <w:bCs/>
          <w:u w:val="single"/>
        </w:rPr>
      </w:pPr>
    </w:p>
    <w:p w14:paraId="78325067" w14:textId="3D4373DB" w:rsidR="00723267" w:rsidRDefault="00723267" w:rsidP="0000782B">
      <w:pPr>
        <w:spacing w:line="360" w:lineRule="auto"/>
        <w:jc w:val="both"/>
        <w:rPr>
          <w:rFonts w:ascii="Arial" w:hAnsi="Arial" w:cs="Arial"/>
          <w:b/>
          <w:bCs/>
          <w:u w:val="single"/>
        </w:rPr>
      </w:pPr>
    </w:p>
    <w:p w14:paraId="5FC07CE3" w14:textId="77777777" w:rsidR="00723267" w:rsidRDefault="00723267" w:rsidP="0000782B">
      <w:pPr>
        <w:spacing w:line="360" w:lineRule="auto"/>
        <w:jc w:val="both"/>
        <w:rPr>
          <w:rFonts w:ascii="Arial" w:hAnsi="Arial" w:cs="Arial"/>
          <w:b/>
          <w:bCs/>
          <w:u w:val="single"/>
        </w:rPr>
      </w:pPr>
    </w:p>
    <w:p w14:paraId="3229AD9E" w14:textId="4D69B263" w:rsidR="0000782B" w:rsidRDefault="0000782B" w:rsidP="0000782B">
      <w:pPr>
        <w:spacing w:line="360" w:lineRule="auto"/>
        <w:jc w:val="both"/>
        <w:rPr>
          <w:rFonts w:ascii="Arial" w:hAnsi="Arial" w:cs="Arial"/>
          <w:b/>
          <w:bCs/>
          <w:u w:val="single"/>
        </w:rPr>
      </w:pPr>
      <w:r w:rsidRPr="0000782B">
        <w:rPr>
          <w:rFonts w:ascii="Arial" w:hAnsi="Arial" w:cs="Arial"/>
          <w:b/>
          <w:bCs/>
          <w:u w:val="single"/>
        </w:rPr>
        <w:lastRenderedPageBreak/>
        <w:t xml:space="preserve">Appendix </w:t>
      </w:r>
      <w:r>
        <w:rPr>
          <w:rFonts w:ascii="Arial" w:hAnsi="Arial" w:cs="Arial"/>
          <w:b/>
          <w:bCs/>
          <w:u w:val="single"/>
        </w:rPr>
        <w:t>2</w:t>
      </w:r>
      <w:r w:rsidRPr="0000782B">
        <w:rPr>
          <w:rFonts w:ascii="Arial" w:hAnsi="Arial" w:cs="Arial"/>
          <w:b/>
          <w:bCs/>
          <w:u w:val="single"/>
        </w:rPr>
        <w:sym w:font="Symbol" w:char="F03A"/>
      </w:r>
      <w:r w:rsidRPr="0000782B">
        <w:rPr>
          <w:rFonts w:ascii="Arial" w:hAnsi="Arial" w:cs="Arial"/>
          <w:b/>
          <w:bCs/>
          <w:u w:val="single"/>
        </w:rPr>
        <w:t xml:space="preserve"> Reliability Statistics of Conventional and Islamic Banks </w:t>
      </w:r>
    </w:p>
    <w:p w14:paraId="72199EFA" w14:textId="5894262C" w:rsidR="0000782B" w:rsidRPr="0000782B" w:rsidRDefault="0000782B" w:rsidP="0000782B">
      <w:pPr>
        <w:spacing w:line="360" w:lineRule="auto"/>
        <w:jc w:val="both"/>
        <w:rPr>
          <w:rFonts w:ascii="Arial" w:hAnsi="Arial" w:cs="Arial"/>
          <w:b/>
          <w:bCs/>
          <w:u w:val="single"/>
        </w:rPr>
      </w:pPr>
      <w:r>
        <w:rPr>
          <w:rFonts w:ascii="Arial" w:hAnsi="Arial" w:cs="Arial"/>
          <w:b/>
          <w:bCs/>
          <w:noProof/>
          <w:u w:val="single"/>
        </w:rPr>
        <w:drawing>
          <wp:inline distT="0" distB="0" distL="0" distR="0" wp14:anchorId="468943F2" wp14:editId="0CED06EE">
            <wp:extent cx="6247765" cy="2476500"/>
            <wp:effectExtent l="0" t="0" r="635"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3 at 10.55.03 AM.png"/>
                    <pic:cNvPicPr/>
                  </pic:nvPicPr>
                  <pic:blipFill>
                    <a:blip r:embed="rId30">
                      <a:extLst>
                        <a:ext uri="{28A0092B-C50C-407E-A947-70E740481C1C}">
                          <a14:useLocalDpi xmlns:a14="http://schemas.microsoft.com/office/drawing/2010/main" val="0"/>
                        </a:ext>
                      </a:extLst>
                    </a:blip>
                    <a:stretch>
                      <a:fillRect/>
                    </a:stretch>
                  </pic:blipFill>
                  <pic:spPr>
                    <a:xfrm>
                      <a:off x="0" y="0"/>
                      <a:ext cx="6262592" cy="2482377"/>
                    </a:xfrm>
                    <a:prstGeom prst="rect">
                      <a:avLst/>
                    </a:prstGeom>
                  </pic:spPr>
                </pic:pic>
              </a:graphicData>
            </a:graphic>
          </wp:inline>
        </w:drawing>
      </w:r>
    </w:p>
    <w:p w14:paraId="7A643250" w14:textId="2A3965E9" w:rsidR="0000782B" w:rsidRDefault="00631B95" w:rsidP="0000782B">
      <w:pPr>
        <w:spacing w:line="360" w:lineRule="auto"/>
        <w:jc w:val="both"/>
        <w:rPr>
          <w:rFonts w:ascii="Arial" w:hAnsi="Arial" w:cs="Arial"/>
          <w:b/>
          <w:bCs/>
          <w:u w:val="single"/>
        </w:rPr>
      </w:pPr>
      <w:r>
        <w:rPr>
          <w:noProof/>
        </w:rPr>
        <w:drawing>
          <wp:anchor distT="0" distB="0" distL="114300" distR="114300" simplePos="0" relativeHeight="251669504" behindDoc="0" locked="0" layoutInCell="1" allowOverlap="1" wp14:anchorId="7AAB1D9E" wp14:editId="11931ED5">
            <wp:simplePos x="0" y="0"/>
            <wp:positionH relativeFrom="column">
              <wp:posOffset>-1905</wp:posOffset>
            </wp:positionH>
            <wp:positionV relativeFrom="paragraph">
              <wp:posOffset>344170</wp:posOffset>
            </wp:positionV>
            <wp:extent cx="5727700" cy="4834255"/>
            <wp:effectExtent l="0" t="0" r="0" b="4445"/>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12 at 9.23.15 PM.png"/>
                    <pic:cNvPicPr/>
                  </pic:nvPicPr>
                  <pic:blipFill>
                    <a:blip r:embed="rId31">
                      <a:extLst>
                        <a:ext uri="{28A0092B-C50C-407E-A947-70E740481C1C}">
                          <a14:useLocalDpi xmlns:a14="http://schemas.microsoft.com/office/drawing/2010/main" val="0"/>
                        </a:ext>
                      </a:extLst>
                    </a:blip>
                    <a:stretch>
                      <a:fillRect/>
                    </a:stretch>
                  </pic:blipFill>
                  <pic:spPr>
                    <a:xfrm>
                      <a:off x="0" y="0"/>
                      <a:ext cx="5727700" cy="4834255"/>
                    </a:xfrm>
                    <a:prstGeom prst="rect">
                      <a:avLst/>
                    </a:prstGeom>
                  </pic:spPr>
                </pic:pic>
              </a:graphicData>
            </a:graphic>
            <wp14:sizeRelH relativeFrom="page">
              <wp14:pctWidth>0</wp14:pctWidth>
            </wp14:sizeRelH>
            <wp14:sizeRelV relativeFrom="page">
              <wp14:pctHeight>0</wp14:pctHeight>
            </wp14:sizeRelV>
          </wp:anchor>
        </w:drawing>
      </w:r>
      <w:r w:rsidR="0000782B" w:rsidRPr="0000782B">
        <w:rPr>
          <w:rFonts w:ascii="Arial" w:hAnsi="Arial" w:cs="Arial"/>
          <w:b/>
          <w:bCs/>
          <w:u w:val="single"/>
        </w:rPr>
        <w:t xml:space="preserve">Appendix </w:t>
      </w:r>
      <w:r w:rsidR="0000782B">
        <w:rPr>
          <w:rFonts w:ascii="Arial" w:hAnsi="Arial" w:cs="Arial"/>
          <w:b/>
          <w:bCs/>
          <w:u w:val="single"/>
        </w:rPr>
        <w:t>3</w:t>
      </w:r>
      <w:r w:rsidR="0000782B" w:rsidRPr="0000782B">
        <w:rPr>
          <w:rFonts w:ascii="Arial" w:hAnsi="Arial" w:cs="Arial"/>
          <w:b/>
          <w:bCs/>
          <w:u w:val="single"/>
        </w:rPr>
        <w:sym w:font="Symbol" w:char="F03A"/>
      </w:r>
      <w:r w:rsidR="0000782B" w:rsidRPr="0000782B">
        <w:rPr>
          <w:rFonts w:ascii="Arial" w:hAnsi="Arial" w:cs="Arial"/>
          <w:b/>
          <w:bCs/>
          <w:u w:val="single"/>
        </w:rPr>
        <w:t xml:space="preserve"> </w:t>
      </w:r>
      <w:r>
        <w:rPr>
          <w:rFonts w:ascii="Arial" w:hAnsi="Arial" w:cs="Arial"/>
          <w:b/>
          <w:bCs/>
          <w:u w:val="single"/>
        </w:rPr>
        <w:t>Correlation</w:t>
      </w:r>
      <w:r w:rsidR="0000782B" w:rsidRPr="0000782B">
        <w:rPr>
          <w:rFonts w:ascii="Arial" w:hAnsi="Arial" w:cs="Arial"/>
          <w:b/>
          <w:bCs/>
          <w:u w:val="single"/>
        </w:rPr>
        <w:t xml:space="preserve"> of Conventional and Islamic Banks </w:t>
      </w:r>
    </w:p>
    <w:p w14:paraId="1E29963D" w14:textId="7586E701" w:rsidR="00631B95" w:rsidRDefault="00631B95" w:rsidP="00270155">
      <w:pPr>
        <w:spacing w:line="480" w:lineRule="auto"/>
      </w:pPr>
    </w:p>
    <w:p w14:paraId="3C756599" w14:textId="7C08782F" w:rsidR="00631B95" w:rsidRDefault="00B27868" w:rsidP="00631B95">
      <w:pPr>
        <w:spacing w:line="360" w:lineRule="auto"/>
        <w:jc w:val="both"/>
        <w:rPr>
          <w:rFonts w:ascii="Arial" w:hAnsi="Arial" w:cs="Arial"/>
          <w:b/>
          <w:bCs/>
          <w:u w:val="single"/>
        </w:rPr>
      </w:pPr>
      <w:r>
        <w:rPr>
          <w:noProof/>
        </w:rPr>
        <w:lastRenderedPageBreak/>
        <w:drawing>
          <wp:anchor distT="0" distB="0" distL="114300" distR="114300" simplePos="0" relativeHeight="251670528" behindDoc="0" locked="0" layoutInCell="1" allowOverlap="1" wp14:anchorId="4DE6450E" wp14:editId="170043F4">
            <wp:simplePos x="0" y="0"/>
            <wp:positionH relativeFrom="column">
              <wp:posOffset>-283845</wp:posOffset>
            </wp:positionH>
            <wp:positionV relativeFrom="paragraph">
              <wp:posOffset>292100</wp:posOffset>
            </wp:positionV>
            <wp:extent cx="5727700" cy="2328545"/>
            <wp:effectExtent l="0" t="0" r="0" b="0"/>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12 at 10.34.56 PM.png"/>
                    <pic:cNvPicPr/>
                  </pic:nvPicPr>
                  <pic:blipFill>
                    <a:blip r:embed="rId32">
                      <a:extLst>
                        <a:ext uri="{28A0092B-C50C-407E-A947-70E740481C1C}">
                          <a14:useLocalDpi xmlns:a14="http://schemas.microsoft.com/office/drawing/2010/main" val="0"/>
                        </a:ext>
                      </a:extLst>
                    </a:blip>
                    <a:stretch>
                      <a:fillRect/>
                    </a:stretch>
                  </pic:blipFill>
                  <pic:spPr>
                    <a:xfrm>
                      <a:off x="0" y="0"/>
                      <a:ext cx="5727700" cy="2328545"/>
                    </a:xfrm>
                    <a:prstGeom prst="rect">
                      <a:avLst/>
                    </a:prstGeom>
                  </pic:spPr>
                </pic:pic>
              </a:graphicData>
            </a:graphic>
            <wp14:sizeRelH relativeFrom="page">
              <wp14:pctWidth>0</wp14:pctWidth>
            </wp14:sizeRelH>
            <wp14:sizeRelV relativeFrom="page">
              <wp14:pctHeight>0</wp14:pctHeight>
            </wp14:sizeRelV>
          </wp:anchor>
        </w:drawing>
      </w:r>
      <w:r w:rsidR="00631B95" w:rsidRPr="0000782B">
        <w:rPr>
          <w:rFonts w:ascii="Arial" w:hAnsi="Arial" w:cs="Arial"/>
          <w:b/>
          <w:bCs/>
          <w:u w:val="single"/>
        </w:rPr>
        <w:t xml:space="preserve">Appendix </w:t>
      </w:r>
      <w:r w:rsidR="00631B95">
        <w:rPr>
          <w:rFonts w:ascii="Arial" w:hAnsi="Arial" w:cs="Arial"/>
          <w:b/>
          <w:bCs/>
          <w:u w:val="single"/>
        </w:rPr>
        <w:t>4</w:t>
      </w:r>
      <w:r w:rsidR="00631B95" w:rsidRPr="0000782B">
        <w:rPr>
          <w:rFonts w:ascii="Arial" w:hAnsi="Arial" w:cs="Arial"/>
          <w:b/>
          <w:bCs/>
          <w:u w:val="single"/>
        </w:rPr>
        <w:sym w:font="Symbol" w:char="F03A"/>
      </w:r>
      <w:r w:rsidR="00631B95" w:rsidRPr="0000782B">
        <w:rPr>
          <w:rFonts w:ascii="Arial" w:hAnsi="Arial" w:cs="Arial"/>
          <w:b/>
          <w:bCs/>
          <w:u w:val="single"/>
        </w:rPr>
        <w:t xml:space="preserve"> </w:t>
      </w:r>
      <w:r w:rsidR="00631B95">
        <w:rPr>
          <w:rFonts w:ascii="Arial" w:hAnsi="Arial" w:cs="Arial"/>
          <w:b/>
          <w:bCs/>
          <w:u w:val="single"/>
        </w:rPr>
        <w:t>ANOVA</w:t>
      </w:r>
      <w:r w:rsidR="00631B95" w:rsidRPr="0000782B">
        <w:rPr>
          <w:rFonts w:ascii="Arial" w:hAnsi="Arial" w:cs="Arial"/>
          <w:b/>
          <w:bCs/>
          <w:u w:val="single"/>
        </w:rPr>
        <w:t xml:space="preserve"> of Conventional and Islamic Banks </w:t>
      </w:r>
    </w:p>
    <w:p w14:paraId="4E6166B7" w14:textId="65122B9E" w:rsidR="002A308D" w:rsidRDefault="002A308D" w:rsidP="002A308D">
      <w:pPr>
        <w:spacing w:line="360" w:lineRule="auto"/>
        <w:jc w:val="both"/>
        <w:rPr>
          <w:rFonts w:ascii="Arial" w:hAnsi="Arial" w:cs="Arial"/>
          <w:b/>
          <w:bCs/>
          <w:u w:val="single"/>
        </w:rPr>
      </w:pPr>
    </w:p>
    <w:p w14:paraId="5904BF5C" w14:textId="05203989" w:rsidR="002A308D" w:rsidRDefault="00723267" w:rsidP="00B27868">
      <w:pPr>
        <w:spacing w:line="360" w:lineRule="auto"/>
        <w:jc w:val="both"/>
        <w:rPr>
          <w:rFonts w:ascii="Arial" w:hAnsi="Arial" w:cs="Arial"/>
          <w:b/>
          <w:bCs/>
          <w:u w:val="single"/>
        </w:rPr>
      </w:pPr>
      <w:r>
        <w:rPr>
          <w:noProof/>
        </w:rPr>
        <w:drawing>
          <wp:anchor distT="0" distB="0" distL="114300" distR="114300" simplePos="0" relativeHeight="251677696" behindDoc="0" locked="0" layoutInCell="1" allowOverlap="1" wp14:anchorId="457501BA" wp14:editId="6C573AD2">
            <wp:simplePos x="0" y="0"/>
            <wp:positionH relativeFrom="column">
              <wp:posOffset>-286385</wp:posOffset>
            </wp:positionH>
            <wp:positionV relativeFrom="paragraph">
              <wp:posOffset>639393</wp:posOffset>
            </wp:positionV>
            <wp:extent cx="6160770" cy="4931410"/>
            <wp:effectExtent l="0" t="0" r="0" b="0"/>
            <wp:wrapSquare wrapText="bothSides"/>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2-16 at 9.52.11 PM.png"/>
                    <pic:cNvPicPr/>
                  </pic:nvPicPr>
                  <pic:blipFill>
                    <a:blip r:embed="rId33">
                      <a:extLst>
                        <a:ext uri="{28A0092B-C50C-407E-A947-70E740481C1C}">
                          <a14:useLocalDpi xmlns:a14="http://schemas.microsoft.com/office/drawing/2010/main" val="0"/>
                        </a:ext>
                      </a:extLst>
                    </a:blip>
                    <a:stretch>
                      <a:fillRect/>
                    </a:stretch>
                  </pic:blipFill>
                  <pic:spPr>
                    <a:xfrm>
                      <a:off x="0" y="0"/>
                      <a:ext cx="6160770" cy="4931410"/>
                    </a:xfrm>
                    <a:prstGeom prst="rect">
                      <a:avLst/>
                    </a:prstGeom>
                  </pic:spPr>
                </pic:pic>
              </a:graphicData>
            </a:graphic>
            <wp14:sizeRelH relativeFrom="page">
              <wp14:pctWidth>0</wp14:pctWidth>
            </wp14:sizeRelH>
            <wp14:sizeRelV relativeFrom="page">
              <wp14:pctHeight>0</wp14:pctHeight>
            </wp14:sizeRelV>
          </wp:anchor>
        </w:drawing>
      </w:r>
      <w:r w:rsidR="002A308D" w:rsidRPr="0000782B">
        <w:rPr>
          <w:rFonts w:ascii="Arial" w:hAnsi="Arial" w:cs="Arial"/>
          <w:b/>
          <w:bCs/>
          <w:u w:val="single"/>
        </w:rPr>
        <w:t xml:space="preserve">Appendix </w:t>
      </w:r>
      <w:r w:rsidR="002A308D">
        <w:rPr>
          <w:rFonts w:ascii="Arial" w:hAnsi="Arial" w:cs="Arial"/>
          <w:b/>
          <w:bCs/>
          <w:u w:val="single"/>
        </w:rPr>
        <w:t>5</w:t>
      </w:r>
      <w:r w:rsidR="002A308D" w:rsidRPr="0000782B">
        <w:rPr>
          <w:rFonts w:ascii="Arial" w:hAnsi="Arial" w:cs="Arial"/>
          <w:b/>
          <w:bCs/>
          <w:u w:val="single"/>
        </w:rPr>
        <w:sym w:font="Symbol" w:char="F03A"/>
      </w:r>
      <w:r w:rsidR="002A308D" w:rsidRPr="0000782B">
        <w:rPr>
          <w:rFonts w:ascii="Arial" w:hAnsi="Arial" w:cs="Arial"/>
          <w:b/>
          <w:bCs/>
          <w:u w:val="single"/>
        </w:rPr>
        <w:t xml:space="preserve"> </w:t>
      </w:r>
      <w:r w:rsidR="002A308D">
        <w:rPr>
          <w:rFonts w:ascii="Arial" w:hAnsi="Arial" w:cs="Arial"/>
          <w:b/>
          <w:bCs/>
          <w:u w:val="single"/>
        </w:rPr>
        <w:t>Regression Results for Liquidity Risk from other Research Paper</w:t>
      </w:r>
      <w:r w:rsidR="002A308D" w:rsidRPr="0000782B">
        <w:rPr>
          <w:rFonts w:ascii="Arial" w:hAnsi="Arial" w:cs="Arial"/>
          <w:b/>
          <w:bCs/>
          <w:u w:val="single"/>
        </w:rPr>
        <w:t xml:space="preserve"> </w:t>
      </w:r>
    </w:p>
    <w:p w14:paraId="6BB78B3C" w14:textId="6913226A" w:rsidR="003C5CC7" w:rsidRDefault="007461FD" w:rsidP="00B27868">
      <w:pPr>
        <w:spacing w:line="360" w:lineRule="auto"/>
        <w:jc w:val="both"/>
        <w:rPr>
          <w:rFonts w:ascii="Arial" w:hAnsi="Arial" w:cs="Arial"/>
          <w:b/>
          <w:bCs/>
          <w:u w:val="single"/>
        </w:rPr>
      </w:pPr>
      <w:r>
        <w:rPr>
          <w:rFonts w:ascii="Arial" w:hAnsi="Arial" w:cs="Arial"/>
          <w:b/>
          <w:bCs/>
          <w:noProof/>
          <w:u w:val="single"/>
        </w:rPr>
        <w:lastRenderedPageBreak/>
        <w:drawing>
          <wp:anchor distT="0" distB="0" distL="114300" distR="114300" simplePos="0" relativeHeight="251678720" behindDoc="0" locked="0" layoutInCell="1" allowOverlap="1" wp14:anchorId="37C60D1F" wp14:editId="0C35D7C0">
            <wp:simplePos x="0" y="0"/>
            <wp:positionH relativeFrom="column">
              <wp:posOffset>-304165</wp:posOffset>
            </wp:positionH>
            <wp:positionV relativeFrom="paragraph">
              <wp:posOffset>267970</wp:posOffset>
            </wp:positionV>
            <wp:extent cx="6036945" cy="7863840"/>
            <wp:effectExtent l="0" t="0" r="0" b="0"/>
            <wp:wrapSquare wrapText="bothSides"/>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18 at 3.42.38 PM.png"/>
                    <pic:cNvPicPr/>
                  </pic:nvPicPr>
                  <pic:blipFill>
                    <a:blip r:embed="rId34">
                      <a:extLst>
                        <a:ext uri="{28A0092B-C50C-407E-A947-70E740481C1C}">
                          <a14:useLocalDpi xmlns:a14="http://schemas.microsoft.com/office/drawing/2010/main" val="0"/>
                        </a:ext>
                      </a:extLst>
                    </a:blip>
                    <a:stretch>
                      <a:fillRect/>
                    </a:stretch>
                  </pic:blipFill>
                  <pic:spPr>
                    <a:xfrm>
                      <a:off x="0" y="0"/>
                      <a:ext cx="6036945" cy="7863840"/>
                    </a:xfrm>
                    <a:prstGeom prst="rect">
                      <a:avLst/>
                    </a:prstGeom>
                  </pic:spPr>
                </pic:pic>
              </a:graphicData>
            </a:graphic>
            <wp14:sizeRelH relativeFrom="page">
              <wp14:pctWidth>0</wp14:pctWidth>
            </wp14:sizeRelH>
            <wp14:sizeRelV relativeFrom="page">
              <wp14:pctHeight>0</wp14:pctHeight>
            </wp14:sizeRelV>
          </wp:anchor>
        </w:drawing>
      </w:r>
      <w:r w:rsidR="00B27868">
        <w:rPr>
          <w:noProof/>
        </w:rPr>
        <w:drawing>
          <wp:anchor distT="0" distB="0" distL="114300" distR="114300" simplePos="0" relativeHeight="251671552" behindDoc="0" locked="0" layoutInCell="1" allowOverlap="1" wp14:anchorId="7AD17E44" wp14:editId="6D604B2E">
            <wp:simplePos x="0" y="0"/>
            <wp:positionH relativeFrom="column">
              <wp:posOffset>-281940</wp:posOffset>
            </wp:positionH>
            <wp:positionV relativeFrom="paragraph">
              <wp:posOffset>542290</wp:posOffset>
            </wp:positionV>
            <wp:extent cx="6161405" cy="5739130"/>
            <wp:effectExtent l="0" t="0" r="0" b="1270"/>
            <wp:wrapSquare wrapText="bothSides"/>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2-16 at 9.52.11 PM.png"/>
                    <pic:cNvPicPr/>
                  </pic:nvPicPr>
                  <pic:blipFill>
                    <a:blip r:embed="rId33">
                      <a:extLst>
                        <a:ext uri="{28A0092B-C50C-407E-A947-70E740481C1C}">
                          <a14:useLocalDpi xmlns:a14="http://schemas.microsoft.com/office/drawing/2010/main" val="0"/>
                        </a:ext>
                      </a:extLst>
                    </a:blip>
                    <a:stretch>
                      <a:fillRect/>
                    </a:stretch>
                  </pic:blipFill>
                  <pic:spPr>
                    <a:xfrm>
                      <a:off x="0" y="0"/>
                      <a:ext cx="6161405" cy="5739130"/>
                    </a:xfrm>
                    <a:prstGeom prst="rect">
                      <a:avLst/>
                    </a:prstGeom>
                  </pic:spPr>
                </pic:pic>
              </a:graphicData>
            </a:graphic>
            <wp14:sizeRelH relativeFrom="page">
              <wp14:pctWidth>0</wp14:pctWidth>
            </wp14:sizeRelH>
            <wp14:sizeRelV relativeFrom="page">
              <wp14:pctHeight>0</wp14:pctHeight>
            </wp14:sizeRelV>
          </wp:anchor>
        </w:drawing>
      </w:r>
      <w:r w:rsidR="00FC2C24" w:rsidRPr="0000782B">
        <w:rPr>
          <w:rFonts w:ascii="Arial" w:hAnsi="Arial" w:cs="Arial"/>
          <w:b/>
          <w:bCs/>
          <w:u w:val="single"/>
        </w:rPr>
        <w:t xml:space="preserve">Appendix </w:t>
      </w:r>
      <w:r w:rsidR="002A308D">
        <w:rPr>
          <w:rFonts w:ascii="Arial" w:hAnsi="Arial" w:cs="Arial"/>
          <w:b/>
          <w:bCs/>
          <w:u w:val="single"/>
        </w:rPr>
        <w:t>6</w:t>
      </w:r>
      <w:r w:rsidR="00FC2C24" w:rsidRPr="0000782B">
        <w:rPr>
          <w:rFonts w:ascii="Arial" w:hAnsi="Arial" w:cs="Arial"/>
          <w:b/>
          <w:bCs/>
          <w:u w:val="single"/>
        </w:rPr>
        <w:sym w:font="Symbol" w:char="F03A"/>
      </w:r>
      <w:r w:rsidR="00FC2C24" w:rsidRPr="0000782B">
        <w:rPr>
          <w:rFonts w:ascii="Arial" w:hAnsi="Arial" w:cs="Arial"/>
          <w:b/>
          <w:bCs/>
          <w:u w:val="single"/>
        </w:rPr>
        <w:t xml:space="preserve"> </w:t>
      </w:r>
      <w:r w:rsidR="002A308D">
        <w:rPr>
          <w:rFonts w:ascii="Arial" w:hAnsi="Arial" w:cs="Arial"/>
          <w:b/>
          <w:bCs/>
          <w:u w:val="single"/>
        </w:rPr>
        <w:t>Turnin Result</w:t>
      </w:r>
      <w:r w:rsidR="00FC2C24" w:rsidRPr="0000782B">
        <w:rPr>
          <w:rFonts w:ascii="Arial" w:hAnsi="Arial" w:cs="Arial"/>
          <w:b/>
          <w:bCs/>
          <w:u w:val="single"/>
        </w:rPr>
        <w:t xml:space="preserve"> </w:t>
      </w:r>
    </w:p>
    <w:p w14:paraId="41420074" w14:textId="69787B47" w:rsidR="002A308D" w:rsidRDefault="002A308D" w:rsidP="00B27868">
      <w:pPr>
        <w:spacing w:line="360" w:lineRule="auto"/>
        <w:jc w:val="both"/>
        <w:rPr>
          <w:rFonts w:ascii="Arial" w:hAnsi="Arial" w:cs="Arial"/>
          <w:b/>
          <w:bCs/>
          <w:u w:val="single"/>
        </w:rPr>
      </w:pPr>
    </w:p>
    <w:p w14:paraId="4E1E4FB3" w14:textId="417B666C" w:rsidR="00723267" w:rsidRDefault="00723267" w:rsidP="00B27868">
      <w:pPr>
        <w:spacing w:line="360" w:lineRule="auto"/>
        <w:jc w:val="both"/>
        <w:rPr>
          <w:rFonts w:ascii="Arial" w:hAnsi="Arial" w:cs="Arial"/>
          <w:b/>
          <w:bCs/>
          <w:u w:val="single"/>
        </w:rPr>
      </w:pPr>
      <w:r w:rsidRPr="00723267">
        <w:rPr>
          <w:rFonts w:ascii="Arial" w:hAnsi="Arial" w:cs="Arial"/>
          <w:b/>
          <w:bCs/>
          <w:u w:val="single"/>
        </w:rPr>
        <w:lastRenderedPageBreak/>
        <w:t>Appendix 7</w:t>
      </w:r>
      <w:r w:rsidRPr="00723267">
        <w:rPr>
          <w:rFonts w:ascii="Arial" w:hAnsi="Arial" w:cs="Arial"/>
          <w:b/>
          <w:bCs/>
          <w:u w:val="single"/>
        </w:rPr>
        <w:sym w:font="Symbol" w:char="F03A"/>
      </w:r>
      <w:r w:rsidRPr="00723267">
        <w:rPr>
          <w:rFonts w:ascii="Arial" w:hAnsi="Arial" w:cs="Arial"/>
          <w:b/>
          <w:bCs/>
          <w:u w:val="single"/>
        </w:rPr>
        <w:t xml:space="preserve"> Record of Meeting</w:t>
      </w:r>
    </w:p>
    <w:p w14:paraId="36150863" w14:textId="2D3C1681" w:rsidR="00723267" w:rsidRDefault="00723267" w:rsidP="00B27868">
      <w:pPr>
        <w:spacing w:line="360" w:lineRule="auto"/>
        <w:jc w:val="both"/>
        <w:rPr>
          <w:rFonts w:ascii="Arial" w:hAnsi="Arial" w:cs="Arial"/>
          <w:b/>
          <w:bCs/>
          <w:u w:val="single"/>
        </w:rPr>
      </w:pPr>
      <w:r>
        <w:rPr>
          <w:rFonts w:ascii="Arial" w:hAnsi="Arial" w:cs="Arial"/>
          <w:b/>
          <w:bCs/>
          <w:noProof/>
          <w:u w:val="single"/>
        </w:rPr>
        <w:drawing>
          <wp:inline distT="0" distB="0" distL="0" distR="0" wp14:anchorId="40D91F3B" wp14:editId="2694959B">
            <wp:extent cx="5861154" cy="7959725"/>
            <wp:effectExtent l="0" t="0" r="6350" b="3175"/>
            <wp:docPr id="9" name="Picture 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2019-12-20_112426.jpg"/>
                    <pic:cNvPicPr/>
                  </pic:nvPicPr>
                  <pic:blipFill>
                    <a:blip r:embed="rId35" cstate="print">
                      <a:extLst>
                        <a:ext uri="{28A0092B-C50C-407E-A947-70E740481C1C}">
                          <a14:useLocalDpi xmlns:a14="http://schemas.microsoft.com/office/drawing/2010/main" val="0"/>
                        </a:ext>
                      </a:extLst>
                    </a:blip>
                    <a:stretch>
                      <a:fillRect/>
                    </a:stretch>
                  </pic:blipFill>
                  <pic:spPr>
                    <a:xfrm rot="10800000">
                      <a:off x="0" y="0"/>
                      <a:ext cx="5887906" cy="7996056"/>
                    </a:xfrm>
                    <a:prstGeom prst="rect">
                      <a:avLst/>
                    </a:prstGeom>
                  </pic:spPr>
                </pic:pic>
              </a:graphicData>
            </a:graphic>
          </wp:inline>
        </w:drawing>
      </w:r>
    </w:p>
    <w:p w14:paraId="7538195E" w14:textId="0F942C74" w:rsidR="00723267" w:rsidRDefault="00723267" w:rsidP="00B27868">
      <w:pPr>
        <w:spacing w:line="360" w:lineRule="auto"/>
        <w:jc w:val="both"/>
        <w:rPr>
          <w:rFonts w:ascii="Arial" w:hAnsi="Arial" w:cs="Arial"/>
          <w:b/>
          <w:bCs/>
          <w:u w:val="single"/>
        </w:rPr>
      </w:pPr>
    </w:p>
    <w:p w14:paraId="427A19DC" w14:textId="3F4DBD51" w:rsidR="00723267" w:rsidRDefault="00723267" w:rsidP="00B27868">
      <w:pPr>
        <w:spacing w:line="360" w:lineRule="auto"/>
        <w:jc w:val="both"/>
        <w:rPr>
          <w:rFonts w:ascii="Arial" w:hAnsi="Arial" w:cs="Arial"/>
          <w:b/>
          <w:bCs/>
          <w:u w:val="single"/>
        </w:rPr>
      </w:pPr>
      <w:r>
        <w:rPr>
          <w:rFonts w:ascii="Arial" w:hAnsi="Arial" w:cs="Arial"/>
          <w:b/>
          <w:bCs/>
          <w:noProof/>
          <w:u w:val="single"/>
        </w:rPr>
        <w:drawing>
          <wp:inline distT="0" distB="0" distL="0" distR="0" wp14:anchorId="585779FD" wp14:editId="391FE113">
            <wp:extent cx="6071016" cy="8154035"/>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2019-12-20_1126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77790" cy="8163134"/>
                    </a:xfrm>
                    <a:prstGeom prst="rect">
                      <a:avLst/>
                    </a:prstGeom>
                  </pic:spPr>
                </pic:pic>
              </a:graphicData>
            </a:graphic>
          </wp:inline>
        </w:drawing>
      </w:r>
    </w:p>
    <w:p w14:paraId="2464AA17" w14:textId="71F05008" w:rsidR="00723267" w:rsidRDefault="00723267" w:rsidP="00B27868">
      <w:pPr>
        <w:spacing w:line="360" w:lineRule="auto"/>
        <w:jc w:val="both"/>
        <w:rPr>
          <w:rFonts w:ascii="Arial" w:hAnsi="Arial" w:cs="Arial"/>
          <w:b/>
          <w:bCs/>
          <w:u w:val="single"/>
        </w:rPr>
      </w:pPr>
    </w:p>
    <w:p w14:paraId="2B3B2630" w14:textId="2BFB6751" w:rsidR="00723267" w:rsidRDefault="00723267" w:rsidP="00B27868">
      <w:pPr>
        <w:spacing w:line="360" w:lineRule="auto"/>
        <w:jc w:val="both"/>
        <w:rPr>
          <w:rFonts w:ascii="Arial" w:hAnsi="Arial" w:cs="Arial"/>
          <w:b/>
          <w:bCs/>
          <w:u w:val="single"/>
        </w:rPr>
      </w:pPr>
      <w:r>
        <w:rPr>
          <w:rFonts w:ascii="Arial" w:hAnsi="Arial" w:cs="Arial"/>
          <w:b/>
          <w:bCs/>
          <w:noProof/>
          <w:u w:val="single"/>
        </w:rPr>
        <w:drawing>
          <wp:inline distT="0" distB="0" distL="0" distR="0" wp14:anchorId="100CE6C6" wp14:editId="40FCC9AD">
            <wp:extent cx="5680710" cy="8094688"/>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2019-12-20_11265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89572" cy="8107316"/>
                    </a:xfrm>
                    <a:prstGeom prst="rect">
                      <a:avLst/>
                    </a:prstGeom>
                  </pic:spPr>
                </pic:pic>
              </a:graphicData>
            </a:graphic>
          </wp:inline>
        </w:drawing>
      </w:r>
    </w:p>
    <w:p w14:paraId="66B76737" w14:textId="74B80332" w:rsidR="00723267" w:rsidRDefault="00723267" w:rsidP="00B27868">
      <w:pPr>
        <w:spacing w:line="360" w:lineRule="auto"/>
        <w:jc w:val="both"/>
        <w:rPr>
          <w:rFonts w:ascii="Arial" w:hAnsi="Arial" w:cs="Arial"/>
          <w:b/>
          <w:bCs/>
          <w:u w:val="single"/>
        </w:rPr>
      </w:pPr>
    </w:p>
    <w:p w14:paraId="525F8302" w14:textId="3531C8A8" w:rsidR="00723267" w:rsidRDefault="00723267" w:rsidP="00B27868">
      <w:pPr>
        <w:spacing w:line="360" w:lineRule="auto"/>
        <w:jc w:val="both"/>
        <w:rPr>
          <w:rFonts w:ascii="Arial" w:hAnsi="Arial" w:cs="Arial"/>
          <w:b/>
          <w:bCs/>
          <w:u w:val="single"/>
        </w:rPr>
      </w:pPr>
    </w:p>
    <w:p w14:paraId="51EBA235" w14:textId="2EE09571" w:rsidR="00723267" w:rsidRPr="00B27868" w:rsidRDefault="00723267" w:rsidP="00B27868">
      <w:pPr>
        <w:spacing w:line="360" w:lineRule="auto"/>
        <w:jc w:val="both"/>
        <w:rPr>
          <w:rFonts w:ascii="Arial" w:hAnsi="Arial" w:cs="Arial"/>
          <w:b/>
          <w:bCs/>
          <w:u w:val="single"/>
        </w:rPr>
      </w:pPr>
      <w:r>
        <w:rPr>
          <w:rFonts w:ascii="Arial" w:hAnsi="Arial" w:cs="Arial"/>
          <w:b/>
          <w:bCs/>
          <w:noProof/>
          <w:u w:val="single"/>
        </w:rPr>
        <w:drawing>
          <wp:inline distT="0" distB="0" distL="0" distR="0" wp14:anchorId="78D1EBAF" wp14:editId="30663CF1">
            <wp:extent cx="5516380" cy="7809865"/>
            <wp:effectExtent l="0" t="0" r="0" b="63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2019-12-20_11273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18940" cy="7813489"/>
                    </a:xfrm>
                    <a:prstGeom prst="rect">
                      <a:avLst/>
                    </a:prstGeom>
                  </pic:spPr>
                </pic:pic>
              </a:graphicData>
            </a:graphic>
          </wp:inline>
        </w:drawing>
      </w:r>
    </w:p>
    <w:sectPr w:rsidR="00723267" w:rsidRPr="00B27868" w:rsidSect="00AE4BF6">
      <w:headerReference w:type="even" r:id="rId39"/>
      <w:headerReference w:type="default" r:id="rId40"/>
      <w:footerReference w:type="default" r:id="rId41"/>
      <w:pgSz w:w="11900" w:h="16840"/>
      <w:pgMar w:top="1134" w:right="1418" w:bottom="198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8956E" w14:textId="77777777" w:rsidR="00102DDD" w:rsidRDefault="00102DDD" w:rsidP="00335E20">
      <w:r>
        <w:separator/>
      </w:r>
    </w:p>
    <w:p w14:paraId="7FF964F7" w14:textId="77777777" w:rsidR="00102DDD" w:rsidRDefault="00102DDD"/>
  </w:endnote>
  <w:endnote w:type="continuationSeparator" w:id="0">
    <w:p w14:paraId="1BE4BADB" w14:textId="77777777" w:rsidR="00102DDD" w:rsidRDefault="00102DDD" w:rsidP="00335E20">
      <w:r>
        <w:continuationSeparator/>
      </w:r>
    </w:p>
    <w:p w14:paraId="30E12559" w14:textId="77777777" w:rsidR="00102DDD" w:rsidRDefault="00102D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notTrueType/>
    <w:pitch w:val="variable"/>
    <w:sig w:usb0="00000003" w:usb1="08070000" w:usb2="00000010" w:usb3="00000000" w:csb0="00020001" w:csb1="00000000"/>
  </w:font>
  <w:font w:name="Segoe UI">
    <w:panose1 w:val="020B0604020202020204"/>
    <w:charset w:val="00"/>
    <w:family w:val="swiss"/>
    <w:pitch w:val="variable"/>
    <w:sig w:usb0="E4002EFF" w:usb1="C000E47F" w:usb2="00000009" w:usb3="00000000" w:csb0="000001FF" w:csb1="00000000"/>
  </w:font>
  <w:font w:name="Brush Script MT">
    <w:panose1 w:val="03060802040406070304"/>
    <w:charset w:val="86"/>
    <w:family w:val="script"/>
    <w:pitch w:val="variable"/>
    <w:sig w:usb0="01000887" w:usb1="090E0000" w:usb2="00000010" w:usb3="00000000" w:csb0="0025003B"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F7F73" w14:textId="53FF6D8C" w:rsidR="00A81E03" w:rsidRDefault="00262C3F">
    <w:pPr>
      <w:pStyle w:val="Footer"/>
    </w:pPr>
    <w:r w:rsidRPr="00A16010">
      <w:t>INTI International University (</w:t>
    </w:r>
    <w:r>
      <w:t>2019</w:t>
    </w:r>
    <w:r w:rsidRPr="00A16010">
      <w:t>)</w:t>
    </w:r>
  </w:p>
  <w:p w14:paraId="4FDF9790" w14:textId="77777777" w:rsidR="00A81E03" w:rsidRDefault="00A81E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8528A" w14:textId="77777777" w:rsidR="00102DDD" w:rsidRDefault="00102DDD" w:rsidP="00335E20">
      <w:r>
        <w:separator/>
      </w:r>
    </w:p>
    <w:p w14:paraId="4D83386C" w14:textId="77777777" w:rsidR="00102DDD" w:rsidRDefault="00102DDD"/>
  </w:footnote>
  <w:footnote w:type="continuationSeparator" w:id="0">
    <w:p w14:paraId="4770B1A9" w14:textId="77777777" w:rsidR="00102DDD" w:rsidRDefault="00102DDD" w:rsidP="00335E20">
      <w:r>
        <w:continuationSeparator/>
      </w:r>
    </w:p>
    <w:p w14:paraId="495C8852" w14:textId="77777777" w:rsidR="00102DDD" w:rsidRDefault="00102D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9543183"/>
      <w:docPartObj>
        <w:docPartGallery w:val="Page Numbers (Top of Page)"/>
        <w:docPartUnique/>
      </w:docPartObj>
    </w:sdtPr>
    <w:sdtEndPr>
      <w:rPr>
        <w:rStyle w:val="PageNumber"/>
      </w:rPr>
    </w:sdtEndPr>
    <w:sdtContent>
      <w:p w14:paraId="38646559" w14:textId="14860467" w:rsidR="00262C3F" w:rsidRDefault="00262C3F" w:rsidP="00F7575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A4474F" w14:textId="77777777" w:rsidR="00262C3F" w:rsidRDefault="00262C3F" w:rsidP="00262C3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188194"/>
      <w:docPartObj>
        <w:docPartGallery w:val="Page Numbers (Top of Page)"/>
        <w:docPartUnique/>
      </w:docPartObj>
    </w:sdtPr>
    <w:sdtEndPr>
      <w:rPr>
        <w:rStyle w:val="PageNumber"/>
      </w:rPr>
    </w:sdtEndPr>
    <w:sdtContent>
      <w:p w14:paraId="6252ADF9" w14:textId="4AF10E68" w:rsidR="00262C3F" w:rsidRDefault="00262C3F" w:rsidP="00F7575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39BDCC4A" w14:textId="04FFC021" w:rsidR="00A81E03" w:rsidRDefault="00A81E03" w:rsidP="00262C3F">
    <w:pPr>
      <w:pStyle w:val="Header"/>
      <w:ind w:right="360"/>
      <w:jc w:val="right"/>
    </w:pPr>
  </w:p>
  <w:p w14:paraId="41530382" w14:textId="77777777" w:rsidR="00A81E03" w:rsidRDefault="00A81E03">
    <w:pPr>
      <w:pStyle w:val="Header"/>
    </w:pPr>
  </w:p>
  <w:p w14:paraId="6026E08D" w14:textId="77777777" w:rsidR="00A81E03" w:rsidRDefault="00A81E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D7573"/>
    <w:multiLevelType w:val="hybridMultilevel"/>
    <w:tmpl w:val="3E98C7A4"/>
    <w:lvl w:ilvl="0" w:tplc="75CA50D0">
      <w:start w:val="1"/>
      <w:numFmt w:val="bullet"/>
      <w:lvlText w:val="•"/>
      <w:lvlJc w:val="left"/>
      <w:pPr>
        <w:tabs>
          <w:tab w:val="num" w:pos="720"/>
        </w:tabs>
        <w:ind w:left="720" w:hanging="360"/>
      </w:pPr>
      <w:rPr>
        <w:rFonts w:ascii="Arial" w:hAnsi="Arial" w:hint="default"/>
      </w:rPr>
    </w:lvl>
    <w:lvl w:ilvl="1" w:tplc="A8D214A4" w:tentative="1">
      <w:start w:val="1"/>
      <w:numFmt w:val="bullet"/>
      <w:lvlText w:val="•"/>
      <w:lvlJc w:val="left"/>
      <w:pPr>
        <w:tabs>
          <w:tab w:val="num" w:pos="1440"/>
        </w:tabs>
        <w:ind w:left="1440" w:hanging="360"/>
      </w:pPr>
      <w:rPr>
        <w:rFonts w:ascii="Arial" w:hAnsi="Arial" w:hint="default"/>
      </w:rPr>
    </w:lvl>
    <w:lvl w:ilvl="2" w:tplc="4E2C5DF8" w:tentative="1">
      <w:start w:val="1"/>
      <w:numFmt w:val="bullet"/>
      <w:lvlText w:val="•"/>
      <w:lvlJc w:val="left"/>
      <w:pPr>
        <w:tabs>
          <w:tab w:val="num" w:pos="2160"/>
        </w:tabs>
        <w:ind w:left="2160" w:hanging="360"/>
      </w:pPr>
      <w:rPr>
        <w:rFonts w:ascii="Arial" w:hAnsi="Arial" w:hint="default"/>
      </w:rPr>
    </w:lvl>
    <w:lvl w:ilvl="3" w:tplc="69F8D266" w:tentative="1">
      <w:start w:val="1"/>
      <w:numFmt w:val="bullet"/>
      <w:lvlText w:val="•"/>
      <w:lvlJc w:val="left"/>
      <w:pPr>
        <w:tabs>
          <w:tab w:val="num" w:pos="2880"/>
        </w:tabs>
        <w:ind w:left="2880" w:hanging="360"/>
      </w:pPr>
      <w:rPr>
        <w:rFonts w:ascii="Arial" w:hAnsi="Arial" w:hint="default"/>
      </w:rPr>
    </w:lvl>
    <w:lvl w:ilvl="4" w:tplc="17B4DBD0" w:tentative="1">
      <w:start w:val="1"/>
      <w:numFmt w:val="bullet"/>
      <w:lvlText w:val="•"/>
      <w:lvlJc w:val="left"/>
      <w:pPr>
        <w:tabs>
          <w:tab w:val="num" w:pos="3600"/>
        </w:tabs>
        <w:ind w:left="3600" w:hanging="360"/>
      </w:pPr>
      <w:rPr>
        <w:rFonts w:ascii="Arial" w:hAnsi="Arial" w:hint="default"/>
      </w:rPr>
    </w:lvl>
    <w:lvl w:ilvl="5" w:tplc="7708ED42" w:tentative="1">
      <w:start w:val="1"/>
      <w:numFmt w:val="bullet"/>
      <w:lvlText w:val="•"/>
      <w:lvlJc w:val="left"/>
      <w:pPr>
        <w:tabs>
          <w:tab w:val="num" w:pos="4320"/>
        </w:tabs>
        <w:ind w:left="4320" w:hanging="360"/>
      </w:pPr>
      <w:rPr>
        <w:rFonts w:ascii="Arial" w:hAnsi="Arial" w:hint="default"/>
      </w:rPr>
    </w:lvl>
    <w:lvl w:ilvl="6" w:tplc="A20C3752" w:tentative="1">
      <w:start w:val="1"/>
      <w:numFmt w:val="bullet"/>
      <w:lvlText w:val="•"/>
      <w:lvlJc w:val="left"/>
      <w:pPr>
        <w:tabs>
          <w:tab w:val="num" w:pos="5040"/>
        </w:tabs>
        <w:ind w:left="5040" w:hanging="360"/>
      </w:pPr>
      <w:rPr>
        <w:rFonts w:ascii="Arial" w:hAnsi="Arial" w:hint="default"/>
      </w:rPr>
    </w:lvl>
    <w:lvl w:ilvl="7" w:tplc="D3A4FA0E" w:tentative="1">
      <w:start w:val="1"/>
      <w:numFmt w:val="bullet"/>
      <w:lvlText w:val="•"/>
      <w:lvlJc w:val="left"/>
      <w:pPr>
        <w:tabs>
          <w:tab w:val="num" w:pos="5760"/>
        </w:tabs>
        <w:ind w:left="5760" w:hanging="360"/>
      </w:pPr>
      <w:rPr>
        <w:rFonts w:ascii="Arial" w:hAnsi="Arial" w:hint="default"/>
      </w:rPr>
    </w:lvl>
    <w:lvl w:ilvl="8" w:tplc="880A4F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383E95"/>
    <w:multiLevelType w:val="multilevel"/>
    <w:tmpl w:val="3CC250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934EA2"/>
    <w:multiLevelType w:val="hybridMultilevel"/>
    <w:tmpl w:val="DE1EC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00199E"/>
    <w:multiLevelType w:val="multilevel"/>
    <w:tmpl w:val="ED242C46"/>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97055F3"/>
    <w:multiLevelType w:val="hybridMultilevel"/>
    <w:tmpl w:val="49E2B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5962B7"/>
    <w:multiLevelType w:val="multilevel"/>
    <w:tmpl w:val="B6F8DD9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3AD11380"/>
    <w:multiLevelType w:val="hybridMultilevel"/>
    <w:tmpl w:val="954AE59C"/>
    <w:lvl w:ilvl="0" w:tplc="3306F0C0">
      <w:start w:val="1"/>
      <w:numFmt w:val="bullet"/>
      <w:lvlText w:val="•"/>
      <w:lvlJc w:val="left"/>
      <w:pPr>
        <w:tabs>
          <w:tab w:val="num" w:pos="720"/>
        </w:tabs>
        <w:ind w:left="720" w:hanging="360"/>
      </w:pPr>
      <w:rPr>
        <w:rFonts w:ascii="Arial" w:hAnsi="Arial" w:hint="default"/>
      </w:rPr>
    </w:lvl>
    <w:lvl w:ilvl="1" w:tplc="8E26EBC2" w:tentative="1">
      <w:start w:val="1"/>
      <w:numFmt w:val="bullet"/>
      <w:lvlText w:val="•"/>
      <w:lvlJc w:val="left"/>
      <w:pPr>
        <w:tabs>
          <w:tab w:val="num" w:pos="1440"/>
        </w:tabs>
        <w:ind w:left="1440" w:hanging="360"/>
      </w:pPr>
      <w:rPr>
        <w:rFonts w:ascii="Arial" w:hAnsi="Arial" w:hint="default"/>
      </w:rPr>
    </w:lvl>
    <w:lvl w:ilvl="2" w:tplc="0ADC029A" w:tentative="1">
      <w:start w:val="1"/>
      <w:numFmt w:val="bullet"/>
      <w:lvlText w:val="•"/>
      <w:lvlJc w:val="left"/>
      <w:pPr>
        <w:tabs>
          <w:tab w:val="num" w:pos="2160"/>
        </w:tabs>
        <w:ind w:left="2160" w:hanging="360"/>
      </w:pPr>
      <w:rPr>
        <w:rFonts w:ascii="Arial" w:hAnsi="Arial" w:hint="default"/>
      </w:rPr>
    </w:lvl>
    <w:lvl w:ilvl="3" w:tplc="3614F190" w:tentative="1">
      <w:start w:val="1"/>
      <w:numFmt w:val="bullet"/>
      <w:lvlText w:val="•"/>
      <w:lvlJc w:val="left"/>
      <w:pPr>
        <w:tabs>
          <w:tab w:val="num" w:pos="2880"/>
        </w:tabs>
        <w:ind w:left="2880" w:hanging="360"/>
      </w:pPr>
      <w:rPr>
        <w:rFonts w:ascii="Arial" w:hAnsi="Arial" w:hint="default"/>
      </w:rPr>
    </w:lvl>
    <w:lvl w:ilvl="4" w:tplc="B9F45944" w:tentative="1">
      <w:start w:val="1"/>
      <w:numFmt w:val="bullet"/>
      <w:lvlText w:val="•"/>
      <w:lvlJc w:val="left"/>
      <w:pPr>
        <w:tabs>
          <w:tab w:val="num" w:pos="3600"/>
        </w:tabs>
        <w:ind w:left="3600" w:hanging="360"/>
      </w:pPr>
      <w:rPr>
        <w:rFonts w:ascii="Arial" w:hAnsi="Arial" w:hint="default"/>
      </w:rPr>
    </w:lvl>
    <w:lvl w:ilvl="5" w:tplc="1938DF1E" w:tentative="1">
      <w:start w:val="1"/>
      <w:numFmt w:val="bullet"/>
      <w:lvlText w:val="•"/>
      <w:lvlJc w:val="left"/>
      <w:pPr>
        <w:tabs>
          <w:tab w:val="num" w:pos="4320"/>
        </w:tabs>
        <w:ind w:left="4320" w:hanging="360"/>
      </w:pPr>
      <w:rPr>
        <w:rFonts w:ascii="Arial" w:hAnsi="Arial" w:hint="default"/>
      </w:rPr>
    </w:lvl>
    <w:lvl w:ilvl="6" w:tplc="266C74F4" w:tentative="1">
      <w:start w:val="1"/>
      <w:numFmt w:val="bullet"/>
      <w:lvlText w:val="•"/>
      <w:lvlJc w:val="left"/>
      <w:pPr>
        <w:tabs>
          <w:tab w:val="num" w:pos="5040"/>
        </w:tabs>
        <w:ind w:left="5040" w:hanging="360"/>
      </w:pPr>
      <w:rPr>
        <w:rFonts w:ascii="Arial" w:hAnsi="Arial" w:hint="default"/>
      </w:rPr>
    </w:lvl>
    <w:lvl w:ilvl="7" w:tplc="4E00EBA0" w:tentative="1">
      <w:start w:val="1"/>
      <w:numFmt w:val="bullet"/>
      <w:lvlText w:val="•"/>
      <w:lvlJc w:val="left"/>
      <w:pPr>
        <w:tabs>
          <w:tab w:val="num" w:pos="5760"/>
        </w:tabs>
        <w:ind w:left="5760" w:hanging="360"/>
      </w:pPr>
      <w:rPr>
        <w:rFonts w:ascii="Arial" w:hAnsi="Arial" w:hint="default"/>
      </w:rPr>
    </w:lvl>
    <w:lvl w:ilvl="8" w:tplc="1ABAD2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D5C2148"/>
    <w:multiLevelType w:val="multilevel"/>
    <w:tmpl w:val="DCB0D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974285"/>
    <w:multiLevelType w:val="hybridMultilevel"/>
    <w:tmpl w:val="C9B48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8F0E27"/>
    <w:multiLevelType w:val="hybridMultilevel"/>
    <w:tmpl w:val="34B4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CC33F7"/>
    <w:multiLevelType w:val="multilevel"/>
    <w:tmpl w:val="B6F8DD9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55A60BC8"/>
    <w:multiLevelType w:val="multilevel"/>
    <w:tmpl w:val="73B0AD0A"/>
    <w:lvl w:ilvl="0">
      <w:start w:val="1"/>
      <w:numFmt w:val="decimal"/>
      <w:lvlText w:val="%1"/>
      <w:lvlJc w:val="left"/>
      <w:pPr>
        <w:ind w:left="360" w:hanging="360"/>
      </w:pPr>
      <w:rPr>
        <w:rFonts w:hint="default"/>
      </w:rPr>
    </w:lvl>
    <w:lvl w:ilvl="1">
      <w:start w:val="1"/>
      <w:numFmt w:val="decimal"/>
      <w:lvlText w:val="%1.%2"/>
      <w:lvlJc w:val="left"/>
      <w:pPr>
        <w:ind w:left="546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60246A5"/>
    <w:multiLevelType w:val="hybridMultilevel"/>
    <w:tmpl w:val="F11A01A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3" w15:restartNumberingAfterBreak="0">
    <w:nsid w:val="56A71304"/>
    <w:multiLevelType w:val="multilevel"/>
    <w:tmpl w:val="89BA42B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78E1915"/>
    <w:multiLevelType w:val="multilevel"/>
    <w:tmpl w:val="FB4AD01C"/>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89B0361"/>
    <w:multiLevelType w:val="multilevel"/>
    <w:tmpl w:val="FB4AD01C"/>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9611F62"/>
    <w:multiLevelType w:val="hybridMultilevel"/>
    <w:tmpl w:val="736C63E6"/>
    <w:lvl w:ilvl="0" w:tplc="C9FEAAD2">
      <w:start w:val="1"/>
      <w:numFmt w:val="bullet"/>
      <w:lvlText w:val="•"/>
      <w:lvlJc w:val="left"/>
      <w:pPr>
        <w:tabs>
          <w:tab w:val="num" w:pos="720"/>
        </w:tabs>
        <w:ind w:left="720" w:hanging="360"/>
      </w:pPr>
      <w:rPr>
        <w:rFonts w:ascii="Arial" w:hAnsi="Arial" w:hint="default"/>
      </w:rPr>
    </w:lvl>
    <w:lvl w:ilvl="1" w:tplc="D4D0CEAE" w:tentative="1">
      <w:start w:val="1"/>
      <w:numFmt w:val="bullet"/>
      <w:lvlText w:val="•"/>
      <w:lvlJc w:val="left"/>
      <w:pPr>
        <w:tabs>
          <w:tab w:val="num" w:pos="1440"/>
        </w:tabs>
        <w:ind w:left="1440" w:hanging="360"/>
      </w:pPr>
      <w:rPr>
        <w:rFonts w:ascii="Arial" w:hAnsi="Arial" w:hint="default"/>
      </w:rPr>
    </w:lvl>
    <w:lvl w:ilvl="2" w:tplc="8D24FF60" w:tentative="1">
      <w:start w:val="1"/>
      <w:numFmt w:val="bullet"/>
      <w:lvlText w:val="•"/>
      <w:lvlJc w:val="left"/>
      <w:pPr>
        <w:tabs>
          <w:tab w:val="num" w:pos="2160"/>
        </w:tabs>
        <w:ind w:left="2160" w:hanging="360"/>
      </w:pPr>
      <w:rPr>
        <w:rFonts w:ascii="Arial" w:hAnsi="Arial" w:hint="default"/>
      </w:rPr>
    </w:lvl>
    <w:lvl w:ilvl="3" w:tplc="AD0C2B54" w:tentative="1">
      <w:start w:val="1"/>
      <w:numFmt w:val="bullet"/>
      <w:lvlText w:val="•"/>
      <w:lvlJc w:val="left"/>
      <w:pPr>
        <w:tabs>
          <w:tab w:val="num" w:pos="2880"/>
        </w:tabs>
        <w:ind w:left="2880" w:hanging="360"/>
      </w:pPr>
      <w:rPr>
        <w:rFonts w:ascii="Arial" w:hAnsi="Arial" w:hint="default"/>
      </w:rPr>
    </w:lvl>
    <w:lvl w:ilvl="4" w:tplc="C0E23B5A" w:tentative="1">
      <w:start w:val="1"/>
      <w:numFmt w:val="bullet"/>
      <w:lvlText w:val="•"/>
      <w:lvlJc w:val="left"/>
      <w:pPr>
        <w:tabs>
          <w:tab w:val="num" w:pos="3600"/>
        </w:tabs>
        <w:ind w:left="3600" w:hanging="360"/>
      </w:pPr>
      <w:rPr>
        <w:rFonts w:ascii="Arial" w:hAnsi="Arial" w:hint="default"/>
      </w:rPr>
    </w:lvl>
    <w:lvl w:ilvl="5" w:tplc="67301E28" w:tentative="1">
      <w:start w:val="1"/>
      <w:numFmt w:val="bullet"/>
      <w:lvlText w:val="•"/>
      <w:lvlJc w:val="left"/>
      <w:pPr>
        <w:tabs>
          <w:tab w:val="num" w:pos="4320"/>
        </w:tabs>
        <w:ind w:left="4320" w:hanging="360"/>
      </w:pPr>
      <w:rPr>
        <w:rFonts w:ascii="Arial" w:hAnsi="Arial" w:hint="default"/>
      </w:rPr>
    </w:lvl>
    <w:lvl w:ilvl="6" w:tplc="40B6FD3C" w:tentative="1">
      <w:start w:val="1"/>
      <w:numFmt w:val="bullet"/>
      <w:lvlText w:val="•"/>
      <w:lvlJc w:val="left"/>
      <w:pPr>
        <w:tabs>
          <w:tab w:val="num" w:pos="5040"/>
        </w:tabs>
        <w:ind w:left="5040" w:hanging="360"/>
      </w:pPr>
      <w:rPr>
        <w:rFonts w:ascii="Arial" w:hAnsi="Arial" w:hint="default"/>
      </w:rPr>
    </w:lvl>
    <w:lvl w:ilvl="7" w:tplc="7EA2B0BE" w:tentative="1">
      <w:start w:val="1"/>
      <w:numFmt w:val="bullet"/>
      <w:lvlText w:val="•"/>
      <w:lvlJc w:val="left"/>
      <w:pPr>
        <w:tabs>
          <w:tab w:val="num" w:pos="5760"/>
        </w:tabs>
        <w:ind w:left="5760" w:hanging="360"/>
      </w:pPr>
      <w:rPr>
        <w:rFonts w:ascii="Arial" w:hAnsi="Arial" w:hint="default"/>
      </w:rPr>
    </w:lvl>
    <w:lvl w:ilvl="8" w:tplc="0422E3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1CB499C"/>
    <w:multiLevelType w:val="hybridMultilevel"/>
    <w:tmpl w:val="49AA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EA5903"/>
    <w:multiLevelType w:val="hybridMultilevel"/>
    <w:tmpl w:val="43044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9D73BA"/>
    <w:multiLevelType w:val="hybridMultilevel"/>
    <w:tmpl w:val="24043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7"/>
  </w:num>
  <w:num w:numId="3">
    <w:abstractNumId w:val="1"/>
  </w:num>
  <w:num w:numId="4">
    <w:abstractNumId w:val="9"/>
  </w:num>
  <w:num w:numId="5">
    <w:abstractNumId w:val="3"/>
  </w:num>
  <w:num w:numId="6">
    <w:abstractNumId w:val="18"/>
  </w:num>
  <w:num w:numId="7">
    <w:abstractNumId w:val="11"/>
  </w:num>
  <w:num w:numId="8">
    <w:abstractNumId w:val="10"/>
  </w:num>
  <w:num w:numId="9">
    <w:abstractNumId w:val="5"/>
  </w:num>
  <w:num w:numId="10">
    <w:abstractNumId w:val="14"/>
  </w:num>
  <w:num w:numId="11">
    <w:abstractNumId w:val="12"/>
  </w:num>
  <w:num w:numId="12">
    <w:abstractNumId w:val="13"/>
  </w:num>
  <w:num w:numId="13">
    <w:abstractNumId w:val="15"/>
  </w:num>
  <w:num w:numId="14">
    <w:abstractNumId w:val="6"/>
  </w:num>
  <w:num w:numId="15">
    <w:abstractNumId w:val="2"/>
  </w:num>
  <w:num w:numId="16">
    <w:abstractNumId w:val="19"/>
  </w:num>
  <w:num w:numId="17">
    <w:abstractNumId w:val="4"/>
  </w:num>
  <w:num w:numId="18">
    <w:abstractNumId w:val="8"/>
  </w:num>
  <w:num w:numId="19">
    <w:abstractNumId w:val="1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20"/>
    <w:rsid w:val="00004ECA"/>
    <w:rsid w:val="00006840"/>
    <w:rsid w:val="0000782B"/>
    <w:rsid w:val="00012BC8"/>
    <w:rsid w:val="0002481B"/>
    <w:rsid w:val="00024A0A"/>
    <w:rsid w:val="00033711"/>
    <w:rsid w:val="000347DC"/>
    <w:rsid w:val="00036074"/>
    <w:rsid w:val="000464C9"/>
    <w:rsid w:val="00050679"/>
    <w:rsid w:val="00052EC8"/>
    <w:rsid w:val="00066262"/>
    <w:rsid w:val="0007693B"/>
    <w:rsid w:val="000856D0"/>
    <w:rsid w:val="000908B8"/>
    <w:rsid w:val="00094497"/>
    <w:rsid w:val="00094E6D"/>
    <w:rsid w:val="00096974"/>
    <w:rsid w:val="000B4800"/>
    <w:rsid w:val="000D3824"/>
    <w:rsid w:val="000D3CF0"/>
    <w:rsid w:val="000D4E7A"/>
    <w:rsid w:val="000E3160"/>
    <w:rsid w:val="000F0FDA"/>
    <w:rsid w:val="00102DDD"/>
    <w:rsid w:val="00106F05"/>
    <w:rsid w:val="00115918"/>
    <w:rsid w:val="00121778"/>
    <w:rsid w:val="00122EC2"/>
    <w:rsid w:val="00123A27"/>
    <w:rsid w:val="0013401B"/>
    <w:rsid w:val="00135DA7"/>
    <w:rsid w:val="001365D7"/>
    <w:rsid w:val="00137A4B"/>
    <w:rsid w:val="0014019A"/>
    <w:rsid w:val="00140F7F"/>
    <w:rsid w:val="001451D2"/>
    <w:rsid w:val="001463EA"/>
    <w:rsid w:val="00156EA4"/>
    <w:rsid w:val="00156F83"/>
    <w:rsid w:val="00164BE4"/>
    <w:rsid w:val="001B1F36"/>
    <w:rsid w:val="001E2B10"/>
    <w:rsid w:val="001E69BC"/>
    <w:rsid w:val="001F040D"/>
    <w:rsid w:val="001F0AFA"/>
    <w:rsid w:val="001F49B2"/>
    <w:rsid w:val="001F5611"/>
    <w:rsid w:val="001F6C72"/>
    <w:rsid w:val="0022391D"/>
    <w:rsid w:val="002437E1"/>
    <w:rsid w:val="0026058F"/>
    <w:rsid w:val="00262AC5"/>
    <w:rsid w:val="00262C3F"/>
    <w:rsid w:val="002658C9"/>
    <w:rsid w:val="00266A67"/>
    <w:rsid w:val="00270155"/>
    <w:rsid w:val="002759BB"/>
    <w:rsid w:val="002824E6"/>
    <w:rsid w:val="00282D1F"/>
    <w:rsid w:val="00284348"/>
    <w:rsid w:val="002A06B9"/>
    <w:rsid w:val="002A308D"/>
    <w:rsid w:val="002A6FB4"/>
    <w:rsid w:val="002B0AD5"/>
    <w:rsid w:val="002B11AE"/>
    <w:rsid w:val="002B2F39"/>
    <w:rsid w:val="002C515E"/>
    <w:rsid w:val="002D5816"/>
    <w:rsid w:val="002E5DDC"/>
    <w:rsid w:val="002E7A6B"/>
    <w:rsid w:val="002E7D33"/>
    <w:rsid w:val="002E7F58"/>
    <w:rsid w:val="002F148D"/>
    <w:rsid w:val="00300636"/>
    <w:rsid w:val="00321273"/>
    <w:rsid w:val="003276FC"/>
    <w:rsid w:val="00332659"/>
    <w:rsid w:val="00335E20"/>
    <w:rsid w:val="00352B50"/>
    <w:rsid w:val="00354A14"/>
    <w:rsid w:val="003649A4"/>
    <w:rsid w:val="00376A99"/>
    <w:rsid w:val="00380ED6"/>
    <w:rsid w:val="0038241E"/>
    <w:rsid w:val="00394263"/>
    <w:rsid w:val="00394C89"/>
    <w:rsid w:val="003B3C5A"/>
    <w:rsid w:val="003C147D"/>
    <w:rsid w:val="003C483E"/>
    <w:rsid w:val="003C5CC7"/>
    <w:rsid w:val="003D2AE2"/>
    <w:rsid w:val="003E5C0F"/>
    <w:rsid w:val="003F0E4E"/>
    <w:rsid w:val="003F0F7B"/>
    <w:rsid w:val="003F148A"/>
    <w:rsid w:val="003F2498"/>
    <w:rsid w:val="003F2BBB"/>
    <w:rsid w:val="004056E1"/>
    <w:rsid w:val="004057D7"/>
    <w:rsid w:val="00411145"/>
    <w:rsid w:val="00432226"/>
    <w:rsid w:val="00446840"/>
    <w:rsid w:val="00471C61"/>
    <w:rsid w:val="00483498"/>
    <w:rsid w:val="004901E7"/>
    <w:rsid w:val="004919C6"/>
    <w:rsid w:val="00495D62"/>
    <w:rsid w:val="004B54F2"/>
    <w:rsid w:val="004D014A"/>
    <w:rsid w:val="004D35A5"/>
    <w:rsid w:val="004D40AC"/>
    <w:rsid w:val="004D6A5C"/>
    <w:rsid w:val="004E28B1"/>
    <w:rsid w:val="004E7A1B"/>
    <w:rsid w:val="004F11B5"/>
    <w:rsid w:val="004F75FF"/>
    <w:rsid w:val="005156F6"/>
    <w:rsid w:val="0052358D"/>
    <w:rsid w:val="00534BFA"/>
    <w:rsid w:val="00534C7E"/>
    <w:rsid w:val="005510CC"/>
    <w:rsid w:val="0055697A"/>
    <w:rsid w:val="00565557"/>
    <w:rsid w:val="005760B3"/>
    <w:rsid w:val="00581FF4"/>
    <w:rsid w:val="00582194"/>
    <w:rsid w:val="0058280C"/>
    <w:rsid w:val="00583B1E"/>
    <w:rsid w:val="00592A0C"/>
    <w:rsid w:val="005B0313"/>
    <w:rsid w:val="005B36CA"/>
    <w:rsid w:val="005B3D14"/>
    <w:rsid w:val="005B7E3F"/>
    <w:rsid w:val="005C604D"/>
    <w:rsid w:val="005D3B47"/>
    <w:rsid w:val="005D4C46"/>
    <w:rsid w:val="005F2D00"/>
    <w:rsid w:val="00607119"/>
    <w:rsid w:val="006128F5"/>
    <w:rsid w:val="00623A5D"/>
    <w:rsid w:val="00631B95"/>
    <w:rsid w:val="0063472D"/>
    <w:rsid w:val="00643AE4"/>
    <w:rsid w:val="00661D89"/>
    <w:rsid w:val="00664A0E"/>
    <w:rsid w:val="00670B2F"/>
    <w:rsid w:val="00670B7E"/>
    <w:rsid w:val="006726FD"/>
    <w:rsid w:val="006753B4"/>
    <w:rsid w:val="0067775F"/>
    <w:rsid w:val="006912B2"/>
    <w:rsid w:val="0069499D"/>
    <w:rsid w:val="0069699D"/>
    <w:rsid w:val="006A1BDB"/>
    <w:rsid w:val="006A3118"/>
    <w:rsid w:val="006A70F5"/>
    <w:rsid w:val="006B166C"/>
    <w:rsid w:val="006B6052"/>
    <w:rsid w:val="00702A2F"/>
    <w:rsid w:val="00703F1C"/>
    <w:rsid w:val="00706E75"/>
    <w:rsid w:val="00723267"/>
    <w:rsid w:val="00723A48"/>
    <w:rsid w:val="007358FF"/>
    <w:rsid w:val="00741A67"/>
    <w:rsid w:val="007448D1"/>
    <w:rsid w:val="007461FD"/>
    <w:rsid w:val="00760069"/>
    <w:rsid w:val="00760C44"/>
    <w:rsid w:val="00771307"/>
    <w:rsid w:val="00771ED7"/>
    <w:rsid w:val="00775E32"/>
    <w:rsid w:val="00780042"/>
    <w:rsid w:val="00785B74"/>
    <w:rsid w:val="007939D7"/>
    <w:rsid w:val="0079679D"/>
    <w:rsid w:val="007A74A4"/>
    <w:rsid w:val="007B3B3F"/>
    <w:rsid w:val="007C0631"/>
    <w:rsid w:val="007C3D1C"/>
    <w:rsid w:val="007C482B"/>
    <w:rsid w:val="007C5319"/>
    <w:rsid w:val="007D770C"/>
    <w:rsid w:val="007E1E41"/>
    <w:rsid w:val="007F41A0"/>
    <w:rsid w:val="007F5231"/>
    <w:rsid w:val="00803D7D"/>
    <w:rsid w:val="008214DB"/>
    <w:rsid w:val="00835E87"/>
    <w:rsid w:val="008515B4"/>
    <w:rsid w:val="00853763"/>
    <w:rsid w:val="00860971"/>
    <w:rsid w:val="00867FF4"/>
    <w:rsid w:val="008704BD"/>
    <w:rsid w:val="0087284A"/>
    <w:rsid w:val="0089169E"/>
    <w:rsid w:val="00893A96"/>
    <w:rsid w:val="008A4D19"/>
    <w:rsid w:val="008A6115"/>
    <w:rsid w:val="008B1B71"/>
    <w:rsid w:val="008C00D5"/>
    <w:rsid w:val="008C5ACC"/>
    <w:rsid w:val="008C6FEE"/>
    <w:rsid w:val="008D0B71"/>
    <w:rsid w:val="008D7996"/>
    <w:rsid w:val="008D79A2"/>
    <w:rsid w:val="008E1D95"/>
    <w:rsid w:val="008F0B9E"/>
    <w:rsid w:val="008F0EC8"/>
    <w:rsid w:val="00904CCE"/>
    <w:rsid w:val="00905B75"/>
    <w:rsid w:val="009103DB"/>
    <w:rsid w:val="00910B9D"/>
    <w:rsid w:val="00920267"/>
    <w:rsid w:val="009265F1"/>
    <w:rsid w:val="00927F12"/>
    <w:rsid w:val="00931ABD"/>
    <w:rsid w:val="00931E8E"/>
    <w:rsid w:val="009347F7"/>
    <w:rsid w:val="0095511D"/>
    <w:rsid w:val="0096431E"/>
    <w:rsid w:val="0099218B"/>
    <w:rsid w:val="00993135"/>
    <w:rsid w:val="009A1B8F"/>
    <w:rsid w:val="009A2911"/>
    <w:rsid w:val="009B04E0"/>
    <w:rsid w:val="009B2E94"/>
    <w:rsid w:val="009B4340"/>
    <w:rsid w:val="009C2656"/>
    <w:rsid w:val="009C38DF"/>
    <w:rsid w:val="009D01E0"/>
    <w:rsid w:val="009D612F"/>
    <w:rsid w:val="009E6676"/>
    <w:rsid w:val="009F561C"/>
    <w:rsid w:val="00A01632"/>
    <w:rsid w:val="00A174D9"/>
    <w:rsid w:val="00A23416"/>
    <w:rsid w:val="00A27217"/>
    <w:rsid w:val="00A341E0"/>
    <w:rsid w:val="00A34F61"/>
    <w:rsid w:val="00A412DA"/>
    <w:rsid w:val="00A41A47"/>
    <w:rsid w:val="00A46D1A"/>
    <w:rsid w:val="00A603E1"/>
    <w:rsid w:val="00A81E03"/>
    <w:rsid w:val="00A8709F"/>
    <w:rsid w:val="00A964D1"/>
    <w:rsid w:val="00AA385A"/>
    <w:rsid w:val="00AA50CA"/>
    <w:rsid w:val="00AA5DB0"/>
    <w:rsid w:val="00AA6A8B"/>
    <w:rsid w:val="00AA7EB6"/>
    <w:rsid w:val="00AB3CCA"/>
    <w:rsid w:val="00AB5ACD"/>
    <w:rsid w:val="00AC3274"/>
    <w:rsid w:val="00AC5DE2"/>
    <w:rsid w:val="00AC6DFC"/>
    <w:rsid w:val="00AD0250"/>
    <w:rsid w:val="00AE4BF6"/>
    <w:rsid w:val="00AE5090"/>
    <w:rsid w:val="00AE5986"/>
    <w:rsid w:val="00B010A1"/>
    <w:rsid w:val="00B02CF5"/>
    <w:rsid w:val="00B0564F"/>
    <w:rsid w:val="00B065DB"/>
    <w:rsid w:val="00B07AF3"/>
    <w:rsid w:val="00B17428"/>
    <w:rsid w:val="00B24468"/>
    <w:rsid w:val="00B27868"/>
    <w:rsid w:val="00B36508"/>
    <w:rsid w:val="00B52FA9"/>
    <w:rsid w:val="00B6084A"/>
    <w:rsid w:val="00B64E56"/>
    <w:rsid w:val="00B74F07"/>
    <w:rsid w:val="00B86CD7"/>
    <w:rsid w:val="00B91DE9"/>
    <w:rsid w:val="00B9653B"/>
    <w:rsid w:val="00BA34CD"/>
    <w:rsid w:val="00BB6AAC"/>
    <w:rsid w:val="00BC4430"/>
    <w:rsid w:val="00BC5807"/>
    <w:rsid w:val="00BD225C"/>
    <w:rsid w:val="00BF11E4"/>
    <w:rsid w:val="00C2535E"/>
    <w:rsid w:val="00C2559A"/>
    <w:rsid w:val="00C27E13"/>
    <w:rsid w:val="00C3632F"/>
    <w:rsid w:val="00C4088F"/>
    <w:rsid w:val="00C669C4"/>
    <w:rsid w:val="00C66DC9"/>
    <w:rsid w:val="00C703FE"/>
    <w:rsid w:val="00C7065C"/>
    <w:rsid w:val="00C74541"/>
    <w:rsid w:val="00C75A43"/>
    <w:rsid w:val="00C875E5"/>
    <w:rsid w:val="00C978A5"/>
    <w:rsid w:val="00CA088C"/>
    <w:rsid w:val="00CA5B79"/>
    <w:rsid w:val="00CA7237"/>
    <w:rsid w:val="00CB7868"/>
    <w:rsid w:val="00CC2B83"/>
    <w:rsid w:val="00CC4797"/>
    <w:rsid w:val="00CD4323"/>
    <w:rsid w:val="00CE0991"/>
    <w:rsid w:val="00CE6C68"/>
    <w:rsid w:val="00CE7AAA"/>
    <w:rsid w:val="00CF276A"/>
    <w:rsid w:val="00D275DC"/>
    <w:rsid w:val="00D353A5"/>
    <w:rsid w:val="00D408A4"/>
    <w:rsid w:val="00D4332F"/>
    <w:rsid w:val="00D436AB"/>
    <w:rsid w:val="00D43AA5"/>
    <w:rsid w:val="00D44F32"/>
    <w:rsid w:val="00D46C2C"/>
    <w:rsid w:val="00D628A8"/>
    <w:rsid w:val="00D67B64"/>
    <w:rsid w:val="00D71C2D"/>
    <w:rsid w:val="00D728AF"/>
    <w:rsid w:val="00D72CCB"/>
    <w:rsid w:val="00D74E5C"/>
    <w:rsid w:val="00D77AA7"/>
    <w:rsid w:val="00D77C2C"/>
    <w:rsid w:val="00D85FA6"/>
    <w:rsid w:val="00D92771"/>
    <w:rsid w:val="00D93D3B"/>
    <w:rsid w:val="00D973FE"/>
    <w:rsid w:val="00DA34EE"/>
    <w:rsid w:val="00DA5457"/>
    <w:rsid w:val="00DA7BBA"/>
    <w:rsid w:val="00DD0CFC"/>
    <w:rsid w:val="00DD2022"/>
    <w:rsid w:val="00DD58F1"/>
    <w:rsid w:val="00DE08BC"/>
    <w:rsid w:val="00DE6782"/>
    <w:rsid w:val="00DF4680"/>
    <w:rsid w:val="00E06574"/>
    <w:rsid w:val="00E11015"/>
    <w:rsid w:val="00E12DBF"/>
    <w:rsid w:val="00E23336"/>
    <w:rsid w:val="00E237D1"/>
    <w:rsid w:val="00E31B9F"/>
    <w:rsid w:val="00E35241"/>
    <w:rsid w:val="00E36F1A"/>
    <w:rsid w:val="00E46416"/>
    <w:rsid w:val="00E52F7E"/>
    <w:rsid w:val="00E56F1A"/>
    <w:rsid w:val="00E65559"/>
    <w:rsid w:val="00E67105"/>
    <w:rsid w:val="00E7021F"/>
    <w:rsid w:val="00E73105"/>
    <w:rsid w:val="00EA6274"/>
    <w:rsid w:val="00EB3037"/>
    <w:rsid w:val="00EB31D4"/>
    <w:rsid w:val="00EB4E06"/>
    <w:rsid w:val="00EC539B"/>
    <w:rsid w:val="00EE1157"/>
    <w:rsid w:val="00EF59A4"/>
    <w:rsid w:val="00EF7C5F"/>
    <w:rsid w:val="00F00F0F"/>
    <w:rsid w:val="00F01D1F"/>
    <w:rsid w:val="00F0603F"/>
    <w:rsid w:val="00F06E62"/>
    <w:rsid w:val="00F1175A"/>
    <w:rsid w:val="00F11FA4"/>
    <w:rsid w:val="00F24BE7"/>
    <w:rsid w:val="00F25D65"/>
    <w:rsid w:val="00F53113"/>
    <w:rsid w:val="00F629FD"/>
    <w:rsid w:val="00F63413"/>
    <w:rsid w:val="00F64791"/>
    <w:rsid w:val="00F6651F"/>
    <w:rsid w:val="00F67CB1"/>
    <w:rsid w:val="00F70E5E"/>
    <w:rsid w:val="00F728A7"/>
    <w:rsid w:val="00F81F1D"/>
    <w:rsid w:val="00F83F54"/>
    <w:rsid w:val="00FA680E"/>
    <w:rsid w:val="00FB0822"/>
    <w:rsid w:val="00FB782E"/>
    <w:rsid w:val="00FC2C24"/>
    <w:rsid w:val="00FC5D66"/>
    <w:rsid w:val="00FD3E38"/>
    <w:rsid w:val="00FD4921"/>
    <w:rsid w:val="00FE730E"/>
    <w:rsid w:val="00FF0B1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6DDAE"/>
  <w15:chartTrackingRefBased/>
  <w15:docId w15:val="{F861EB9B-BB86-C749-A659-C0D6D50A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8C9"/>
    <w:rPr>
      <w:rFonts w:ascii="Times New Roman" w:eastAsia="Times New Roman" w:hAnsi="Times New Roman" w:cs="Times New Roman"/>
    </w:rPr>
  </w:style>
  <w:style w:type="paragraph" w:styleId="Heading1">
    <w:name w:val="heading 1"/>
    <w:basedOn w:val="Normal"/>
    <w:next w:val="Normal"/>
    <w:link w:val="Heading1Char"/>
    <w:uiPriority w:val="9"/>
    <w:qFormat/>
    <w:rsid w:val="000D4E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265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004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5E20"/>
    <w:pPr>
      <w:spacing w:before="100" w:beforeAutospacing="1" w:after="100" w:afterAutospacing="1"/>
    </w:pPr>
  </w:style>
  <w:style w:type="paragraph" w:styleId="Header">
    <w:name w:val="header"/>
    <w:basedOn w:val="Normal"/>
    <w:link w:val="HeaderChar"/>
    <w:uiPriority w:val="99"/>
    <w:unhideWhenUsed/>
    <w:rsid w:val="00335E20"/>
    <w:pPr>
      <w:tabs>
        <w:tab w:val="center" w:pos="4680"/>
        <w:tab w:val="right" w:pos="9360"/>
      </w:tabs>
    </w:pPr>
  </w:style>
  <w:style w:type="character" w:customStyle="1" w:styleId="HeaderChar">
    <w:name w:val="Header Char"/>
    <w:basedOn w:val="DefaultParagraphFont"/>
    <w:link w:val="Header"/>
    <w:uiPriority w:val="99"/>
    <w:rsid w:val="00335E20"/>
    <w:rPr>
      <w:rFonts w:ascii="Times New Roman" w:eastAsia="Times New Roman" w:hAnsi="Times New Roman" w:cs="Times New Roman"/>
    </w:rPr>
  </w:style>
  <w:style w:type="paragraph" w:styleId="Footer">
    <w:name w:val="footer"/>
    <w:basedOn w:val="Normal"/>
    <w:link w:val="FooterChar"/>
    <w:uiPriority w:val="99"/>
    <w:unhideWhenUsed/>
    <w:rsid w:val="00335E20"/>
    <w:pPr>
      <w:tabs>
        <w:tab w:val="center" w:pos="4680"/>
        <w:tab w:val="right" w:pos="9360"/>
      </w:tabs>
    </w:pPr>
  </w:style>
  <w:style w:type="character" w:customStyle="1" w:styleId="FooterChar">
    <w:name w:val="Footer Char"/>
    <w:basedOn w:val="DefaultParagraphFont"/>
    <w:link w:val="Footer"/>
    <w:uiPriority w:val="99"/>
    <w:rsid w:val="00335E20"/>
    <w:rPr>
      <w:rFonts w:ascii="Times New Roman" w:eastAsia="Times New Roman" w:hAnsi="Times New Roman" w:cs="Times New Roman"/>
    </w:rPr>
  </w:style>
  <w:style w:type="paragraph" w:styleId="NoSpacing">
    <w:name w:val="No Spacing"/>
    <w:uiPriority w:val="1"/>
    <w:qFormat/>
    <w:rsid w:val="00335E20"/>
    <w:rPr>
      <w:rFonts w:ascii="Times New Roman" w:eastAsia="Times New Roman" w:hAnsi="Times New Roman" w:cs="Times New Roman"/>
    </w:rPr>
  </w:style>
  <w:style w:type="paragraph" w:styleId="TOC1">
    <w:name w:val="toc 1"/>
    <w:next w:val="Normal"/>
    <w:uiPriority w:val="39"/>
    <w:rsid w:val="00335E20"/>
    <w:pPr>
      <w:spacing w:before="360" w:after="360"/>
    </w:pPr>
    <w:rPr>
      <w:rFonts w:eastAsia="Times New Roman" w:cs="Times New Roman"/>
      <w:b/>
      <w:bCs/>
      <w:caps/>
      <w:sz w:val="22"/>
      <w:szCs w:val="22"/>
      <w:u w:val="single"/>
    </w:rPr>
  </w:style>
  <w:style w:type="paragraph" w:customStyle="1" w:styleId="a">
    <w:name w:val="默认"/>
    <w:rsid w:val="00335E20"/>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 w:type="character" w:customStyle="1" w:styleId="Heading1Char">
    <w:name w:val="Heading 1 Char"/>
    <w:basedOn w:val="DefaultParagraphFont"/>
    <w:link w:val="Heading1"/>
    <w:uiPriority w:val="9"/>
    <w:rsid w:val="000D4E7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D4E7A"/>
    <w:pPr>
      <w:spacing w:line="259" w:lineRule="auto"/>
      <w:outlineLvl w:val="9"/>
    </w:pPr>
    <w:rPr>
      <w:lang w:val="en-US" w:eastAsia="en-US"/>
    </w:rPr>
  </w:style>
  <w:style w:type="paragraph" w:styleId="TOC2">
    <w:name w:val="toc 2"/>
    <w:basedOn w:val="Normal"/>
    <w:next w:val="Normal"/>
    <w:autoRedefine/>
    <w:uiPriority w:val="39"/>
    <w:unhideWhenUsed/>
    <w:rsid w:val="008C00D5"/>
    <w:pPr>
      <w:tabs>
        <w:tab w:val="right" w:leader="dot" w:pos="9010"/>
      </w:tabs>
      <w:jc w:val="both"/>
    </w:pPr>
    <w:rPr>
      <w:rFonts w:asciiTheme="minorHAnsi" w:hAnsiTheme="minorHAnsi"/>
      <w:b/>
      <w:bCs/>
      <w:smallCaps/>
      <w:sz w:val="22"/>
      <w:szCs w:val="22"/>
    </w:rPr>
  </w:style>
  <w:style w:type="paragraph" w:styleId="TOC3">
    <w:name w:val="toc 3"/>
    <w:basedOn w:val="Normal"/>
    <w:next w:val="Normal"/>
    <w:autoRedefine/>
    <w:uiPriority w:val="39"/>
    <w:unhideWhenUsed/>
    <w:rsid w:val="000D4E7A"/>
    <w:rPr>
      <w:rFonts w:asciiTheme="minorHAnsi" w:hAnsiTheme="minorHAnsi"/>
      <w:smallCaps/>
      <w:sz w:val="22"/>
      <w:szCs w:val="22"/>
    </w:rPr>
  </w:style>
  <w:style w:type="table" w:styleId="TableGrid">
    <w:name w:val="Table Grid"/>
    <w:basedOn w:val="TableNormal"/>
    <w:uiPriority w:val="39"/>
    <w:rsid w:val="000D4E7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7A1B"/>
    <w:pPr>
      <w:ind w:left="720"/>
      <w:contextualSpacing/>
    </w:pPr>
  </w:style>
  <w:style w:type="character" w:customStyle="1" w:styleId="apple-converted-space">
    <w:name w:val="apple-converted-space"/>
    <w:basedOn w:val="DefaultParagraphFont"/>
    <w:rsid w:val="003F0F7B"/>
  </w:style>
  <w:style w:type="table" w:styleId="GridTable5Dark-Accent2">
    <w:name w:val="Grid Table 5 Dark Accent 2"/>
    <w:basedOn w:val="TableNormal"/>
    <w:uiPriority w:val="50"/>
    <w:rsid w:val="00B07A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B07A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3">
    <w:name w:val="Grid Table 5 Dark Accent 3"/>
    <w:basedOn w:val="TableNormal"/>
    <w:uiPriority w:val="50"/>
    <w:rsid w:val="00B07A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ghtList1">
    <w:name w:val="Light List1"/>
    <w:basedOn w:val="TableNormal"/>
    <w:uiPriority w:val="61"/>
    <w:rsid w:val="00DE6782"/>
    <w:rPr>
      <w:sz w:val="22"/>
      <w:szCs w:val="2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4-Accent3">
    <w:name w:val="Grid Table 4 Accent 3"/>
    <w:basedOn w:val="TableNormal"/>
    <w:uiPriority w:val="49"/>
    <w:rsid w:val="00706E7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2Char">
    <w:name w:val="Heading 2 Char"/>
    <w:basedOn w:val="DefaultParagraphFont"/>
    <w:link w:val="Heading2"/>
    <w:uiPriority w:val="9"/>
    <w:rsid w:val="009C265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C2656"/>
    <w:rPr>
      <w:color w:val="0563C1" w:themeColor="hyperlink"/>
      <w:u w:val="single"/>
    </w:rPr>
  </w:style>
  <w:style w:type="paragraph" w:styleId="TOC4">
    <w:name w:val="toc 4"/>
    <w:basedOn w:val="Normal"/>
    <w:next w:val="Normal"/>
    <w:autoRedefine/>
    <w:uiPriority w:val="39"/>
    <w:semiHidden/>
    <w:unhideWhenUsed/>
    <w:rsid w:val="009C2656"/>
    <w:rPr>
      <w:rFonts w:asciiTheme="minorHAnsi" w:hAnsiTheme="minorHAnsi"/>
      <w:sz w:val="22"/>
      <w:szCs w:val="22"/>
    </w:rPr>
  </w:style>
  <w:style w:type="paragraph" w:styleId="TOC5">
    <w:name w:val="toc 5"/>
    <w:basedOn w:val="Normal"/>
    <w:next w:val="Normal"/>
    <w:autoRedefine/>
    <w:uiPriority w:val="39"/>
    <w:semiHidden/>
    <w:unhideWhenUsed/>
    <w:rsid w:val="009C2656"/>
    <w:rPr>
      <w:rFonts w:asciiTheme="minorHAnsi" w:hAnsiTheme="minorHAnsi"/>
      <w:sz w:val="22"/>
      <w:szCs w:val="22"/>
    </w:rPr>
  </w:style>
  <w:style w:type="paragraph" w:styleId="TOC6">
    <w:name w:val="toc 6"/>
    <w:basedOn w:val="Normal"/>
    <w:next w:val="Normal"/>
    <w:autoRedefine/>
    <w:uiPriority w:val="39"/>
    <w:semiHidden/>
    <w:unhideWhenUsed/>
    <w:rsid w:val="009C2656"/>
    <w:rPr>
      <w:rFonts w:asciiTheme="minorHAnsi" w:hAnsiTheme="minorHAnsi"/>
      <w:sz w:val="22"/>
      <w:szCs w:val="22"/>
    </w:rPr>
  </w:style>
  <w:style w:type="paragraph" w:styleId="TOC7">
    <w:name w:val="toc 7"/>
    <w:basedOn w:val="Normal"/>
    <w:next w:val="Normal"/>
    <w:autoRedefine/>
    <w:uiPriority w:val="39"/>
    <w:semiHidden/>
    <w:unhideWhenUsed/>
    <w:rsid w:val="009C2656"/>
    <w:rPr>
      <w:rFonts w:asciiTheme="minorHAnsi" w:hAnsiTheme="minorHAnsi"/>
      <w:sz w:val="22"/>
      <w:szCs w:val="22"/>
    </w:rPr>
  </w:style>
  <w:style w:type="paragraph" w:styleId="TOC8">
    <w:name w:val="toc 8"/>
    <w:basedOn w:val="Normal"/>
    <w:next w:val="Normal"/>
    <w:autoRedefine/>
    <w:uiPriority w:val="39"/>
    <w:semiHidden/>
    <w:unhideWhenUsed/>
    <w:rsid w:val="009C2656"/>
    <w:rPr>
      <w:rFonts w:asciiTheme="minorHAnsi" w:hAnsiTheme="minorHAnsi"/>
      <w:sz w:val="22"/>
      <w:szCs w:val="22"/>
    </w:rPr>
  </w:style>
  <w:style w:type="paragraph" w:styleId="TOC9">
    <w:name w:val="toc 9"/>
    <w:basedOn w:val="Normal"/>
    <w:next w:val="Normal"/>
    <w:autoRedefine/>
    <w:uiPriority w:val="39"/>
    <w:semiHidden/>
    <w:unhideWhenUsed/>
    <w:rsid w:val="009C2656"/>
    <w:rPr>
      <w:rFonts w:asciiTheme="minorHAnsi" w:hAnsiTheme="minorHAnsi"/>
      <w:sz w:val="22"/>
      <w:szCs w:val="22"/>
    </w:rPr>
  </w:style>
  <w:style w:type="character" w:styleId="FollowedHyperlink">
    <w:name w:val="FollowedHyperlink"/>
    <w:basedOn w:val="DefaultParagraphFont"/>
    <w:uiPriority w:val="99"/>
    <w:semiHidden/>
    <w:unhideWhenUsed/>
    <w:rsid w:val="006B6052"/>
    <w:rPr>
      <w:color w:val="954F72" w:themeColor="followedHyperlink"/>
      <w:u w:val="single"/>
    </w:rPr>
  </w:style>
  <w:style w:type="paragraph" w:styleId="BalloonText">
    <w:name w:val="Balloon Text"/>
    <w:basedOn w:val="Normal"/>
    <w:link w:val="BalloonTextChar"/>
    <w:uiPriority w:val="99"/>
    <w:semiHidden/>
    <w:unhideWhenUsed/>
    <w:rsid w:val="00FB08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822"/>
    <w:rPr>
      <w:rFonts w:ascii="Segoe UI" w:eastAsia="Times New Roman" w:hAnsi="Segoe UI" w:cs="Segoe UI"/>
      <w:sz w:val="18"/>
      <w:szCs w:val="18"/>
    </w:rPr>
  </w:style>
  <w:style w:type="paragraph" w:styleId="BodyText">
    <w:name w:val="Body Text"/>
    <w:basedOn w:val="Normal"/>
    <w:link w:val="BodyTextChar"/>
    <w:rsid w:val="00EB31D4"/>
    <w:rPr>
      <w:rFonts w:ascii="Arial" w:hAnsi="Arial"/>
      <w:szCs w:val="20"/>
      <w:lang w:val="en-US" w:eastAsia="en-US"/>
    </w:rPr>
  </w:style>
  <w:style w:type="character" w:customStyle="1" w:styleId="BodyTextChar">
    <w:name w:val="Body Text Char"/>
    <w:basedOn w:val="DefaultParagraphFont"/>
    <w:link w:val="BodyText"/>
    <w:rsid w:val="00EB31D4"/>
    <w:rPr>
      <w:rFonts w:ascii="Arial" w:eastAsia="Times New Roman" w:hAnsi="Arial" w:cs="Times New Roman"/>
      <w:szCs w:val="20"/>
      <w:lang w:val="en-US" w:eastAsia="en-US"/>
    </w:rPr>
  </w:style>
  <w:style w:type="character" w:customStyle="1" w:styleId="Heading3Char">
    <w:name w:val="Heading 3 Char"/>
    <w:basedOn w:val="DefaultParagraphFont"/>
    <w:link w:val="Heading3"/>
    <w:uiPriority w:val="9"/>
    <w:rsid w:val="00780042"/>
    <w:rPr>
      <w:rFonts w:asciiTheme="majorHAnsi" w:eastAsiaTheme="majorEastAsia" w:hAnsiTheme="majorHAnsi" w:cstheme="majorBidi"/>
      <w:color w:val="1F3763" w:themeColor="accent1" w:themeShade="7F"/>
    </w:rPr>
  </w:style>
  <w:style w:type="table" w:styleId="PlainTable5">
    <w:name w:val="Plain Table 5"/>
    <w:basedOn w:val="TableNormal"/>
    <w:uiPriority w:val="45"/>
    <w:rsid w:val="00AE509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509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D43A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03371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2">
    <w:name w:val="Grid Table 1 Light Accent 2"/>
    <w:basedOn w:val="TableNormal"/>
    <w:uiPriority w:val="46"/>
    <w:rsid w:val="0003371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03371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6">
    <w:name w:val="Grid Table 2 Accent 6"/>
    <w:basedOn w:val="TableNormal"/>
    <w:uiPriority w:val="47"/>
    <w:rsid w:val="001463EA"/>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1">
    <w:name w:val="Grid Table 3 Accent 1"/>
    <w:basedOn w:val="TableNormal"/>
    <w:uiPriority w:val="48"/>
    <w:rsid w:val="00EF7C5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PageNumber">
    <w:name w:val="page number"/>
    <w:basedOn w:val="DefaultParagraphFont"/>
    <w:uiPriority w:val="99"/>
    <w:semiHidden/>
    <w:unhideWhenUsed/>
    <w:rsid w:val="0026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89473">
      <w:bodyDiv w:val="1"/>
      <w:marLeft w:val="0"/>
      <w:marRight w:val="0"/>
      <w:marTop w:val="0"/>
      <w:marBottom w:val="0"/>
      <w:divBdr>
        <w:top w:val="none" w:sz="0" w:space="0" w:color="auto"/>
        <w:left w:val="none" w:sz="0" w:space="0" w:color="auto"/>
        <w:bottom w:val="none" w:sz="0" w:space="0" w:color="auto"/>
        <w:right w:val="none" w:sz="0" w:space="0" w:color="auto"/>
      </w:divBdr>
      <w:divsChild>
        <w:div w:id="1481195568">
          <w:marLeft w:val="0"/>
          <w:marRight w:val="0"/>
          <w:marTop w:val="0"/>
          <w:marBottom w:val="0"/>
          <w:divBdr>
            <w:top w:val="none" w:sz="0" w:space="0" w:color="auto"/>
            <w:left w:val="none" w:sz="0" w:space="0" w:color="auto"/>
            <w:bottom w:val="none" w:sz="0" w:space="0" w:color="auto"/>
            <w:right w:val="none" w:sz="0" w:space="0" w:color="auto"/>
          </w:divBdr>
          <w:divsChild>
            <w:div w:id="2089842682">
              <w:marLeft w:val="0"/>
              <w:marRight w:val="0"/>
              <w:marTop w:val="0"/>
              <w:marBottom w:val="0"/>
              <w:divBdr>
                <w:top w:val="none" w:sz="0" w:space="0" w:color="auto"/>
                <w:left w:val="none" w:sz="0" w:space="0" w:color="auto"/>
                <w:bottom w:val="none" w:sz="0" w:space="0" w:color="auto"/>
                <w:right w:val="none" w:sz="0" w:space="0" w:color="auto"/>
              </w:divBdr>
              <w:divsChild>
                <w:div w:id="3341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4253">
      <w:bodyDiv w:val="1"/>
      <w:marLeft w:val="0"/>
      <w:marRight w:val="0"/>
      <w:marTop w:val="0"/>
      <w:marBottom w:val="0"/>
      <w:divBdr>
        <w:top w:val="none" w:sz="0" w:space="0" w:color="auto"/>
        <w:left w:val="none" w:sz="0" w:space="0" w:color="auto"/>
        <w:bottom w:val="none" w:sz="0" w:space="0" w:color="auto"/>
        <w:right w:val="none" w:sz="0" w:space="0" w:color="auto"/>
      </w:divBdr>
      <w:divsChild>
        <w:div w:id="909659885">
          <w:marLeft w:val="0"/>
          <w:marRight w:val="0"/>
          <w:marTop w:val="0"/>
          <w:marBottom w:val="0"/>
          <w:divBdr>
            <w:top w:val="none" w:sz="0" w:space="0" w:color="auto"/>
            <w:left w:val="none" w:sz="0" w:space="0" w:color="auto"/>
            <w:bottom w:val="none" w:sz="0" w:space="0" w:color="auto"/>
            <w:right w:val="none" w:sz="0" w:space="0" w:color="auto"/>
          </w:divBdr>
          <w:divsChild>
            <w:div w:id="563025629">
              <w:marLeft w:val="0"/>
              <w:marRight w:val="0"/>
              <w:marTop w:val="0"/>
              <w:marBottom w:val="0"/>
              <w:divBdr>
                <w:top w:val="none" w:sz="0" w:space="0" w:color="auto"/>
                <w:left w:val="none" w:sz="0" w:space="0" w:color="auto"/>
                <w:bottom w:val="none" w:sz="0" w:space="0" w:color="auto"/>
                <w:right w:val="none" w:sz="0" w:space="0" w:color="auto"/>
              </w:divBdr>
              <w:divsChild>
                <w:div w:id="966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8974">
      <w:bodyDiv w:val="1"/>
      <w:marLeft w:val="0"/>
      <w:marRight w:val="0"/>
      <w:marTop w:val="0"/>
      <w:marBottom w:val="0"/>
      <w:divBdr>
        <w:top w:val="none" w:sz="0" w:space="0" w:color="auto"/>
        <w:left w:val="none" w:sz="0" w:space="0" w:color="auto"/>
        <w:bottom w:val="none" w:sz="0" w:space="0" w:color="auto"/>
        <w:right w:val="none" w:sz="0" w:space="0" w:color="auto"/>
      </w:divBdr>
    </w:div>
    <w:div w:id="91630163">
      <w:bodyDiv w:val="1"/>
      <w:marLeft w:val="0"/>
      <w:marRight w:val="0"/>
      <w:marTop w:val="0"/>
      <w:marBottom w:val="0"/>
      <w:divBdr>
        <w:top w:val="none" w:sz="0" w:space="0" w:color="auto"/>
        <w:left w:val="none" w:sz="0" w:space="0" w:color="auto"/>
        <w:bottom w:val="none" w:sz="0" w:space="0" w:color="auto"/>
        <w:right w:val="none" w:sz="0" w:space="0" w:color="auto"/>
      </w:divBdr>
    </w:div>
    <w:div w:id="94642716">
      <w:bodyDiv w:val="1"/>
      <w:marLeft w:val="0"/>
      <w:marRight w:val="0"/>
      <w:marTop w:val="0"/>
      <w:marBottom w:val="0"/>
      <w:divBdr>
        <w:top w:val="none" w:sz="0" w:space="0" w:color="auto"/>
        <w:left w:val="none" w:sz="0" w:space="0" w:color="auto"/>
        <w:bottom w:val="none" w:sz="0" w:space="0" w:color="auto"/>
        <w:right w:val="none" w:sz="0" w:space="0" w:color="auto"/>
      </w:divBdr>
    </w:div>
    <w:div w:id="94710842">
      <w:bodyDiv w:val="1"/>
      <w:marLeft w:val="0"/>
      <w:marRight w:val="0"/>
      <w:marTop w:val="0"/>
      <w:marBottom w:val="0"/>
      <w:divBdr>
        <w:top w:val="none" w:sz="0" w:space="0" w:color="auto"/>
        <w:left w:val="none" w:sz="0" w:space="0" w:color="auto"/>
        <w:bottom w:val="none" w:sz="0" w:space="0" w:color="auto"/>
        <w:right w:val="none" w:sz="0" w:space="0" w:color="auto"/>
      </w:divBdr>
    </w:div>
    <w:div w:id="164906935">
      <w:bodyDiv w:val="1"/>
      <w:marLeft w:val="0"/>
      <w:marRight w:val="0"/>
      <w:marTop w:val="0"/>
      <w:marBottom w:val="0"/>
      <w:divBdr>
        <w:top w:val="none" w:sz="0" w:space="0" w:color="auto"/>
        <w:left w:val="none" w:sz="0" w:space="0" w:color="auto"/>
        <w:bottom w:val="none" w:sz="0" w:space="0" w:color="auto"/>
        <w:right w:val="none" w:sz="0" w:space="0" w:color="auto"/>
      </w:divBdr>
      <w:divsChild>
        <w:div w:id="966543435">
          <w:marLeft w:val="0"/>
          <w:marRight w:val="0"/>
          <w:marTop w:val="0"/>
          <w:marBottom w:val="0"/>
          <w:divBdr>
            <w:top w:val="none" w:sz="0" w:space="0" w:color="auto"/>
            <w:left w:val="none" w:sz="0" w:space="0" w:color="auto"/>
            <w:bottom w:val="none" w:sz="0" w:space="0" w:color="auto"/>
            <w:right w:val="none" w:sz="0" w:space="0" w:color="auto"/>
          </w:divBdr>
          <w:divsChild>
            <w:div w:id="1351486746">
              <w:marLeft w:val="0"/>
              <w:marRight w:val="0"/>
              <w:marTop w:val="0"/>
              <w:marBottom w:val="0"/>
              <w:divBdr>
                <w:top w:val="none" w:sz="0" w:space="0" w:color="auto"/>
                <w:left w:val="none" w:sz="0" w:space="0" w:color="auto"/>
                <w:bottom w:val="none" w:sz="0" w:space="0" w:color="auto"/>
                <w:right w:val="none" w:sz="0" w:space="0" w:color="auto"/>
              </w:divBdr>
              <w:divsChild>
                <w:div w:id="3302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5932">
      <w:bodyDiv w:val="1"/>
      <w:marLeft w:val="0"/>
      <w:marRight w:val="0"/>
      <w:marTop w:val="0"/>
      <w:marBottom w:val="0"/>
      <w:divBdr>
        <w:top w:val="none" w:sz="0" w:space="0" w:color="auto"/>
        <w:left w:val="none" w:sz="0" w:space="0" w:color="auto"/>
        <w:bottom w:val="none" w:sz="0" w:space="0" w:color="auto"/>
        <w:right w:val="none" w:sz="0" w:space="0" w:color="auto"/>
      </w:divBdr>
      <w:divsChild>
        <w:div w:id="320155715">
          <w:marLeft w:val="0"/>
          <w:marRight w:val="0"/>
          <w:marTop w:val="0"/>
          <w:marBottom w:val="0"/>
          <w:divBdr>
            <w:top w:val="none" w:sz="0" w:space="0" w:color="auto"/>
            <w:left w:val="none" w:sz="0" w:space="0" w:color="auto"/>
            <w:bottom w:val="none" w:sz="0" w:space="0" w:color="auto"/>
            <w:right w:val="none" w:sz="0" w:space="0" w:color="auto"/>
          </w:divBdr>
          <w:divsChild>
            <w:div w:id="1076127365">
              <w:marLeft w:val="0"/>
              <w:marRight w:val="0"/>
              <w:marTop w:val="0"/>
              <w:marBottom w:val="0"/>
              <w:divBdr>
                <w:top w:val="none" w:sz="0" w:space="0" w:color="auto"/>
                <w:left w:val="none" w:sz="0" w:space="0" w:color="auto"/>
                <w:bottom w:val="none" w:sz="0" w:space="0" w:color="auto"/>
                <w:right w:val="none" w:sz="0" w:space="0" w:color="auto"/>
              </w:divBdr>
              <w:divsChild>
                <w:div w:id="17086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15447">
      <w:bodyDiv w:val="1"/>
      <w:marLeft w:val="0"/>
      <w:marRight w:val="0"/>
      <w:marTop w:val="0"/>
      <w:marBottom w:val="0"/>
      <w:divBdr>
        <w:top w:val="none" w:sz="0" w:space="0" w:color="auto"/>
        <w:left w:val="none" w:sz="0" w:space="0" w:color="auto"/>
        <w:bottom w:val="none" w:sz="0" w:space="0" w:color="auto"/>
        <w:right w:val="none" w:sz="0" w:space="0" w:color="auto"/>
      </w:divBdr>
      <w:divsChild>
        <w:div w:id="1991404525">
          <w:marLeft w:val="0"/>
          <w:marRight w:val="0"/>
          <w:marTop w:val="0"/>
          <w:marBottom w:val="0"/>
          <w:divBdr>
            <w:top w:val="none" w:sz="0" w:space="0" w:color="auto"/>
            <w:left w:val="none" w:sz="0" w:space="0" w:color="auto"/>
            <w:bottom w:val="none" w:sz="0" w:space="0" w:color="auto"/>
            <w:right w:val="none" w:sz="0" w:space="0" w:color="auto"/>
          </w:divBdr>
          <w:divsChild>
            <w:div w:id="830102764">
              <w:marLeft w:val="0"/>
              <w:marRight w:val="0"/>
              <w:marTop w:val="0"/>
              <w:marBottom w:val="0"/>
              <w:divBdr>
                <w:top w:val="none" w:sz="0" w:space="0" w:color="auto"/>
                <w:left w:val="none" w:sz="0" w:space="0" w:color="auto"/>
                <w:bottom w:val="none" w:sz="0" w:space="0" w:color="auto"/>
                <w:right w:val="none" w:sz="0" w:space="0" w:color="auto"/>
              </w:divBdr>
              <w:divsChild>
                <w:div w:id="1056274935">
                  <w:marLeft w:val="0"/>
                  <w:marRight w:val="0"/>
                  <w:marTop w:val="0"/>
                  <w:marBottom w:val="0"/>
                  <w:divBdr>
                    <w:top w:val="none" w:sz="0" w:space="0" w:color="auto"/>
                    <w:left w:val="none" w:sz="0" w:space="0" w:color="auto"/>
                    <w:bottom w:val="none" w:sz="0" w:space="0" w:color="auto"/>
                    <w:right w:val="none" w:sz="0" w:space="0" w:color="auto"/>
                  </w:divBdr>
                  <w:divsChild>
                    <w:div w:id="5286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01326">
      <w:bodyDiv w:val="1"/>
      <w:marLeft w:val="0"/>
      <w:marRight w:val="0"/>
      <w:marTop w:val="0"/>
      <w:marBottom w:val="0"/>
      <w:divBdr>
        <w:top w:val="none" w:sz="0" w:space="0" w:color="auto"/>
        <w:left w:val="none" w:sz="0" w:space="0" w:color="auto"/>
        <w:bottom w:val="none" w:sz="0" w:space="0" w:color="auto"/>
        <w:right w:val="none" w:sz="0" w:space="0" w:color="auto"/>
      </w:divBdr>
    </w:div>
    <w:div w:id="290674325">
      <w:bodyDiv w:val="1"/>
      <w:marLeft w:val="0"/>
      <w:marRight w:val="0"/>
      <w:marTop w:val="0"/>
      <w:marBottom w:val="0"/>
      <w:divBdr>
        <w:top w:val="none" w:sz="0" w:space="0" w:color="auto"/>
        <w:left w:val="none" w:sz="0" w:space="0" w:color="auto"/>
        <w:bottom w:val="none" w:sz="0" w:space="0" w:color="auto"/>
        <w:right w:val="none" w:sz="0" w:space="0" w:color="auto"/>
      </w:divBdr>
    </w:div>
    <w:div w:id="293103033">
      <w:bodyDiv w:val="1"/>
      <w:marLeft w:val="0"/>
      <w:marRight w:val="0"/>
      <w:marTop w:val="0"/>
      <w:marBottom w:val="0"/>
      <w:divBdr>
        <w:top w:val="none" w:sz="0" w:space="0" w:color="auto"/>
        <w:left w:val="none" w:sz="0" w:space="0" w:color="auto"/>
        <w:bottom w:val="none" w:sz="0" w:space="0" w:color="auto"/>
        <w:right w:val="none" w:sz="0" w:space="0" w:color="auto"/>
      </w:divBdr>
    </w:div>
    <w:div w:id="373577514">
      <w:bodyDiv w:val="1"/>
      <w:marLeft w:val="0"/>
      <w:marRight w:val="0"/>
      <w:marTop w:val="0"/>
      <w:marBottom w:val="0"/>
      <w:divBdr>
        <w:top w:val="none" w:sz="0" w:space="0" w:color="auto"/>
        <w:left w:val="none" w:sz="0" w:space="0" w:color="auto"/>
        <w:bottom w:val="none" w:sz="0" w:space="0" w:color="auto"/>
        <w:right w:val="none" w:sz="0" w:space="0" w:color="auto"/>
      </w:divBdr>
    </w:div>
    <w:div w:id="418646450">
      <w:bodyDiv w:val="1"/>
      <w:marLeft w:val="0"/>
      <w:marRight w:val="0"/>
      <w:marTop w:val="0"/>
      <w:marBottom w:val="0"/>
      <w:divBdr>
        <w:top w:val="none" w:sz="0" w:space="0" w:color="auto"/>
        <w:left w:val="none" w:sz="0" w:space="0" w:color="auto"/>
        <w:bottom w:val="none" w:sz="0" w:space="0" w:color="auto"/>
        <w:right w:val="none" w:sz="0" w:space="0" w:color="auto"/>
      </w:divBdr>
    </w:div>
    <w:div w:id="432019378">
      <w:bodyDiv w:val="1"/>
      <w:marLeft w:val="0"/>
      <w:marRight w:val="0"/>
      <w:marTop w:val="0"/>
      <w:marBottom w:val="0"/>
      <w:divBdr>
        <w:top w:val="none" w:sz="0" w:space="0" w:color="auto"/>
        <w:left w:val="none" w:sz="0" w:space="0" w:color="auto"/>
        <w:bottom w:val="none" w:sz="0" w:space="0" w:color="auto"/>
        <w:right w:val="none" w:sz="0" w:space="0" w:color="auto"/>
      </w:divBdr>
      <w:divsChild>
        <w:div w:id="311913453">
          <w:marLeft w:val="0"/>
          <w:marRight w:val="0"/>
          <w:marTop w:val="0"/>
          <w:marBottom w:val="0"/>
          <w:divBdr>
            <w:top w:val="none" w:sz="0" w:space="0" w:color="auto"/>
            <w:left w:val="none" w:sz="0" w:space="0" w:color="auto"/>
            <w:bottom w:val="none" w:sz="0" w:space="0" w:color="auto"/>
            <w:right w:val="none" w:sz="0" w:space="0" w:color="auto"/>
          </w:divBdr>
          <w:divsChild>
            <w:div w:id="1308433200">
              <w:marLeft w:val="0"/>
              <w:marRight w:val="0"/>
              <w:marTop w:val="0"/>
              <w:marBottom w:val="0"/>
              <w:divBdr>
                <w:top w:val="none" w:sz="0" w:space="0" w:color="auto"/>
                <w:left w:val="none" w:sz="0" w:space="0" w:color="auto"/>
                <w:bottom w:val="none" w:sz="0" w:space="0" w:color="auto"/>
                <w:right w:val="none" w:sz="0" w:space="0" w:color="auto"/>
              </w:divBdr>
              <w:divsChild>
                <w:div w:id="47572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39787">
      <w:bodyDiv w:val="1"/>
      <w:marLeft w:val="0"/>
      <w:marRight w:val="0"/>
      <w:marTop w:val="0"/>
      <w:marBottom w:val="0"/>
      <w:divBdr>
        <w:top w:val="none" w:sz="0" w:space="0" w:color="auto"/>
        <w:left w:val="none" w:sz="0" w:space="0" w:color="auto"/>
        <w:bottom w:val="none" w:sz="0" w:space="0" w:color="auto"/>
        <w:right w:val="none" w:sz="0" w:space="0" w:color="auto"/>
      </w:divBdr>
    </w:div>
    <w:div w:id="467935793">
      <w:bodyDiv w:val="1"/>
      <w:marLeft w:val="0"/>
      <w:marRight w:val="0"/>
      <w:marTop w:val="0"/>
      <w:marBottom w:val="0"/>
      <w:divBdr>
        <w:top w:val="none" w:sz="0" w:space="0" w:color="auto"/>
        <w:left w:val="none" w:sz="0" w:space="0" w:color="auto"/>
        <w:bottom w:val="none" w:sz="0" w:space="0" w:color="auto"/>
        <w:right w:val="none" w:sz="0" w:space="0" w:color="auto"/>
      </w:divBdr>
      <w:divsChild>
        <w:div w:id="1653294749">
          <w:marLeft w:val="0"/>
          <w:marRight w:val="0"/>
          <w:marTop w:val="0"/>
          <w:marBottom w:val="0"/>
          <w:divBdr>
            <w:top w:val="none" w:sz="0" w:space="0" w:color="auto"/>
            <w:left w:val="none" w:sz="0" w:space="0" w:color="auto"/>
            <w:bottom w:val="none" w:sz="0" w:space="0" w:color="auto"/>
            <w:right w:val="none" w:sz="0" w:space="0" w:color="auto"/>
          </w:divBdr>
          <w:divsChild>
            <w:div w:id="1787920165">
              <w:marLeft w:val="0"/>
              <w:marRight w:val="0"/>
              <w:marTop w:val="0"/>
              <w:marBottom w:val="0"/>
              <w:divBdr>
                <w:top w:val="none" w:sz="0" w:space="0" w:color="auto"/>
                <w:left w:val="none" w:sz="0" w:space="0" w:color="auto"/>
                <w:bottom w:val="none" w:sz="0" w:space="0" w:color="auto"/>
                <w:right w:val="none" w:sz="0" w:space="0" w:color="auto"/>
              </w:divBdr>
              <w:divsChild>
                <w:div w:id="17348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09047">
      <w:bodyDiv w:val="1"/>
      <w:marLeft w:val="0"/>
      <w:marRight w:val="0"/>
      <w:marTop w:val="0"/>
      <w:marBottom w:val="0"/>
      <w:divBdr>
        <w:top w:val="none" w:sz="0" w:space="0" w:color="auto"/>
        <w:left w:val="none" w:sz="0" w:space="0" w:color="auto"/>
        <w:bottom w:val="none" w:sz="0" w:space="0" w:color="auto"/>
        <w:right w:val="none" w:sz="0" w:space="0" w:color="auto"/>
      </w:divBdr>
    </w:div>
    <w:div w:id="481702369">
      <w:bodyDiv w:val="1"/>
      <w:marLeft w:val="0"/>
      <w:marRight w:val="0"/>
      <w:marTop w:val="0"/>
      <w:marBottom w:val="0"/>
      <w:divBdr>
        <w:top w:val="none" w:sz="0" w:space="0" w:color="auto"/>
        <w:left w:val="none" w:sz="0" w:space="0" w:color="auto"/>
        <w:bottom w:val="none" w:sz="0" w:space="0" w:color="auto"/>
        <w:right w:val="none" w:sz="0" w:space="0" w:color="auto"/>
      </w:divBdr>
    </w:div>
    <w:div w:id="488375156">
      <w:bodyDiv w:val="1"/>
      <w:marLeft w:val="0"/>
      <w:marRight w:val="0"/>
      <w:marTop w:val="0"/>
      <w:marBottom w:val="0"/>
      <w:divBdr>
        <w:top w:val="none" w:sz="0" w:space="0" w:color="auto"/>
        <w:left w:val="none" w:sz="0" w:space="0" w:color="auto"/>
        <w:bottom w:val="none" w:sz="0" w:space="0" w:color="auto"/>
        <w:right w:val="none" w:sz="0" w:space="0" w:color="auto"/>
      </w:divBdr>
    </w:div>
    <w:div w:id="493685748">
      <w:bodyDiv w:val="1"/>
      <w:marLeft w:val="0"/>
      <w:marRight w:val="0"/>
      <w:marTop w:val="0"/>
      <w:marBottom w:val="0"/>
      <w:divBdr>
        <w:top w:val="none" w:sz="0" w:space="0" w:color="auto"/>
        <w:left w:val="none" w:sz="0" w:space="0" w:color="auto"/>
        <w:bottom w:val="none" w:sz="0" w:space="0" w:color="auto"/>
        <w:right w:val="none" w:sz="0" w:space="0" w:color="auto"/>
      </w:divBdr>
    </w:div>
    <w:div w:id="510295612">
      <w:bodyDiv w:val="1"/>
      <w:marLeft w:val="0"/>
      <w:marRight w:val="0"/>
      <w:marTop w:val="0"/>
      <w:marBottom w:val="0"/>
      <w:divBdr>
        <w:top w:val="none" w:sz="0" w:space="0" w:color="auto"/>
        <w:left w:val="none" w:sz="0" w:space="0" w:color="auto"/>
        <w:bottom w:val="none" w:sz="0" w:space="0" w:color="auto"/>
        <w:right w:val="none" w:sz="0" w:space="0" w:color="auto"/>
      </w:divBdr>
    </w:div>
    <w:div w:id="553741451">
      <w:bodyDiv w:val="1"/>
      <w:marLeft w:val="0"/>
      <w:marRight w:val="0"/>
      <w:marTop w:val="0"/>
      <w:marBottom w:val="0"/>
      <w:divBdr>
        <w:top w:val="none" w:sz="0" w:space="0" w:color="auto"/>
        <w:left w:val="none" w:sz="0" w:space="0" w:color="auto"/>
        <w:bottom w:val="none" w:sz="0" w:space="0" w:color="auto"/>
        <w:right w:val="none" w:sz="0" w:space="0" w:color="auto"/>
      </w:divBdr>
    </w:div>
    <w:div w:id="554005687">
      <w:bodyDiv w:val="1"/>
      <w:marLeft w:val="0"/>
      <w:marRight w:val="0"/>
      <w:marTop w:val="0"/>
      <w:marBottom w:val="0"/>
      <w:divBdr>
        <w:top w:val="none" w:sz="0" w:space="0" w:color="auto"/>
        <w:left w:val="none" w:sz="0" w:space="0" w:color="auto"/>
        <w:bottom w:val="none" w:sz="0" w:space="0" w:color="auto"/>
        <w:right w:val="none" w:sz="0" w:space="0" w:color="auto"/>
      </w:divBdr>
    </w:div>
    <w:div w:id="559638551">
      <w:bodyDiv w:val="1"/>
      <w:marLeft w:val="0"/>
      <w:marRight w:val="0"/>
      <w:marTop w:val="0"/>
      <w:marBottom w:val="0"/>
      <w:divBdr>
        <w:top w:val="none" w:sz="0" w:space="0" w:color="auto"/>
        <w:left w:val="none" w:sz="0" w:space="0" w:color="auto"/>
        <w:bottom w:val="none" w:sz="0" w:space="0" w:color="auto"/>
        <w:right w:val="none" w:sz="0" w:space="0" w:color="auto"/>
      </w:divBdr>
    </w:div>
    <w:div w:id="566769417">
      <w:bodyDiv w:val="1"/>
      <w:marLeft w:val="0"/>
      <w:marRight w:val="0"/>
      <w:marTop w:val="0"/>
      <w:marBottom w:val="0"/>
      <w:divBdr>
        <w:top w:val="none" w:sz="0" w:space="0" w:color="auto"/>
        <w:left w:val="none" w:sz="0" w:space="0" w:color="auto"/>
        <w:bottom w:val="none" w:sz="0" w:space="0" w:color="auto"/>
        <w:right w:val="none" w:sz="0" w:space="0" w:color="auto"/>
      </w:divBdr>
      <w:divsChild>
        <w:div w:id="220790988">
          <w:marLeft w:val="331"/>
          <w:marRight w:val="0"/>
          <w:marTop w:val="0"/>
          <w:marBottom w:val="0"/>
          <w:divBdr>
            <w:top w:val="none" w:sz="0" w:space="0" w:color="auto"/>
            <w:left w:val="none" w:sz="0" w:space="0" w:color="auto"/>
            <w:bottom w:val="none" w:sz="0" w:space="0" w:color="auto"/>
            <w:right w:val="none" w:sz="0" w:space="0" w:color="auto"/>
          </w:divBdr>
        </w:div>
      </w:divsChild>
    </w:div>
    <w:div w:id="593436923">
      <w:bodyDiv w:val="1"/>
      <w:marLeft w:val="0"/>
      <w:marRight w:val="0"/>
      <w:marTop w:val="0"/>
      <w:marBottom w:val="0"/>
      <w:divBdr>
        <w:top w:val="none" w:sz="0" w:space="0" w:color="auto"/>
        <w:left w:val="none" w:sz="0" w:space="0" w:color="auto"/>
        <w:bottom w:val="none" w:sz="0" w:space="0" w:color="auto"/>
        <w:right w:val="none" w:sz="0" w:space="0" w:color="auto"/>
      </w:divBdr>
    </w:div>
    <w:div w:id="607004744">
      <w:bodyDiv w:val="1"/>
      <w:marLeft w:val="0"/>
      <w:marRight w:val="0"/>
      <w:marTop w:val="0"/>
      <w:marBottom w:val="0"/>
      <w:divBdr>
        <w:top w:val="none" w:sz="0" w:space="0" w:color="auto"/>
        <w:left w:val="none" w:sz="0" w:space="0" w:color="auto"/>
        <w:bottom w:val="none" w:sz="0" w:space="0" w:color="auto"/>
        <w:right w:val="none" w:sz="0" w:space="0" w:color="auto"/>
      </w:divBdr>
    </w:div>
    <w:div w:id="622343877">
      <w:bodyDiv w:val="1"/>
      <w:marLeft w:val="0"/>
      <w:marRight w:val="0"/>
      <w:marTop w:val="0"/>
      <w:marBottom w:val="0"/>
      <w:divBdr>
        <w:top w:val="none" w:sz="0" w:space="0" w:color="auto"/>
        <w:left w:val="none" w:sz="0" w:space="0" w:color="auto"/>
        <w:bottom w:val="none" w:sz="0" w:space="0" w:color="auto"/>
        <w:right w:val="none" w:sz="0" w:space="0" w:color="auto"/>
      </w:divBdr>
      <w:divsChild>
        <w:div w:id="2823794">
          <w:marLeft w:val="331"/>
          <w:marRight w:val="0"/>
          <w:marTop w:val="0"/>
          <w:marBottom w:val="0"/>
          <w:divBdr>
            <w:top w:val="none" w:sz="0" w:space="0" w:color="auto"/>
            <w:left w:val="none" w:sz="0" w:space="0" w:color="auto"/>
            <w:bottom w:val="none" w:sz="0" w:space="0" w:color="auto"/>
            <w:right w:val="none" w:sz="0" w:space="0" w:color="auto"/>
          </w:divBdr>
        </w:div>
      </w:divsChild>
    </w:div>
    <w:div w:id="709182896">
      <w:bodyDiv w:val="1"/>
      <w:marLeft w:val="0"/>
      <w:marRight w:val="0"/>
      <w:marTop w:val="0"/>
      <w:marBottom w:val="0"/>
      <w:divBdr>
        <w:top w:val="none" w:sz="0" w:space="0" w:color="auto"/>
        <w:left w:val="none" w:sz="0" w:space="0" w:color="auto"/>
        <w:bottom w:val="none" w:sz="0" w:space="0" w:color="auto"/>
        <w:right w:val="none" w:sz="0" w:space="0" w:color="auto"/>
      </w:divBdr>
    </w:div>
    <w:div w:id="719742145">
      <w:bodyDiv w:val="1"/>
      <w:marLeft w:val="0"/>
      <w:marRight w:val="0"/>
      <w:marTop w:val="0"/>
      <w:marBottom w:val="0"/>
      <w:divBdr>
        <w:top w:val="none" w:sz="0" w:space="0" w:color="auto"/>
        <w:left w:val="none" w:sz="0" w:space="0" w:color="auto"/>
        <w:bottom w:val="none" w:sz="0" w:space="0" w:color="auto"/>
        <w:right w:val="none" w:sz="0" w:space="0" w:color="auto"/>
      </w:divBdr>
    </w:div>
    <w:div w:id="720909520">
      <w:bodyDiv w:val="1"/>
      <w:marLeft w:val="0"/>
      <w:marRight w:val="0"/>
      <w:marTop w:val="0"/>
      <w:marBottom w:val="0"/>
      <w:divBdr>
        <w:top w:val="none" w:sz="0" w:space="0" w:color="auto"/>
        <w:left w:val="none" w:sz="0" w:space="0" w:color="auto"/>
        <w:bottom w:val="none" w:sz="0" w:space="0" w:color="auto"/>
        <w:right w:val="none" w:sz="0" w:space="0" w:color="auto"/>
      </w:divBdr>
    </w:div>
    <w:div w:id="749691735">
      <w:bodyDiv w:val="1"/>
      <w:marLeft w:val="0"/>
      <w:marRight w:val="0"/>
      <w:marTop w:val="0"/>
      <w:marBottom w:val="0"/>
      <w:divBdr>
        <w:top w:val="none" w:sz="0" w:space="0" w:color="auto"/>
        <w:left w:val="none" w:sz="0" w:space="0" w:color="auto"/>
        <w:bottom w:val="none" w:sz="0" w:space="0" w:color="auto"/>
        <w:right w:val="none" w:sz="0" w:space="0" w:color="auto"/>
      </w:divBdr>
      <w:divsChild>
        <w:div w:id="1663969194">
          <w:marLeft w:val="547"/>
          <w:marRight w:val="0"/>
          <w:marTop w:val="154"/>
          <w:marBottom w:val="0"/>
          <w:divBdr>
            <w:top w:val="none" w:sz="0" w:space="0" w:color="auto"/>
            <w:left w:val="none" w:sz="0" w:space="0" w:color="auto"/>
            <w:bottom w:val="none" w:sz="0" w:space="0" w:color="auto"/>
            <w:right w:val="none" w:sz="0" w:space="0" w:color="auto"/>
          </w:divBdr>
        </w:div>
      </w:divsChild>
    </w:div>
    <w:div w:id="830678179">
      <w:bodyDiv w:val="1"/>
      <w:marLeft w:val="0"/>
      <w:marRight w:val="0"/>
      <w:marTop w:val="0"/>
      <w:marBottom w:val="0"/>
      <w:divBdr>
        <w:top w:val="none" w:sz="0" w:space="0" w:color="auto"/>
        <w:left w:val="none" w:sz="0" w:space="0" w:color="auto"/>
        <w:bottom w:val="none" w:sz="0" w:space="0" w:color="auto"/>
        <w:right w:val="none" w:sz="0" w:space="0" w:color="auto"/>
      </w:divBdr>
    </w:div>
    <w:div w:id="847331417">
      <w:bodyDiv w:val="1"/>
      <w:marLeft w:val="0"/>
      <w:marRight w:val="0"/>
      <w:marTop w:val="0"/>
      <w:marBottom w:val="0"/>
      <w:divBdr>
        <w:top w:val="none" w:sz="0" w:space="0" w:color="auto"/>
        <w:left w:val="none" w:sz="0" w:space="0" w:color="auto"/>
        <w:bottom w:val="none" w:sz="0" w:space="0" w:color="auto"/>
        <w:right w:val="none" w:sz="0" w:space="0" w:color="auto"/>
      </w:divBdr>
    </w:div>
    <w:div w:id="849102834">
      <w:bodyDiv w:val="1"/>
      <w:marLeft w:val="0"/>
      <w:marRight w:val="0"/>
      <w:marTop w:val="0"/>
      <w:marBottom w:val="0"/>
      <w:divBdr>
        <w:top w:val="none" w:sz="0" w:space="0" w:color="auto"/>
        <w:left w:val="none" w:sz="0" w:space="0" w:color="auto"/>
        <w:bottom w:val="none" w:sz="0" w:space="0" w:color="auto"/>
        <w:right w:val="none" w:sz="0" w:space="0" w:color="auto"/>
      </w:divBdr>
    </w:div>
    <w:div w:id="879363205">
      <w:bodyDiv w:val="1"/>
      <w:marLeft w:val="0"/>
      <w:marRight w:val="0"/>
      <w:marTop w:val="0"/>
      <w:marBottom w:val="0"/>
      <w:divBdr>
        <w:top w:val="none" w:sz="0" w:space="0" w:color="auto"/>
        <w:left w:val="none" w:sz="0" w:space="0" w:color="auto"/>
        <w:bottom w:val="none" w:sz="0" w:space="0" w:color="auto"/>
        <w:right w:val="none" w:sz="0" w:space="0" w:color="auto"/>
      </w:divBdr>
    </w:div>
    <w:div w:id="970093078">
      <w:bodyDiv w:val="1"/>
      <w:marLeft w:val="0"/>
      <w:marRight w:val="0"/>
      <w:marTop w:val="0"/>
      <w:marBottom w:val="0"/>
      <w:divBdr>
        <w:top w:val="none" w:sz="0" w:space="0" w:color="auto"/>
        <w:left w:val="none" w:sz="0" w:space="0" w:color="auto"/>
        <w:bottom w:val="none" w:sz="0" w:space="0" w:color="auto"/>
        <w:right w:val="none" w:sz="0" w:space="0" w:color="auto"/>
      </w:divBdr>
      <w:divsChild>
        <w:div w:id="1847591184">
          <w:marLeft w:val="0"/>
          <w:marRight w:val="0"/>
          <w:marTop w:val="0"/>
          <w:marBottom w:val="0"/>
          <w:divBdr>
            <w:top w:val="none" w:sz="0" w:space="0" w:color="auto"/>
            <w:left w:val="none" w:sz="0" w:space="0" w:color="auto"/>
            <w:bottom w:val="none" w:sz="0" w:space="0" w:color="auto"/>
            <w:right w:val="none" w:sz="0" w:space="0" w:color="auto"/>
          </w:divBdr>
          <w:divsChild>
            <w:div w:id="1449161165">
              <w:marLeft w:val="0"/>
              <w:marRight w:val="0"/>
              <w:marTop w:val="0"/>
              <w:marBottom w:val="0"/>
              <w:divBdr>
                <w:top w:val="none" w:sz="0" w:space="0" w:color="auto"/>
                <w:left w:val="none" w:sz="0" w:space="0" w:color="auto"/>
                <w:bottom w:val="none" w:sz="0" w:space="0" w:color="auto"/>
                <w:right w:val="none" w:sz="0" w:space="0" w:color="auto"/>
              </w:divBdr>
              <w:divsChild>
                <w:div w:id="10382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8559">
      <w:bodyDiv w:val="1"/>
      <w:marLeft w:val="0"/>
      <w:marRight w:val="0"/>
      <w:marTop w:val="0"/>
      <w:marBottom w:val="0"/>
      <w:divBdr>
        <w:top w:val="none" w:sz="0" w:space="0" w:color="auto"/>
        <w:left w:val="none" w:sz="0" w:space="0" w:color="auto"/>
        <w:bottom w:val="none" w:sz="0" w:space="0" w:color="auto"/>
        <w:right w:val="none" w:sz="0" w:space="0" w:color="auto"/>
      </w:divBdr>
    </w:div>
    <w:div w:id="1026522614">
      <w:bodyDiv w:val="1"/>
      <w:marLeft w:val="0"/>
      <w:marRight w:val="0"/>
      <w:marTop w:val="0"/>
      <w:marBottom w:val="0"/>
      <w:divBdr>
        <w:top w:val="none" w:sz="0" w:space="0" w:color="auto"/>
        <w:left w:val="none" w:sz="0" w:space="0" w:color="auto"/>
        <w:bottom w:val="none" w:sz="0" w:space="0" w:color="auto"/>
        <w:right w:val="none" w:sz="0" w:space="0" w:color="auto"/>
      </w:divBdr>
    </w:div>
    <w:div w:id="1038553849">
      <w:bodyDiv w:val="1"/>
      <w:marLeft w:val="0"/>
      <w:marRight w:val="0"/>
      <w:marTop w:val="0"/>
      <w:marBottom w:val="0"/>
      <w:divBdr>
        <w:top w:val="none" w:sz="0" w:space="0" w:color="auto"/>
        <w:left w:val="none" w:sz="0" w:space="0" w:color="auto"/>
        <w:bottom w:val="none" w:sz="0" w:space="0" w:color="auto"/>
        <w:right w:val="none" w:sz="0" w:space="0" w:color="auto"/>
      </w:divBdr>
    </w:div>
    <w:div w:id="1073745693">
      <w:bodyDiv w:val="1"/>
      <w:marLeft w:val="0"/>
      <w:marRight w:val="0"/>
      <w:marTop w:val="0"/>
      <w:marBottom w:val="0"/>
      <w:divBdr>
        <w:top w:val="none" w:sz="0" w:space="0" w:color="auto"/>
        <w:left w:val="none" w:sz="0" w:space="0" w:color="auto"/>
        <w:bottom w:val="none" w:sz="0" w:space="0" w:color="auto"/>
        <w:right w:val="none" w:sz="0" w:space="0" w:color="auto"/>
      </w:divBdr>
    </w:div>
    <w:div w:id="1080061839">
      <w:bodyDiv w:val="1"/>
      <w:marLeft w:val="0"/>
      <w:marRight w:val="0"/>
      <w:marTop w:val="0"/>
      <w:marBottom w:val="0"/>
      <w:divBdr>
        <w:top w:val="none" w:sz="0" w:space="0" w:color="auto"/>
        <w:left w:val="none" w:sz="0" w:space="0" w:color="auto"/>
        <w:bottom w:val="none" w:sz="0" w:space="0" w:color="auto"/>
        <w:right w:val="none" w:sz="0" w:space="0" w:color="auto"/>
      </w:divBdr>
      <w:divsChild>
        <w:div w:id="313098170">
          <w:marLeft w:val="0"/>
          <w:marRight w:val="0"/>
          <w:marTop w:val="0"/>
          <w:marBottom w:val="0"/>
          <w:divBdr>
            <w:top w:val="none" w:sz="0" w:space="0" w:color="auto"/>
            <w:left w:val="none" w:sz="0" w:space="0" w:color="auto"/>
            <w:bottom w:val="none" w:sz="0" w:space="0" w:color="auto"/>
            <w:right w:val="none" w:sz="0" w:space="0" w:color="auto"/>
          </w:divBdr>
          <w:divsChild>
            <w:div w:id="1578904800">
              <w:marLeft w:val="0"/>
              <w:marRight w:val="0"/>
              <w:marTop w:val="0"/>
              <w:marBottom w:val="0"/>
              <w:divBdr>
                <w:top w:val="none" w:sz="0" w:space="0" w:color="auto"/>
                <w:left w:val="none" w:sz="0" w:space="0" w:color="auto"/>
                <w:bottom w:val="none" w:sz="0" w:space="0" w:color="auto"/>
                <w:right w:val="none" w:sz="0" w:space="0" w:color="auto"/>
              </w:divBdr>
              <w:divsChild>
                <w:div w:id="435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5596">
      <w:bodyDiv w:val="1"/>
      <w:marLeft w:val="0"/>
      <w:marRight w:val="0"/>
      <w:marTop w:val="0"/>
      <w:marBottom w:val="0"/>
      <w:divBdr>
        <w:top w:val="none" w:sz="0" w:space="0" w:color="auto"/>
        <w:left w:val="none" w:sz="0" w:space="0" w:color="auto"/>
        <w:bottom w:val="none" w:sz="0" w:space="0" w:color="auto"/>
        <w:right w:val="none" w:sz="0" w:space="0" w:color="auto"/>
      </w:divBdr>
    </w:div>
    <w:div w:id="1094975962">
      <w:bodyDiv w:val="1"/>
      <w:marLeft w:val="0"/>
      <w:marRight w:val="0"/>
      <w:marTop w:val="0"/>
      <w:marBottom w:val="0"/>
      <w:divBdr>
        <w:top w:val="none" w:sz="0" w:space="0" w:color="auto"/>
        <w:left w:val="none" w:sz="0" w:space="0" w:color="auto"/>
        <w:bottom w:val="none" w:sz="0" w:space="0" w:color="auto"/>
        <w:right w:val="none" w:sz="0" w:space="0" w:color="auto"/>
      </w:divBdr>
    </w:div>
    <w:div w:id="1129711673">
      <w:bodyDiv w:val="1"/>
      <w:marLeft w:val="0"/>
      <w:marRight w:val="0"/>
      <w:marTop w:val="0"/>
      <w:marBottom w:val="0"/>
      <w:divBdr>
        <w:top w:val="none" w:sz="0" w:space="0" w:color="auto"/>
        <w:left w:val="none" w:sz="0" w:space="0" w:color="auto"/>
        <w:bottom w:val="none" w:sz="0" w:space="0" w:color="auto"/>
        <w:right w:val="none" w:sz="0" w:space="0" w:color="auto"/>
      </w:divBdr>
    </w:div>
    <w:div w:id="1134905700">
      <w:bodyDiv w:val="1"/>
      <w:marLeft w:val="0"/>
      <w:marRight w:val="0"/>
      <w:marTop w:val="0"/>
      <w:marBottom w:val="0"/>
      <w:divBdr>
        <w:top w:val="none" w:sz="0" w:space="0" w:color="auto"/>
        <w:left w:val="none" w:sz="0" w:space="0" w:color="auto"/>
        <w:bottom w:val="none" w:sz="0" w:space="0" w:color="auto"/>
        <w:right w:val="none" w:sz="0" w:space="0" w:color="auto"/>
      </w:divBdr>
    </w:div>
    <w:div w:id="1143815815">
      <w:bodyDiv w:val="1"/>
      <w:marLeft w:val="0"/>
      <w:marRight w:val="0"/>
      <w:marTop w:val="0"/>
      <w:marBottom w:val="0"/>
      <w:divBdr>
        <w:top w:val="none" w:sz="0" w:space="0" w:color="auto"/>
        <w:left w:val="none" w:sz="0" w:space="0" w:color="auto"/>
        <w:bottom w:val="none" w:sz="0" w:space="0" w:color="auto"/>
        <w:right w:val="none" w:sz="0" w:space="0" w:color="auto"/>
      </w:divBdr>
    </w:div>
    <w:div w:id="1156071053">
      <w:bodyDiv w:val="1"/>
      <w:marLeft w:val="0"/>
      <w:marRight w:val="0"/>
      <w:marTop w:val="0"/>
      <w:marBottom w:val="0"/>
      <w:divBdr>
        <w:top w:val="none" w:sz="0" w:space="0" w:color="auto"/>
        <w:left w:val="none" w:sz="0" w:space="0" w:color="auto"/>
        <w:bottom w:val="none" w:sz="0" w:space="0" w:color="auto"/>
        <w:right w:val="none" w:sz="0" w:space="0" w:color="auto"/>
      </w:divBdr>
    </w:div>
    <w:div w:id="1156218457">
      <w:bodyDiv w:val="1"/>
      <w:marLeft w:val="0"/>
      <w:marRight w:val="0"/>
      <w:marTop w:val="0"/>
      <w:marBottom w:val="0"/>
      <w:divBdr>
        <w:top w:val="none" w:sz="0" w:space="0" w:color="auto"/>
        <w:left w:val="none" w:sz="0" w:space="0" w:color="auto"/>
        <w:bottom w:val="none" w:sz="0" w:space="0" w:color="auto"/>
        <w:right w:val="none" w:sz="0" w:space="0" w:color="auto"/>
      </w:divBdr>
    </w:div>
    <w:div w:id="1163351142">
      <w:bodyDiv w:val="1"/>
      <w:marLeft w:val="0"/>
      <w:marRight w:val="0"/>
      <w:marTop w:val="0"/>
      <w:marBottom w:val="0"/>
      <w:divBdr>
        <w:top w:val="none" w:sz="0" w:space="0" w:color="auto"/>
        <w:left w:val="none" w:sz="0" w:space="0" w:color="auto"/>
        <w:bottom w:val="none" w:sz="0" w:space="0" w:color="auto"/>
        <w:right w:val="none" w:sz="0" w:space="0" w:color="auto"/>
      </w:divBdr>
    </w:div>
    <w:div w:id="1186559420">
      <w:bodyDiv w:val="1"/>
      <w:marLeft w:val="0"/>
      <w:marRight w:val="0"/>
      <w:marTop w:val="0"/>
      <w:marBottom w:val="0"/>
      <w:divBdr>
        <w:top w:val="none" w:sz="0" w:space="0" w:color="auto"/>
        <w:left w:val="none" w:sz="0" w:space="0" w:color="auto"/>
        <w:bottom w:val="none" w:sz="0" w:space="0" w:color="auto"/>
        <w:right w:val="none" w:sz="0" w:space="0" w:color="auto"/>
      </w:divBdr>
    </w:div>
    <w:div w:id="1188258294">
      <w:bodyDiv w:val="1"/>
      <w:marLeft w:val="0"/>
      <w:marRight w:val="0"/>
      <w:marTop w:val="0"/>
      <w:marBottom w:val="0"/>
      <w:divBdr>
        <w:top w:val="none" w:sz="0" w:space="0" w:color="auto"/>
        <w:left w:val="none" w:sz="0" w:space="0" w:color="auto"/>
        <w:bottom w:val="none" w:sz="0" w:space="0" w:color="auto"/>
        <w:right w:val="none" w:sz="0" w:space="0" w:color="auto"/>
      </w:divBdr>
    </w:div>
    <w:div w:id="1207526914">
      <w:bodyDiv w:val="1"/>
      <w:marLeft w:val="0"/>
      <w:marRight w:val="0"/>
      <w:marTop w:val="0"/>
      <w:marBottom w:val="0"/>
      <w:divBdr>
        <w:top w:val="none" w:sz="0" w:space="0" w:color="auto"/>
        <w:left w:val="none" w:sz="0" w:space="0" w:color="auto"/>
        <w:bottom w:val="none" w:sz="0" w:space="0" w:color="auto"/>
        <w:right w:val="none" w:sz="0" w:space="0" w:color="auto"/>
      </w:divBdr>
    </w:div>
    <w:div w:id="1232303024">
      <w:bodyDiv w:val="1"/>
      <w:marLeft w:val="0"/>
      <w:marRight w:val="0"/>
      <w:marTop w:val="0"/>
      <w:marBottom w:val="0"/>
      <w:divBdr>
        <w:top w:val="none" w:sz="0" w:space="0" w:color="auto"/>
        <w:left w:val="none" w:sz="0" w:space="0" w:color="auto"/>
        <w:bottom w:val="none" w:sz="0" w:space="0" w:color="auto"/>
        <w:right w:val="none" w:sz="0" w:space="0" w:color="auto"/>
      </w:divBdr>
    </w:div>
    <w:div w:id="1245803137">
      <w:bodyDiv w:val="1"/>
      <w:marLeft w:val="0"/>
      <w:marRight w:val="0"/>
      <w:marTop w:val="0"/>
      <w:marBottom w:val="0"/>
      <w:divBdr>
        <w:top w:val="none" w:sz="0" w:space="0" w:color="auto"/>
        <w:left w:val="none" w:sz="0" w:space="0" w:color="auto"/>
        <w:bottom w:val="none" w:sz="0" w:space="0" w:color="auto"/>
        <w:right w:val="none" w:sz="0" w:space="0" w:color="auto"/>
      </w:divBdr>
    </w:div>
    <w:div w:id="1261715256">
      <w:bodyDiv w:val="1"/>
      <w:marLeft w:val="0"/>
      <w:marRight w:val="0"/>
      <w:marTop w:val="0"/>
      <w:marBottom w:val="0"/>
      <w:divBdr>
        <w:top w:val="none" w:sz="0" w:space="0" w:color="auto"/>
        <w:left w:val="none" w:sz="0" w:space="0" w:color="auto"/>
        <w:bottom w:val="none" w:sz="0" w:space="0" w:color="auto"/>
        <w:right w:val="none" w:sz="0" w:space="0" w:color="auto"/>
      </w:divBdr>
    </w:div>
    <w:div w:id="1262832555">
      <w:bodyDiv w:val="1"/>
      <w:marLeft w:val="0"/>
      <w:marRight w:val="0"/>
      <w:marTop w:val="0"/>
      <w:marBottom w:val="0"/>
      <w:divBdr>
        <w:top w:val="none" w:sz="0" w:space="0" w:color="auto"/>
        <w:left w:val="none" w:sz="0" w:space="0" w:color="auto"/>
        <w:bottom w:val="none" w:sz="0" w:space="0" w:color="auto"/>
        <w:right w:val="none" w:sz="0" w:space="0" w:color="auto"/>
      </w:divBdr>
    </w:div>
    <w:div w:id="1288511478">
      <w:bodyDiv w:val="1"/>
      <w:marLeft w:val="0"/>
      <w:marRight w:val="0"/>
      <w:marTop w:val="0"/>
      <w:marBottom w:val="0"/>
      <w:divBdr>
        <w:top w:val="none" w:sz="0" w:space="0" w:color="auto"/>
        <w:left w:val="none" w:sz="0" w:space="0" w:color="auto"/>
        <w:bottom w:val="none" w:sz="0" w:space="0" w:color="auto"/>
        <w:right w:val="none" w:sz="0" w:space="0" w:color="auto"/>
      </w:divBdr>
    </w:div>
    <w:div w:id="1339967101">
      <w:bodyDiv w:val="1"/>
      <w:marLeft w:val="0"/>
      <w:marRight w:val="0"/>
      <w:marTop w:val="0"/>
      <w:marBottom w:val="0"/>
      <w:divBdr>
        <w:top w:val="none" w:sz="0" w:space="0" w:color="auto"/>
        <w:left w:val="none" w:sz="0" w:space="0" w:color="auto"/>
        <w:bottom w:val="none" w:sz="0" w:space="0" w:color="auto"/>
        <w:right w:val="none" w:sz="0" w:space="0" w:color="auto"/>
      </w:divBdr>
    </w:div>
    <w:div w:id="1345939555">
      <w:bodyDiv w:val="1"/>
      <w:marLeft w:val="0"/>
      <w:marRight w:val="0"/>
      <w:marTop w:val="0"/>
      <w:marBottom w:val="0"/>
      <w:divBdr>
        <w:top w:val="none" w:sz="0" w:space="0" w:color="auto"/>
        <w:left w:val="none" w:sz="0" w:space="0" w:color="auto"/>
        <w:bottom w:val="none" w:sz="0" w:space="0" w:color="auto"/>
        <w:right w:val="none" w:sz="0" w:space="0" w:color="auto"/>
      </w:divBdr>
    </w:div>
    <w:div w:id="1346636782">
      <w:bodyDiv w:val="1"/>
      <w:marLeft w:val="0"/>
      <w:marRight w:val="0"/>
      <w:marTop w:val="0"/>
      <w:marBottom w:val="0"/>
      <w:divBdr>
        <w:top w:val="none" w:sz="0" w:space="0" w:color="auto"/>
        <w:left w:val="none" w:sz="0" w:space="0" w:color="auto"/>
        <w:bottom w:val="none" w:sz="0" w:space="0" w:color="auto"/>
        <w:right w:val="none" w:sz="0" w:space="0" w:color="auto"/>
      </w:divBdr>
    </w:div>
    <w:div w:id="1351832148">
      <w:bodyDiv w:val="1"/>
      <w:marLeft w:val="0"/>
      <w:marRight w:val="0"/>
      <w:marTop w:val="0"/>
      <w:marBottom w:val="0"/>
      <w:divBdr>
        <w:top w:val="none" w:sz="0" w:space="0" w:color="auto"/>
        <w:left w:val="none" w:sz="0" w:space="0" w:color="auto"/>
        <w:bottom w:val="none" w:sz="0" w:space="0" w:color="auto"/>
        <w:right w:val="none" w:sz="0" w:space="0" w:color="auto"/>
      </w:divBdr>
    </w:div>
    <w:div w:id="1369063937">
      <w:bodyDiv w:val="1"/>
      <w:marLeft w:val="0"/>
      <w:marRight w:val="0"/>
      <w:marTop w:val="0"/>
      <w:marBottom w:val="0"/>
      <w:divBdr>
        <w:top w:val="none" w:sz="0" w:space="0" w:color="auto"/>
        <w:left w:val="none" w:sz="0" w:space="0" w:color="auto"/>
        <w:bottom w:val="none" w:sz="0" w:space="0" w:color="auto"/>
        <w:right w:val="none" w:sz="0" w:space="0" w:color="auto"/>
      </w:divBdr>
    </w:div>
    <w:div w:id="1389379293">
      <w:bodyDiv w:val="1"/>
      <w:marLeft w:val="0"/>
      <w:marRight w:val="0"/>
      <w:marTop w:val="0"/>
      <w:marBottom w:val="0"/>
      <w:divBdr>
        <w:top w:val="none" w:sz="0" w:space="0" w:color="auto"/>
        <w:left w:val="none" w:sz="0" w:space="0" w:color="auto"/>
        <w:bottom w:val="none" w:sz="0" w:space="0" w:color="auto"/>
        <w:right w:val="none" w:sz="0" w:space="0" w:color="auto"/>
      </w:divBdr>
    </w:div>
    <w:div w:id="1401319573">
      <w:bodyDiv w:val="1"/>
      <w:marLeft w:val="0"/>
      <w:marRight w:val="0"/>
      <w:marTop w:val="0"/>
      <w:marBottom w:val="0"/>
      <w:divBdr>
        <w:top w:val="none" w:sz="0" w:space="0" w:color="auto"/>
        <w:left w:val="none" w:sz="0" w:space="0" w:color="auto"/>
        <w:bottom w:val="none" w:sz="0" w:space="0" w:color="auto"/>
        <w:right w:val="none" w:sz="0" w:space="0" w:color="auto"/>
      </w:divBdr>
      <w:divsChild>
        <w:div w:id="98181171">
          <w:marLeft w:val="0"/>
          <w:marRight w:val="0"/>
          <w:marTop w:val="0"/>
          <w:marBottom w:val="0"/>
          <w:divBdr>
            <w:top w:val="none" w:sz="0" w:space="0" w:color="auto"/>
            <w:left w:val="none" w:sz="0" w:space="0" w:color="auto"/>
            <w:bottom w:val="none" w:sz="0" w:space="0" w:color="auto"/>
            <w:right w:val="none" w:sz="0" w:space="0" w:color="auto"/>
          </w:divBdr>
          <w:divsChild>
            <w:div w:id="1238591996">
              <w:marLeft w:val="0"/>
              <w:marRight w:val="0"/>
              <w:marTop w:val="0"/>
              <w:marBottom w:val="0"/>
              <w:divBdr>
                <w:top w:val="none" w:sz="0" w:space="0" w:color="auto"/>
                <w:left w:val="none" w:sz="0" w:space="0" w:color="auto"/>
                <w:bottom w:val="none" w:sz="0" w:space="0" w:color="auto"/>
                <w:right w:val="none" w:sz="0" w:space="0" w:color="auto"/>
              </w:divBdr>
              <w:divsChild>
                <w:div w:id="1134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58351">
      <w:bodyDiv w:val="1"/>
      <w:marLeft w:val="0"/>
      <w:marRight w:val="0"/>
      <w:marTop w:val="0"/>
      <w:marBottom w:val="0"/>
      <w:divBdr>
        <w:top w:val="none" w:sz="0" w:space="0" w:color="auto"/>
        <w:left w:val="none" w:sz="0" w:space="0" w:color="auto"/>
        <w:bottom w:val="none" w:sz="0" w:space="0" w:color="auto"/>
        <w:right w:val="none" w:sz="0" w:space="0" w:color="auto"/>
      </w:divBdr>
      <w:divsChild>
        <w:div w:id="1968197873">
          <w:marLeft w:val="0"/>
          <w:marRight w:val="0"/>
          <w:marTop w:val="0"/>
          <w:marBottom w:val="0"/>
          <w:divBdr>
            <w:top w:val="none" w:sz="0" w:space="0" w:color="auto"/>
            <w:left w:val="none" w:sz="0" w:space="0" w:color="auto"/>
            <w:bottom w:val="none" w:sz="0" w:space="0" w:color="auto"/>
            <w:right w:val="none" w:sz="0" w:space="0" w:color="auto"/>
          </w:divBdr>
          <w:divsChild>
            <w:div w:id="1254126827">
              <w:marLeft w:val="0"/>
              <w:marRight w:val="0"/>
              <w:marTop w:val="0"/>
              <w:marBottom w:val="0"/>
              <w:divBdr>
                <w:top w:val="none" w:sz="0" w:space="0" w:color="auto"/>
                <w:left w:val="none" w:sz="0" w:space="0" w:color="auto"/>
                <w:bottom w:val="none" w:sz="0" w:space="0" w:color="auto"/>
                <w:right w:val="none" w:sz="0" w:space="0" w:color="auto"/>
              </w:divBdr>
              <w:divsChild>
                <w:div w:id="8418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16678">
      <w:bodyDiv w:val="1"/>
      <w:marLeft w:val="0"/>
      <w:marRight w:val="0"/>
      <w:marTop w:val="0"/>
      <w:marBottom w:val="0"/>
      <w:divBdr>
        <w:top w:val="none" w:sz="0" w:space="0" w:color="auto"/>
        <w:left w:val="none" w:sz="0" w:space="0" w:color="auto"/>
        <w:bottom w:val="none" w:sz="0" w:space="0" w:color="auto"/>
        <w:right w:val="none" w:sz="0" w:space="0" w:color="auto"/>
      </w:divBdr>
    </w:div>
    <w:div w:id="1510490149">
      <w:bodyDiv w:val="1"/>
      <w:marLeft w:val="0"/>
      <w:marRight w:val="0"/>
      <w:marTop w:val="0"/>
      <w:marBottom w:val="0"/>
      <w:divBdr>
        <w:top w:val="none" w:sz="0" w:space="0" w:color="auto"/>
        <w:left w:val="none" w:sz="0" w:space="0" w:color="auto"/>
        <w:bottom w:val="none" w:sz="0" w:space="0" w:color="auto"/>
        <w:right w:val="none" w:sz="0" w:space="0" w:color="auto"/>
      </w:divBdr>
    </w:div>
    <w:div w:id="1517960827">
      <w:bodyDiv w:val="1"/>
      <w:marLeft w:val="0"/>
      <w:marRight w:val="0"/>
      <w:marTop w:val="0"/>
      <w:marBottom w:val="0"/>
      <w:divBdr>
        <w:top w:val="none" w:sz="0" w:space="0" w:color="auto"/>
        <w:left w:val="none" w:sz="0" w:space="0" w:color="auto"/>
        <w:bottom w:val="none" w:sz="0" w:space="0" w:color="auto"/>
        <w:right w:val="none" w:sz="0" w:space="0" w:color="auto"/>
      </w:divBdr>
      <w:divsChild>
        <w:div w:id="190610226">
          <w:marLeft w:val="0"/>
          <w:marRight w:val="0"/>
          <w:marTop w:val="0"/>
          <w:marBottom w:val="0"/>
          <w:divBdr>
            <w:top w:val="none" w:sz="0" w:space="0" w:color="auto"/>
            <w:left w:val="none" w:sz="0" w:space="0" w:color="auto"/>
            <w:bottom w:val="none" w:sz="0" w:space="0" w:color="auto"/>
            <w:right w:val="none" w:sz="0" w:space="0" w:color="auto"/>
          </w:divBdr>
          <w:divsChild>
            <w:div w:id="1670711941">
              <w:marLeft w:val="0"/>
              <w:marRight w:val="0"/>
              <w:marTop w:val="0"/>
              <w:marBottom w:val="0"/>
              <w:divBdr>
                <w:top w:val="none" w:sz="0" w:space="0" w:color="auto"/>
                <w:left w:val="none" w:sz="0" w:space="0" w:color="auto"/>
                <w:bottom w:val="none" w:sz="0" w:space="0" w:color="auto"/>
                <w:right w:val="none" w:sz="0" w:space="0" w:color="auto"/>
              </w:divBdr>
              <w:divsChild>
                <w:div w:id="16495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637193">
      <w:bodyDiv w:val="1"/>
      <w:marLeft w:val="0"/>
      <w:marRight w:val="0"/>
      <w:marTop w:val="0"/>
      <w:marBottom w:val="0"/>
      <w:divBdr>
        <w:top w:val="none" w:sz="0" w:space="0" w:color="auto"/>
        <w:left w:val="none" w:sz="0" w:space="0" w:color="auto"/>
        <w:bottom w:val="none" w:sz="0" w:space="0" w:color="auto"/>
        <w:right w:val="none" w:sz="0" w:space="0" w:color="auto"/>
      </w:divBdr>
    </w:div>
    <w:div w:id="1541434120">
      <w:bodyDiv w:val="1"/>
      <w:marLeft w:val="0"/>
      <w:marRight w:val="0"/>
      <w:marTop w:val="0"/>
      <w:marBottom w:val="0"/>
      <w:divBdr>
        <w:top w:val="none" w:sz="0" w:space="0" w:color="auto"/>
        <w:left w:val="none" w:sz="0" w:space="0" w:color="auto"/>
        <w:bottom w:val="none" w:sz="0" w:space="0" w:color="auto"/>
        <w:right w:val="none" w:sz="0" w:space="0" w:color="auto"/>
      </w:divBdr>
    </w:div>
    <w:div w:id="1551458006">
      <w:bodyDiv w:val="1"/>
      <w:marLeft w:val="0"/>
      <w:marRight w:val="0"/>
      <w:marTop w:val="0"/>
      <w:marBottom w:val="0"/>
      <w:divBdr>
        <w:top w:val="none" w:sz="0" w:space="0" w:color="auto"/>
        <w:left w:val="none" w:sz="0" w:space="0" w:color="auto"/>
        <w:bottom w:val="none" w:sz="0" w:space="0" w:color="auto"/>
        <w:right w:val="none" w:sz="0" w:space="0" w:color="auto"/>
      </w:divBdr>
    </w:div>
    <w:div w:id="1569340215">
      <w:bodyDiv w:val="1"/>
      <w:marLeft w:val="0"/>
      <w:marRight w:val="0"/>
      <w:marTop w:val="0"/>
      <w:marBottom w:val="0"/>
      <w:divBdr>
        <w:top w:val="none" w:sz="0" w:space="0" w:color="auto"/>
        <w:left w:val="none" w:sz="0" w:space="0" w:color="auto"/>
        <w:bottom w:val="none" w:sz="0" w:space="0" w:color="auto"/>
        <w:right w:val="none" w:sz="0" w:space="0" w:color="auto"/>
      </w:divBdr>
    </w:div>
    <w:div w:id="1583833895">
      <w:bodyDiv w:val="1"/>
      <w:marLeft w:val="0"/>
      <w:marRight w:val="0"/>
      <w:marTop w:val="0"/>
      <w:marBottom w:val="0"/>
      <w:divBdr>
        <w:top w:val="none" w:sz="0" w:space="0" w:color="auto"/>
        <w:left w:val="none" w:sz="0" w:space="0" w:color="auto"/>
        <w:bottom w:val="none" w:sz="0" w:space="0" w:color="auto"/>
        <w:right w:val="none" w:sz="0" w:space="0" w:color="auto"/>
      </w:divBdr>
    </w:div>
    <w:div w:id="1608004336">
      <w:bodyDiv w:val="1"/>
      <w:marLeft w:val="0"/>
      <w:marRight w:val="0"/>
      <w:marTop w:val="0"/>
      <w:marBottom w:val="0"/>
      <w:divBdr>
        <w:top w:val="none" w:sz="0" w:space="0" w:color="auto"/>
        <w:left w:val="none" w:sz="0" w:space="0" w:color="auto"/>
        <w:bottom w:val="none" w:sz="0" w:space="0" w:color="auto"/>
        <w:right w:val="none" w:sz="0" w:space="0" w:color="auto"/>
      </w:divBdr>
    </w:div>
    <w:div w:id="1614943240">
      <w:bodyDiv w:val="1"/>
      <w:marLeft w:val="0"/>
      <w:marRight w:val="0"/>
      <w:marTop w:val="0"/>
      <w:marBottom w:val="0"/>
      <w:divBdr>
        <w:top w:val="none" w:sz="0" w:space="0" w:color="auto"/>
        <w:left w:val="none" w:sz="0" w:space="0" w:color="auto"/>
        <w:bottom w:val="none" w:sz="0" w:space="0" w:color="auto"/>
        <w:right w:val="none" w:sz="0" w:space="0" w:color="auto"/>
      </w:divBdr>
    </w:div>
    <w:div w:id="1634214403">
      <w:bodyDiv w:val="1"/>
      <w:marLeft w:val="0"/>
      <w:marRight w:val="0"/>
      <w:marTop w:val="0"/>
      <w:marBottom w:val="0"/>
      <w:divBdr>
        <w:top w:val="none" w:sz="0" w:space="0" w:color="auto"/>
        <w:left w:val="none" w:sz="0" w:space="0" w:color="auto"/>
        <w:bottom w:val="none" w:sz="0" w:space="0" w:color="auto"/>
        <w:right w:val="none" w:sz="0" w:space="0" w:color="auto"/>
      </w:divBdr>
    </w:div>
    <w:div w:id="1649894815">
      <w:bodyDiv w:val="1"/>
      <w:marLeft w:val="0"/>
      <w:marRight w:val="0"/>
      <w:marTop w:val="0"/>
      <w:marBottom w:val="0"/>
      <w:divBdr>
        <w:top w:val="none" w:sz="0" w:space="0" w:color="auto"/>
        <w:left w:val="none" w:sz="0" w:space="0" w:color="auto"/>
        <w:bottom w:val="none" w:sz="0" w:space="0" w:color="auto"/>
        <w:right w:val="none" w:sz="0" w:space="0" w:color="auto"/>
      </w:divBdr>
    </w:div>
    <w:div w:id="1652638027">
      <w:bodyDiv w:val="1"/>
      <w:marLeft w:val="0"/>
      <w:marRight w:val="0"/>
      <w:marTop w:val="0"/>
      <w:marBottom w:val="0"/>
      <w:divBdr>
        <w:top w:val="none" w:sz="0" w:space="0" w:color="auto"/>
        <w:left w:val="none" w:sz="0" w:space="0" w:color="auto"/>
        <w:bottom w:val="none" w:sz="0" w:space="0" w:color="auto"/>
        <w:right w:val="none" w:sz="0" w:space="0" w:color="auto"/>
      </w:divBdr>
    </w:div>
    <w:div w:id="1657876214">
      <w:bodyDiv w:val="1"/>
      <w:marLeft w:val="0"/>
      <w:marRight w:val="0"/>
      <w:marTop w:val="0"/>
      <w:marBottom w:val="0"/>
      <w:divBdr>
        <w:top w:val="none" w:sz="0" w:space="0" w:color="auto"/>
        <w:left w:val="none" w:sz="0" w:space="0" w:color="auto"/>
        <w:bottom w:val="none" w:sz="0" w:space="0" w:color="auto"/>
        <w:right w:val="none" w:sz="0" w:space="0" w:color="auto"/>
      </w:divBdr>
    </w:div>
    <w:div w:id="1674457855">
      <w:bodyDiv w:val="1"/>
      <w:marLeft w:val="0"/>
      <w:marRight w:val="0"/>
      <w:marTop w:val="0"/>
      <w:marBottom w:val="0"/>
      <w:divBdr>
        <w:top w:val="none" w:sz="0" w:space="0" w:color="auto"/>
        <w:left w:val="none" w:sz="0" w:space="0" w:color="auto"/>
        <w:bottom w:val="none" w:sz="0" w:space="0" w:color="auto"/>
        <w:right w:val="none" w:sz="0" w:space="0" w:color="auto"/>
      </w:divBdr>
    </w:div>
    <w:div w:id="1706825710">
      <w:bodyDiv w:val="1"/>
      <w:marLeft w:val="0"/>
      <w:marRight w:val="0"/>
      <w:marTop w:val="0"/>
      <w:marBottom w:val="0"/>
      <w:divBdr>
        <w:top w:val="none" w:sz="0" w:space="0" w:color="auto"/>
        <w:left w:val="none" w:sz="0" w:space="0" w:color="auto"/>
        <w:bottom w:val="none" w:sz="0" w:space="0" w:color="auto"/>
        <w:right w:val="none" w:sz="0" w:space="0" w:color="auto"/>
      </w:divBdr>
    </w:div>
    <w:div w:id="1710646173">
      <w:bodyDiv w:val="1"/>
      <w:marLeft w:val="0"/>
      <w:marRight w:val="0"/>
      <w:marTop w:val="0"/>
      <w:marBottom w:val="0"/>
      <w:divBdr>
        <w:top w:val="none" w:sz="0" w:space="0" w:color="auto"/>
        <w:left w:val="none" w:sz="0" w:space="0" w:color="auto"/>
        <w:bottom w:val="none" w:sz="0" w:space="0" w:color="auto"/>
        <w:right w:val="none" w:sz="0" w:space="0" w:color="auto"/>
      </w:divBdr>
    </w:div>
    <w:div w:id="1715957696">
      <w:bodyDiv w:val="1"/>
      <w:marLeft w:val="0"/>
      <w:marRight w:val="0"/>
      <w:marTop w:val="0"/>
      <w:marBottom w:val="0"/>
      <w:divBdr>
        <w:top w:val="none" w:sz="0" w:space="0" w:color="auto"/>
        <w:left w:val="none" w:sz="0" w:space="0" w:color="auto"/>
        <w:bottom w:val="none" w:sz="0" w:space="0" w:color="auto"/>
        <w:right w:val="none" w:sz="0" w:space="0" w:color="auto"/>
      </w:divBdr>
      <w:divsChild>
        <w:div w:id="1175413117">
          <w:marLeft w:val="0"/>
          <w:marRight w:val="0"/>
          <w:marTop w:val="0"/>
          <w:marBottom w:val="0"/>
          <w:divBdr>
            <w:top w:val="none" w:sz="0" w:space="0" w:color="auto"/>
            <w:left w:val="none" w:sz="0" w:space="0" w:color="auto"/>
            <w:bottom w:val="none" w:sz="0" w:space="0" w:color="auto"/>
            <w:right w:val="none" w:sz="0" w:space="0" w:color="auto"/>
          </w:divBdr>
        </w:div>
        <w:div w:id="604767976">
          <w:marLeft w:val="0"/>
          <w:marRight w:val="0"/>
          <w:marTop w:val="0"/>
          <w:marBottom w:val="0"/>
          <w:divBdr>
            <w:top w:val="none" w:sz="0" w:space="0" w:color="auto"/>
            <w:left w:val="none" w:sz="0" w:space="0" w:color="auto"/>
            <w:bottom w:val="none" w:sz="0" w:space="0" w:color="auto"/>
            <w:right w:val="none" w:sz="0" w:space="0" w:color="auto"/>
          </w:divBdr>
        </w:div>
        <w:div w:id="1901018580">
          <w:marLeft w:val="0"/>
          <w:marRight w:val="0"/>
          <w:marTop w:val="0"/>
          <w:marBottom w:val="0"/>
          <w:divBdr>
            <w:top w:val="none" w:sz="0" w:space="0" w:color="auto"/>
            <w:left w:val="none" w:sz="0" w:space="0" w:color="auto"/>
            <w:bottom w:val="none" w:sz="0" w:space="0" w:color="auto"/>
            <w:right w:val="none" w:sz="0" w:space="0" w:color="auto"/>
          </w:divBdr>
        </w:div>
        <w:div w:id="2019842611">
          <w:marLeft w:val="0"/>
          <w:marRight w:val="0"/>
          <w:marTop w:val="0"/>
          <w:marBottom w:val="0"/>
          <w:divBdr>
            <w:top w:val="none" w:sz="0" w:space="0" w:color="auto"/>
            <w:left w:val="none" w:sz="0" w:space="0" w:color="auto"/>
            <w:bottom w:val="none" w:sz="0" w:space="0" w:color="auto"/>
            <w:right w:val="none" w:sz="0" w:space="0" w:color="auto"/>
          </w:divBdr>
        </w:div>
        <w:div w:id="1879967856">
          <w:marLeft w:val="0"/>
          <w:marRight w:val="0"/>
          <w:marTop w:val="0"/>
          <w:marBottom w:val="0"/>
          <w:divBdr>
            <w:top w:val="none" w:sz="0" w:space="0" w:color="auto"/>
            <w:left w:val="none" w:sz="0" w:space="0" w:color="auto"/>
            <w:bottom w:val="none" w:sz="0" w:space="0" w:color="auto"/>
            <w:right w:val="none" w:sz="0" w:space="0" w:color="auto"/>
          </w:divBdr>
        </w:div>
        <w:div w:id="1024745234">
          <w:marLeft w:val="0"/>
          <w:marRight w:val="0"/>
          <w:marTop w:val="0"/>
          <w:marBottom w:val="0"/>
          <w:divBdr>
            <w:top w:val="none" w:sz="0" w:space="0" w:color="auto"/>
            <w:left w:val="none" w:sz="0" w:space="0" w:color="auto"/>
            <w:bottom w:val="none" w:sz="0" w:space="0" w:color="auto"/>
            <w:right w:val="none" w:sz="0" w:space="0" w:color="auto"/>
          </w:divBdr>
        </w:div>
        <w:div w:id="1367871429">
          <w:marLeft w:val="0"/>
          <w:marRight w:val="0"/>
          <w:marTop w:val="0"/>
          <w:marBottom w:val="0"/>
          <w:divBdr>
            <w:top w:val="none" w:sz="0" w:space="0" w:color="auto"/>
            <w:left w:val="none" w:sz="0" w:space="0" w:color="auto"/>
            <w:bottom w:val="none" w:sz="0" w:space="0" w:color="auto"/>
            <w:right w:val="none" w:sz="0" w:space="0" w:color="auto"/>
          </w:divBdr>
        </w:div>
        <w:div w:id="119501109">
          <w:marLeft w:val="0"/>
          <w:marRight w:val="0"/>
          <w:marTop w:val="0"/>
          <w:marBottom w:val="0"/>
          <w:divBdr>
            <w:top w:val="none" w:sz="0" w:space="0" w:color="auto"/>
            <w:left w:val="none" w:sz="0" w:space="0" w:color="auto"/>
            <w:bottom w:val="none" w:sz="0" w:space="0" w:color="auto"/>
            <w:right w:val="none" w:sz="0" w:space="0" w:color="auto"/>
          </w:divBdr>
        </w:div>
      </w:divsChild>
    </w:div>
    <w:div w:id="1734355167">
      <w:bodyDiv w:val="1"/>
      <w:marLeft w:val="0"/>
      <w:marRight w:val="0"/>
      <w:marTop w:val="0"/>
      <w:marBottom w:val="0"/>
      <w:divBdr>
        <w:top w:val="none" w:sz="0" w:space="0" w:color="auto"/>
        <w:left w:val="none" w:sz="0" w:space="0" w:color="auto"/>
        <w:bottom w:val="none" w:sz="0" w:space="0" w:color="auto"/>
        <w:right w:val="none" w:sz="0" w:space="0" w:color="auto"/>
      </w:divBdr>
    </w:div>
    <w:div w:id="1785422913">
      <w:bodyDiv w:val="1"/>
      <w:marLeft w:val="0"/>
      <w:marRight w:val="0"/>
      <w:marTop w:val="0"/>
      <w:marBottom w:val="0"/>
      <w:divBdr>
        <w:top w:val="none" w:sz="0" w:space="0" w:color="auto"/>
        <w:left w:val="none" w:sz="0" w:space="0" w:color="auto"/>
        <w:bottom w:val="none" w:sz="0" w:space="0" w:color="auto"/>
        <w:right w:val="none" w:sz="0" w:space="0" w:color="auto"/>
      </w:divBdr>
    </w:div>
    <w:div w:id="1789078255">
      <w:bodyDiv w:val="1"/>
      <w:marLeft w:val="0"/>
      <w:marRight w:val="0"/>
      <w:marTop w:val="0"/>
      <w:marBottom w:val="0"/>
      <w:divBdr>
        <w:top w:val="none" w:sz="0" w:space="0" w:color="auto"/>
        <w:left w:val="none" w:sz="0" w:space="0" w:color="auto"/>
        <w:bottom w:val="none" w:sz="0" w:space="0" w:color="auto"/>
        <w:right w:val="none" w:sz="0" w:space="0" w:color="auto"/>
      </w:divBdr>
    </w:div>
    <w:div w:id="1838688183">
      <w:bodyDiv w:val="1"/>
      <w:marLeft w:val="0"/>
      <w:marRight w:val="0"/>
      <w:marTop w:val="0"/>
      <w:marBottom w:val="0"/>
      <w:divBdr>
        <w:top w:val="none" w:sz="0" w:space="0" w:color="auto"/>
        <w:left w:val="none" w:sz="0" w:space="0" w:color="auto"/>
        <w:bottom w:val="none" w:sz="0" w:space="0" w:color="auto"/>
        <w:right w:val="none" w:sz="0" w:space="0" w:color="auto"/>
      </w:divBdr>
    </w:div>
    <w:div w:id="1860774899">
      <w:bodyDiv w:val="1"/>
      <w:marLeft w:val="0"/>
      <w:marRight w:val="0"/>
      <w:marTop w:val="0"/>
      <w:marBottom w:val="0"/>
      <w:divBdr>
        <w:top w:val="none" w:sz="0" w:space="0" w:color="auto"/>
        <w:left w:val="none" w:sz="0" w:space="0" w:color="auto"/>
        <w:bottom w:val="none" w:sz="0" w:space="0" w:color="auto"/>
        <w:right w:val="none" w:sz="0" w:space="0" w:color="auto"/>
      </w:divBdr>
    </w:div>
    <w:div w:id="1924602035">
      <w:bodyDiv w:val="1"/>
      <w:marLeft w:val="0"/>
      <w:marRight w:val="0"/>
      <w:marTop w:val="0"/>
      <w:marBottom w:val="0"/>
      <w:divBdr>
        <w:top w:val="none" w:sz="0" w:space="0" w:color="auto"/>
        <w:left w:val="none" w:sz="0" w:space="0" w:color="auto"/>
        <w:bottom w:val="none" w:sz="0" w:space="0" w:color="auto"/>
        <w:right w:val="none" w:sz="0" w:space="0" w:color="auto"/>
      </w:divBdr>
    </w:div>
    <w:div w:id="1971010411">
      <w:bodyDiv w:val="1"/>
      <w:marLeft w:val="0"/>
      <w:marRight w:val="0"/>
      <w:marTop w:val="0"/>
      <w:marBottom w:val="0"/>
      <w:divBdr>
        <w:top w:val="none" w:sz="0" w:space="0" w:color="auto"/>
        <w:left w:val="none" w:sz="0" w:space="0" w:color="auto"/>
        <w:bottom w:val="none" w:sz="0" w:space="0" w:color="auto"/>
        <w:right w:val="none" w:sz="0" w:space="0" w:color="auto"/>
      </w:divBdr>
    </w:div>
    <w:div w:id="1998991106">
      <w:bodyDiv w:val="1"/>
      <w:marLeft w:val="0"/>
      <w:marRight w:val="0"/>
      <w:marTop w:val="0"/>
      <w:marBottom w:val="0"/>
      <w:divBdr>
        <w:top w:val="none" w:sz="0" w:space="0" w:color="auto"/>
        <w:left w:val="none" w:sz="0" w:space="0" w:color="auto"/>
        <w:bottom w:val="none" w:sz="0" w:space="0" w:color="auto"/>
        <w:right w:val="none" w:sz="0" w:space="0" w:color="auto"/>
      </w:divBdr>
    </w:div>
    <w:div w:id="2006057030">
      <w:bodyDiv w:val="1"/>
      <w:marLeft w:val="0"/>
      <w:marRight w:val="0"/>
      <w:marTop w:val="0"/>
      <w:marBottom w:val="0"/>
      <w:divBdr>
        <w:top w:val="none" w:sz="0" w:space="0" w:color="auto"/>
        <w:left w:val="none" w:sz="0" w:space="0" w:color="auto"/>
        <w:bottom w:val="none" w:sz="0" w:space="0" w:color="auto"/>
        <w:right w:val="none" w:sz="0" w:space="0" w:color="auto"/>
      </w:divBdr>
    </w:div>
    <w:div w:id="2017463772">
      <w:bodyDiv w:val="1"/>
      <w:marLeft w:val="0"/>
      <w:marRight w:val="0"/>
      <w:marTop w:val="0"/>
      <w:marBottom w:val="0"/>
      <w:divBdr>
        <w:top w:val="none" w:sz="0" w:space="0" w:color="auto"/>
        <w:left w:val="none" w:sz="0" w:space="0" w:color="auto"/>
        <w:bottom w:val="none" w:sz="0" w:space="0" w:color="auto"/>
        <w:right w:val="none" w:sz="0" w:space="0" w:color="auto"/>
      </w:divBdr>
    </w:div>
    <w:div w:id="2022925599">
      <w:bodyDiv w:val="1"/>
      <w:marLeft w:val="0"/>
      <w:marRight w:val="0"/>
      <w:marTop w:val="0"/>
      <w:marBottom w:val="0"/>
      <w:divBdr>
        <w:top w:val="none" w:sz="0" w:space="0" w:color="auto"/>
        <w:left w:val="none" w:sz="0" w:space="0" w:color="auto"/>
        <w:bottom w:val="none" w:sz="0" w:space="0" w:color="auto"/>
        <w:right w:val="none" w:sz="0" w:space="0" w:color="auto"/>
      </w:divBdr>
    </w:div>
    <w:div w:id="2040012887">
      <w:bodyDiv w:val="1"/>
      <w:marLeft w:val="0"/>
      <w:marRight w:val="0"/>
      <w:marTop w:val="0"/>
      <w:marBottom w:val="0"/>
      <w:divBdr>
        <w:top w:val="none" w:sz="0" w:space="0" w:color="auto"/>
        <w:left w:val="none" w:sz="0" w:space="0" w:color="auto"/>
        <w:bottom w:val="none" w:sz="0" w:space="0" w:color="auto"/>
        <w:right w:val="none" w:sz="0" w:space="0" w:color="auto"/>
      </w:divBdr>
    </w:div>
    <w:div w:id="2062318244">
      <w:bodyDiv w:val="1"/>
      <w:marLeft w:val="0"/>
      <w:marRight w:val="0"/>
      <w:marTop w:val="0"/>
      <w:marBottom w:val="0"/>
      <w:divBdr>
        <w:top w:val="none" w:sz="0" w:space="0" w:color="auto"/>
        <w:left w:val="none" w:sz="0" w:space="0" w:color="auto"/>
        <w:bottom w:val="none" w:sz="0" w:space="0" w:color="auto"/>
        <w:right w:val="none" w:sz="0" w:space="0" w:color="auto"/>
      </w:divBdr>
    </w:div>
    <w:div w:id="2076198839">
      <w:bodyDiv w:val="1"/>
      <w:marLeft w:val="0"/>
      <w:marRight w:val="0"/>
      <w:marTop w:val="0"/>
      <w:marBottom w:val="0"/>
      <w:divBdr>
        <w:top w:val="none" w:sz="0" w:space="0" w:color="auto"/>
        <w:left w:val="none" w:sz="0" w:space="0" w:color="auto"/>
        <w:bottom w:val="none" w:sz="0" w:space="0" w:color="auto"/>
        <w:right w:val="none" w:sz="0" w:space="0" w:color="auto"/>
      </w:divBdr>
    </w:div>
    <w:div w:id="211100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hyperlink" Target="http://www.bnm.gov.my/index.php?ch=li_banking&amp;pg=li_banking_rhb&amp;ac=20&amp;cat=banking&amp;type=CB&amp;lang=en" TargetMode="External"/><Relationship Id="rId39" Type="http://schemas.openxmlformats.org/officeDocument/2006/relationships/header" Target="header1.xml"/><Relationship Id="rId21" Type="http://schemas.openxmlformats.org/officeDocument/2006/relationships/hyperlink" Target="http://www.bnm.gov.my/index.php?ch=li_banking&amp;pg=li_banking_ambank&amp;ac=4&amp;cat=banking&amp;type=CB&amp;lang=en"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bnm.gov.my/index.php?ch=li_banking&amp;pg=li_banking_alliance&amp;ac=120&amp;cat=banking&amp;type=CB&amp;lang=en" TargetMode="External"/><Relationship Id="rId29" Type="http://schemas.openxmlformats.org/officeDocument/2006/relationships/hyperlink" Target="https://academicguides.waldenu.edu/ld.php?content_id=41503706"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www.bnm.gov.my/index.php?ch=li_banking&amp;pg=li_banking_malayan&amp;ac=16&amp;cat=banking&amp;type=CB&amp;lang=en"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bnm.gov.my/index.php?ch=li_banking&amp;pg=li_banking_hongleong&amp;ac=118&amp;cat=banking&amp;type=CB&amp;lang=en" TargetMode="External"/><Relationship Id="rId28" Type="http://schemas.openxmlformats.org/officeDocument/2006/relationships/hyperlink" Target="http://www.bnm.gov.my/index.php?ch=li_banking&amp;pg=li_banking_america&amp;ac=6&amp;cat=banking&amp;type=CB&amp;lang=en" TargetMode="External"/><Relationship Id="rId36" Type="http://schemas.openxmlformats.org/officeDocument/2006/relationships/image" Target="media/image13.jpeg"/><Relationship Id="rId10" Type="http://schemas.openxmlformats.org/officeDocument/2006/relationships/diagramData" Target="diagrams/data1.xml"/><Relationship Id="rId19" Type="http://schemas.openxmlformats.org/officeDocument/2006/relationships/hyperlink" Target="http://www.bnm.gov.my/index.php?ch=li_banking&amp;pg=li_banking_affin&amp;ac=99&amp;cat=banking&amp;type=CB&amp;lang=en"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www.bnm.gov.my/index.php?ch=li_banking&amp;pg=li_banking_cimbbank&amp;ac=10&amp;cat=banking&amp;type=CB&amp;lang=en" TargetMode="External"/><Relationship Id="rId27" Type="http://schemas.openxmlformats.org/officeDocument/2006/relationships/hyperlink" Target="http://www.bnm.gov.my/index.php?ch=li_banking&amp;pg=li_banking_hsbc&amp;ac=15&amp;cat=banking&amp;type=CB&amp;lang=en"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hyperlink" Target="http://www.bnm.gov.my/index.php?ch=li_banking&amp;pg=li_banking_public&amp;ac=19&amp;cat=banking&amp;type=CB&amp;lang=en" TargetMode="External"/><Relationship Id="rId33" Type="http://schemas.openxmlformats.org/officeDocument/2006/relationships/image" Target="media/image10.png"/><Relationship Id="rId38"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20E408-EEEB-E34B-8123-570311AC3E16}" type="doc">
      <dgm:prSet loTypeId="urn:microsoft.com/office/officeart/2008/layout/HalfCircleOrganizationChart" loCatId="" qsTypeId="urn:microsoft.com/office/officeart/2005/8/quickstyle/simple1" qsCatId="simple" csTypeId="urn:microsoft.com/office/officeart/2005/8/colors/colorful1" csCatId="colorful" phldr="1"/>
      <dgm:spPr/>
      <dgm:t>
        <a:bodyPr/>
        <a:lstStyle/>
        <a:p>
          <a:endParaRPr lang="en-GB"/>
        </a:p>
      </dgm:t>
    </dgm:pt>
    <dgm:pt modelId="{0EF819B0-533E-4442-A12D-A33A4A368BBD}">
      <dgm:prSet phldrT="[Text]" custT="1"/>
      <dgm:spPr/>
      <dgm:t>
        <a:bodyPr/>
        <a:lstStyle/>
        <a:p>
          <a:r>
            <a:rPr lang="en-GB" sz="1800" b="1" dirty="0">
              <a:latin typeface="Arial" panose="020B0604020202020204" pitchFamily="34" charset="0"/>
              <a:cs typeface="Arial" panose="020B0604020202020204" pitchFamily="34" charset="0"/>
            </a:rPr>
            <a:t>Bank Liquidity</a:t>
          </a:r>
        </a:p>
      </dgm:t>
    </dgm:pt>
    <dgm:pt modelId="{61B1E1C9-76B7-E14B-9CDC-C80AEDE1EF93}" type="parTrans" cxnId="{4165B3F2-3020-224E-8907-401751E58CF3}">
      <dgm:prSet/>
      <dgm:spPr/>
      <dgm:t>
        <a:bodyPr/>
        <a:lstStyle/>
        <a:p>
          <a:endParaRPr lang="en-GB"/>
        </a:p>
      </dgm:t>
    </dgm:pt>
    <dgm:pt modelId="{0094F03B-C00D-5340-98F7-76DC99966814}" type="sibTrans" cxnId="{4165B3F2-3020-224E-8907-401751E58CF3}">
      <dgm:prSet/>
      <dgm:spPr/>
      <dgm:t>
        <a:bodyPr/>
        <a:lstStyle/>
        <a:p>
          <a:endParaRPr lang="en-GB"/>
        </a:p>
      </dgm:t>
    </dgm:pt>
    <dgm:pt modelId="{F810E77E-7EC1-4F40-9A4E-8CC77228CFD6}" type="asst">
      <dgm:prSet phldrT="[Text]" custT="1"/>
      <dgm:spPr/>
      <dgm:t>
        <a:bodyPr/>
        <a:lstStyle/>
        <a:p>
          <a:r>
            <a:rPr lang="en-GB" sz="1800" b="1" dirty="0">
              <a:latin typeface="Arial" panose="020B0604020202020204" pitchFamily="34" charset="0"/>
              <a:cs typeface="Arial" panose="020B0604020202020204" pitchFamily="34" charset="0"/>
            </a:rPr>
            <a:t>Bank- specific Factors</a:t>
          </a:r>
        </a:p>
      </dgm:t>
    </dgm:pt>
    <dgm:pt modelId="{C13E51F9-7A49-5840-943F-805B14C074EB}" type="parTrans" cxnId="{CA53CF97-4110-FE4C-BC58-E855347CEBCE}">
      <dgm:prSet/>
      <dgm:spPr/>
      <dgm:t>
        <a:bodyPr/>
        <a:lstStyle/>
        <a:p>
          <a:endParaRPr lang="en-GB"/>
        </a:p>
      </dgm:t>
    </dgm:pt>
    <dgm:pt modelId="{FBE8FBD4-5162-424C-BECA-5A3E64EA4BD8}" type="sibTrans" cxnId="{CA53CF97-4110-FE4C-BC58-E855347CEBCE}">
      <dgm:prSet/>
      <dgm:spPr/>
      <dgm:t>
        <a:bodyPr/>
        <a:lstStyle/>
        <a:p>
          <a:endParaRPr lang="en-GB"/>
        </a:p>
      </dgm:t>
    </dgm:pt>
    <dgm:pt modelId="{5957C284-FF63-9343-A53A-C830B74589CF}">
      <dgm:prSet phldrT="[Text]" custT="1"/>
      <dgm:spPr/>
      <dgm:t>
        <a:bodyPr/>
        <a:lstStyle/>
        <a:p>
          <a:r>
            <a:rPr lang="en-GB" sz="1800" b="1" dirty="0">
              <a:latin typeface="Arial" panose="020B0604020202020204" pitchFamily="34" charset="0"/>
              <a:cs typeface="Arial" panose="020B0604020202020204" pitchFamily="34" charset="0"/>
            </a:rPr>
            <a:t>Profitability</a:t>
          </a:r>
        </a:p>
      </dgm:t>
    </dgm:pt>
    <dgm:pt modelId="{AC4F8F98-08D2-5D40-A3D0-B5B77359A0C1}" type="parTrans" cxnId="{B1ED3AA7-4538-6F4C-9E31-1E6BBAA1CC34}">
      <dgm:prSet/>
      <dgm:spPr/>
      <dgm:t>
        <a:bodyPr/>
        <a:lstStyle/>
        <a:p>
          <a:endParaRPr lang="en-GB"/>
        </a:p>
      </dgm:t>
    </dgm:pt>
    <dgm:pt modelId="{8706F79B-4E9E-484B-BFBD-139CDCB5BDC4}" type="sibTrans" cxnId="{B1ED3AA7-4538-6F4C-9E31-1E6BBAA1CC34}">
      <dgm:prSet/>
      <dgm:spPr/>
      <dgm:t>
        <a:bodyPr/>
        <a:lstStyle/>
        <a:p>
          <a:endParaRPr lang="en-GB"/>
        </a:p>
      </dgm:t>
    </dgm:pt>
    <dgm:pt modelId="{99486C0B-EC43-BB49-9C29-32D14F1AEA4A}">
      <dgm:prSet phldrT="[Text]" custT="1"/>
      <dgm:spPr/>
      <dgm:t>
        <a:bodyPr/>
        <a:lstStyle/>
        <a:p>
          <a:r>
            <a:rPr lang="en-GB" sz="1800" b="1" dirty="0">
              <a:latin typeface="Arial" panose="020B0604020202020204" pitchFamily="34" charset="0"/>
              <a:cs typeface="Arial" panose="020B0604020202020204" pitchFamily="34" charset="0"/>
            </a:rPr>
            <a:t>Bank Size</a:t>
          </a:r>
        </a:p>
      </dgm:t>
    </dgm:pt>
    <dgm:pt modelId="{BBBD92AE-A5BB-984C-B0C5-CBD8DADC45F8}" type="parTrans" cxnId="{621CF6A2-D754-B14E-AA5D-DA2CE79D91B2}">
      <dgm:prSet/>
      <dgm:spPr/>
      <dgm:t>
        <a:bodyPr/>
        <a:lstStyle/>
        <a:p>
          <a:endParaRPr lang="en-GB"/>
        </a:p>
      </dgm:t>
    </dgm:pt>
    <dgm:pt modelId="{BD6BB1E4-FAF1-C34C-A5FE-23F821AB051D}" type="sibTrans" cxnId="{621CF6A2-D754-B14E-AA5D-DA2CE79D91B2}">
      <dgm:prSet/>
      <dgm:spPr/>
      <dgm:t>
        <a:bodyPr/>
        <a:lstStyle/>
        <a:p>
          <a:endParaRPr lang="en-GB"/>
        </a:p>
      </dgm:t>
    </dgm:pt>
    <dgm:pt modelId="{6AEC21DD-617B-E040-8007-80662B9DE7FD}">
      <dgm:prSet phldrT="[Text]" custT="1"/>
      <dgm:spPr/>
      <dgm:t>
        <a:bodyPr/>
        <a:lstStyle/>
        <a:p>
          <a:r>
            <a:rPr lang="en-GB" sz="1800" b="1" dirty="0">
              <a:latin typeface="Arial" panose="020B0604020202020204" pitchFamily="34" charset="0"/>
              <a:cs typeface="Arial" panose="020B0604020202020204" pitchFamily="34" charset="0"/>
            </a:rPr>
            <a:t>Deposits</a:t>
          </a:r>
        </a:p>
      </dgm:t>
    </dgm:pt>
    <dgm:pt modelId="{61867DE1-F057-1642-83F2-73D60C59E3B4}" type="parTrans" cxnId="{3569AB31-2E80-2241-8204-B34EB9CAA861}">
      <dgm:prSet/>
      <dgm:spPr/>
      <dgm:t>
        <a:bodyPr/>
        <a:lstStyle/>
        <a:p>
          <a:endParaRPr lang="en-GB"/>
        </a:p>
      </dgm:t>
    </dgm:pt>
    <dgm:pt modelId="{45F0A042-D5E4-374F-B429-1467A059A5FC}" type="sibTrans" cxnId="{3569AB31-2E80-2241-8204-B34EB9CAA861}">
      <dgm:prSet/>
      <dgm:spPr/>
      <dgm:t>
        <a:bodyPr/>
        <a:lstStyle/>
        <a:p>
          <a:endParaRPr lang="en-GB"/>
        </a:p>
      </dgm:t>
    </dgm:pt>
    <dgm:pt modelId="{2338A9A5-D997-4C45-B91E-1490F0BC0734}" type="pres">
      <dgm:prSet presAssocID="{6820E408-EEEB-E34B-8123-570311AC3E16}" presName="Name0" presStyleCnt="0">
        <dgm:presLayoutVars>
          <dgm:orgChart val="1"/>
          <dgm:chPref val="1"/>
          <dgm:dir/>
          <dgm:animOne val="branch"/>
          <dgm:animLvl val="lvl"/>
          <dgm:resizeHandles/>
        </dgm:presLayoutVars>
      </dgm:prSet>
      <dgm:spPr/>
    </dgm:pt>
    <dgm:pt modelId="{6627C492-A420-C14F-A972-B45C45497B77}" type="pres">
      <dgm:prSet presAssocID="{0EF819B0-533E-4442-A12D-A33A4A368BBD}" presName="hierRoot1" presStyleCnt="0">
        <dgm:presLayoutVars>
          <dgm:hierBranch val="init"/>
        </dgm:presLayoutVars>
      </dgm:prSet>
      <dgm:spPr/>
    </dgm:pt>
    <dgm:pt modelId="{EDB5F452-42E0-D441-A9E8-98D5160A2DD9}" type="pres">
      <dgm:prSet presAssocID="{0EF819B0-533E-4442-A12D-A33A4A368BBD}" presName="rootComposite1" presStyleCnt="0"/>
      <dgm:spPr/>
    </dgm:pt>
    <dgm:pt modelId="{EF31DBF4-6212-814B-95A3-71FD1803D96E}" type="pres">
      <dgm:prSet presAssocID="{0EF819B0-533E-4442-A12D-A33A4A368BBD}" presName="rootText1" presStyleLbl="alignAcc1" presStyleIdx="0" presStyleCnt="0">
        <dgm:presLayoutVars>
          <dgm:chPref val="3"/>
        </dgm:presLayoutVars>
      </dgm:prSet>
      <dgm:spPr/>
    </dgm:pt>
    <dgm:pt modelId="{8C0A110E-47E1-2648-8246-5CDAD9862035}" type="pres">
      <dgm:prSet presAssocID="{0EF819B0-533E-4442-A12D-A33A4A368BBD}" presName="topArc1" presStyleLbl="parChTrans1D1" presStyleIdx="0" presStyleCnt="10"/>
      <dgm:spPr/>
    </dgm:pt>
    <dgm:pt modelId="{ACA1180C-18B7-F249-BC0A-E45187FB1BC9}" type="pres">
      <dgm:prSet presAssocID="{0EF819B0-533E-4442-A12D-A33A4A368BBD}" presName="bottomArc1" presStyleLbl="parChTrans1D1" presStyleIdx="1" presStyleCnt="10"/>
      <dgm:spPr/>
    </dgm:pt>
    <dgm:pt modelId="{B0C11984-D914-1242-8BDE-408C9BEAEFF3}" type="pres">
      <dgm:prSet presAssocID="{0EF819B0-533E-4442-A12D-A33A4A368BBD}" presName="topConnNode1" presStyleLbl="node1" presStyleIdx="0" presStyleCnt="0"/>
      <dgm:spPr/>
    </dgm:pt>
    <dgm:pt modelId="{3B7AAB0E-F224-214B-8A74-628D0D965A5B}" type="pres">
      <dgm:prSet presAssocID="{0EF819B0-533E-4442-A12D-A33A4A368BBD}" presName="hierChild2" presStyleCnt="0"/>
      <dgm:spPr/>
    </dgm:pt>
    <dgm:pt modelId="{7D63FD13-C642-B741-8604-5969751A3B48}" type="pres">
      <dgm:prSet presAssocID="{AC4F8F98-08D2-5D40-A3D0-B5B77359A0C1}" presName="Name28" presStyleLbl="parChTrans1D2" presStyleIdx="0" presStyleCnt="4"/>
      <dgm:spPr/>
    </dgm:pt>
    <dgm:pt modelId="{776EB58A-B710-5941-9113-E1005FBF8839}" type="pres">
      <dgm:prSet presAssocID="{5957C284-FF63-9343-A53A-C830B74589CF}" presName="hierRoot2" presStyleCnt="0">
        <dgm:presLayoutVars>
          <dgm:hierBranch val="init"/>
        </dgm:presLayoutVars>
      </dgm:prSet>
      <dgm:spPr/>
    </dgm:pt>
    <dgm:pt modelId="{47916E24-8553-E84C-ACD3-199D23690E0B}" type="pres">
      <dgm:prSet presAssocID="{5957C284-FF63-9343-A53A-C830B74589CF}" presName="rootComposite2" presStyleCnt="0"/>
      <dgm:spPr/>
    </dgm:pt>
    <dgm:pt modelId="{4509A432-3A24-6D44-B1CB-6063A2C6288B}" type="pres">
      <dgm:prSet presAssocID="{5957C284-FF63-9343-A53A-C830B74589CF}" presName="rootText2" presStyleLbl="alignAcc1" presStyleIdx="0" presStyleCnt="0">
        <dgm:presLayoutVars>
          <dgm:chPref val="3"/>
        </dgm:presLayoutVars>
      </dgm:prSet>
      <dgm:spPr/>
    </dgm:pt>
    <dgm:pt modelId="{6E033F1C-0406-3241-AF65-3D74842D38C5}" type="pres">
      <dgm:prSet presAssocID="{5957C284-FF63-9343-A53A-C830B74589CF}" presName="topArc2" presStyleLbl="parChTrans1D1" presStyleIdx="2" presStyleCnt="10"/>
      <dgm:spPr/>
    </dgm:pt>
    <dgm:pt modelId="{DB8B0389-A02C-FB46-AFD0-01841BCAD467}" type="pres">
      <dgm:prSet presAssocID="{5957C284-FF63-9343-A53A-C830B74589CF}" presName="bottomArc2" presStyleLbl="parChTrans1D1" presStyleIdx="3" presStyleCnt="10"/>
      <dgm:spPr/>
    </dgm:pt>
    <dgm:pt modelId="{3696D3D3-9E43-B54D-8177-55BEBD86EC4C}" type="pres">
      <dgm:prSet presAssocID="{5957C284-FF63-9343-A53A-C830B74589CF}" presName="topConnNode2" presStyleLbl="node2" presStyleIdx="0" presStyleCnt="0"/>
      <dgm:spPr/>
    </dgm:pt>
    <dgm:pt modelId="{7923C93C-F136-F840-8B33-2B7805766DDF}" type="pres">
      <dgm:prSet presAssocID="{5957C284-FF63-9343-A53A-C830B74589CF}" presName="hierChild4" presStyleCnt="0"/>
      <dgm:spPr/>
    </dgm:pt>
    <dgm:pt modelId="{B830CABC-910A-3A45-A9C5-45C59BB6DAFC}" type="pres">
      <dgm:prSet presAssocID="{5957C284-FF63-9343-A53A-C830B74589CF}" presName="hierChild5" presStyleCnt="0"/>
      <dgm:spPr/>
    </dgm:pt>
    <dgm:pt modelId="{13CD5698-2A64-CD4B-9666-FCA5ADCB4BAF}" type="pres">
      <dgm:prSet presAssocID="{BBBD92AE-A5BB-984C-B0C5-CBD8DADC45F8}" presName="Name28" presStyleLbl="parChTrans1D2" presStyleIdx="1" presStyleCnt="4"/>
      <dgm:spPr/>
    </dgm:pt>
    <dgm:pt modelId="{7E7FD0EE-DCAD-EE46-B706-0E64B2A6B3A7}" type="pres">
      <dgm:prSet presAssocID="{99486C0B-EC43-BB49-9C29-32D14F1AEA4A}" presName="hierRoot2" presStyleCnt="0">
        <dgm:presLayoutVars>
          <dgm:hierBranch val="init"/>
        </dgm:presLayoutVars>
      </dgm:prSet>
      <dgm:spPr/>
    </dgm:pt>
    <dgm:pt modelId="{569C02C3-0403-9944-A45D-DD1794959FF9}" type="pres">
      <dgm:prSet presAssocID="{99486C0B-EC43-BB49-9C29-32D14F1AEA4A}" presName="rootComposite2" presStyleCnt="0"/>
      <dgm:spPr/>
    </dgm:pt>
    <dgm:pt modelId="{3AEBE0BA-0F98-3740-BC6C-834267833883}" type="pres">
      <dgm:prSet presAssocID="{99486C0B-EC43-BB49-9C29-32D14F1AEA4A}" presName="rootText2" presStyleLbl="alignAcc1" presStyleIdx="0" presStyleCnt="0">
        <dgm:presLayoutVars>
          <dgm:chPref val="3"/>
        </dgm:presLayoutVars>
      </dgm:prSet>
      <dgm:spPr/>
    </dgm:pt>
    <dgm:pt modelId="{79E3A652-0F58-EC4C-AE5F-A119EF422C38}" type="pres">
      <dgm:prSet presAssocID="{99486C0B-EC43-BB49-9C29-32D14F1AEA4A}" presName="topArc2" presStyleLbl="parChTrans1D1" presStyleIdx="4" presStyleCnt="10"/>
      <dgm:spPr/>
    </dgm:pt>
    <dgm:pt modelId="{E4BB0F7C-4B87-E74E-9549-10F7DCED0443}" type="pres">
      <dgm:prSet presAssocID="{99486C0B-EC43-BB49-9C29-32D14F1AEA4A}" presName="bottomArc2" presStyleLbl="parChTrans1D1" presStyleIdx="5" presStyleCnt="10"/>
      <dgm:spPr/>
    </dgm:pt>
    <dgm:pt modelId="{1714A15E-B4AE-B643-8928-8D214C267A77}" type="pres">
      <dgm:prSet presAssocID="{99486C0B-EC43-BB49-9C29-32D14F1AEA4A}" presName="topConnNode2" presStyleLbl="node2" presStyleIdx="0" presStyleCnt="0"/>
      <dgm:spPr/>
    </dgm:pt>
    <dgm:pt modelId="{C092DA09-DAB8-7248-A6EB-C90B4C727149}" type="pres">
      <dgm:prSet presAssocID="{99486C0B-EC43-BB49-9C29-32D14F1AEA4A}" presName="hierChild4" presStyleCnt="0"/>
      <dgm:spPr/>
    </dgm:pt>
    <dgm:pt modelId="{D5B1D9D0-00F9-6A40-B4F9-24B51AED9068}" type="pres">
      <dgm:prSet presAssocID="{99486C0B-EC43-BB49-9C29-32D14F1AEA4A}" presName="hierChild5" presStyleCnt="0"/>
      <dgm:spPr/>
    </dgm:pt>
    <dgm:pt modelId="{EC32A2B8-F940-2540-859F-A2BB059AE29A}" type="pres">
      <dgm:prSet presAssocID="{61867DE1-F057-1642-83F2-73D60C59E3B4}" presName="Name28" presStyleLbl="parChTrans1D2" presStyleIdx="2" presStyleCnt="4"/>
      <dgm:spPr/>
    </dgm:pt>
    <dgm:pt modelId="{16BFB33D-EF26-4449-A07C-07E73153D453}" type="pres">
      <dgm:prSet presAssocID="{6AEC21DD-617B-E040-8007-80662B9DE7FD}" presName="hierRoot2" presStyleCnt="0">
        <dgm:presLayoutVars>
          <dgm:hierBranch val="init"/>
        </dgm:presLayoutVars>
      </dgm:prSet>
      <dgm:spPr/>
    </dgm:pt>
    <dgm:pt modelId="{8FE4ECC6-0424-AA4F-BE2E-C67397F89361}" type="pres">
      <dgm:prSet presAssocID="{6AEC21DD-617B-E040-8007-80662B9DE7FD}" presName="rootComposite2" presStyleCnt="0"/>
      <dgm:spPr/>
    </dgm:pt>
    <dgm:pt modelId="{EE45CA52-FEEC-C34B-856B-0E9038823BB5}" type="pres">
      <dgm:prSet presAssocID="{6AEC21DD-617B-E040-8007-80662B9DE7FD}" presName="rootText2" presStyleLbl="alignAcc1" presStyleIdx="0" presStyleCnt="0">
        <dgm:presLayoutVars>
          <dgm:chPref val="3"/>
        </dgm:presLayoutVars>
      </dgm:prSet>
      <dgm:spPr/>
    </dgm:pt>
    <dgm:pt modelId="{FD0F5F34-CE5A-B44E-B366-26534B18889F}" type="pres">
      <dgm:prSet presAssocID="{6AEC21DD-617B-E040-8007-80662B9DE7FD}" presName="topArc2" presStyleLbl="parChTrans1D1" presStyleIdx="6" presStyleCnt="10"/>
      <dgm:spPr/>
    </dgm:pt>
    <dgm:pt modelId="{51FAF097-1463-2E45-8799-4B3EA385879F}" type="pres">
      <dgm:prSet presAssocID="{6AEC21DD-617B-E040-8007-80662B9DE7FD}" presName="bottomArc2" presStyleLbl="parChTrans1D1" presStyleIdx="7" presStyleCnt="10"/>
      <dgm:spPr/>
    </dgm:pt>
    <dgm:pt modelId="{DDCE26B7-1CCE-E648-BE7C-4E0908810D33}" type="pres">
      <dgm:prSet presAssocID="{6AEC21DD-617B-E040-8007-80662B9DE7FD}" presName="topConnNode2" presStyleLbl="node2" presStyleIdx="0" presStyleCnt="0"/>
      <dgm:spPr/>
    </dgm:pt>
    <dgm:pt modelId="{8DFECC5B-7657-CD45-80F4-708EEC6E3FDC}" type="pres">
      <dgm:prSet presAssocID="{6AEC21DD-617B-E040-8007-80662B9DE7FD}" presName="hierChild4" presStyleCnt="0"/>
      <dgm:spPr/>
    </dgm:pt>
    <dgm:pt modelId="{C529564A-C468-3F45-B413-A2FA71E8AD6B}" type="pres">
      <dgm:prSet presAssocID="{6AEC21DD-617B-E040-8007-80662B9DE7FD}" presName="hierChild5" presStyleCnt="0"/>
      <dgm:spPr/>
    </dgm:pt>
    <dgm:pt modelId="{B90F68E9-E23D-5B40-AA13-C12B8C3EF81C}" type="pres">
      <dgm:prSet presAssocID="{0EF819B0-533E-4442-A12D-A33A4A368BBD}" presName="hierChild3" presStyleCnt="0"/>
      <dgm:spPr/>
    </dgm:pt>
    <dgm:pt modelId="{18D280C6-A9C9-FB4D-B3C5-1F846C598C07}" type="pres">
      <dgm:prSet presAssocID="{C13E51F9-7A49-5840-943F-805B14C074EB}" presName="Name101" presStyleLbl="parChTrans1D2" presStyleIdx="3" presStyleCnt="4"/>
      <dgm:spPr/>
    </dgm:pt>
    <dgm:pt modelId="{A8823D28-9300-4846-9416-71B384872E21}" type="pres">
      <dgm:prSet presAssocID="{F810E77E-7EC1-4F40-9A4E-8CC77228CFD6}" presName="hierRoot3" presStyleCnt="0">
        <dgm:presLayoutVars>
          <dgm:hierBranch val="init"/>
        </dgm:presLayoutVars>
      </dgm:prSet>
      <dgm:spPr/>
    </dgm:pt>
    <dgm:pt modelId="{B6CBC567-9525-8F44-AF2B-FFB2C84EADC2}" type="pres">
      <dgm:prSet presAssocID="{F810E77E-7EC1-4F40-9A4E-8CC77228CFD6}" presName="rootComposite3" presStyleCnt="0"/>
      <dgm:spPr/>
    </dgm:pt>
    <dgm:pt modelId="{7E61CC38-A961-484E-89CF-7ED6659DD315}" type="pres">
      <dgm:prSet presAssocID="{F810E77E-7EC1-4F40-9A4E-8CC77228CFD6}" presName="rootText3" presStyleLbl="alignAcc1" presStyleIdx="0" presStyleCnt="0">
        <dgm:presLayoutVars>
          <dgm:chPref val="3"/>
        </dgm:presLayoutVars>
      </dgm:prSet>
      <dgm:spPr/>
    </dgm:pt>
    <dgm:pt modelId="{FEED4B07-9A61-684A-902B-043E5918E63F}" type="pres">
      <dgm:prSet presAssocID="{F810E77E-7EC1-4F40-9A4E-8CC77228CFD6}" presName="topArc3" presStyleLbl="parChTrans1D1" presStyleIdx="8" presStyleCnt="10"/>
      <dgm:spPr/>
    </dgm:pt>
    <dgm:pt modelId="{8C76CD2D-8A75-AB44-8788-55BF052F3EEA}" type="pres">
      <dgm:prSet presAssocID="{F810E77E-7EC1-4F40-9A4E-8CC77228CFD6}" presName="bottomArc3" presStyleLbl="parChTrans1D1" presStyleIdx="9" presStyleCnt="10"/>
      <dgm:spPr/>
    </dgm:pt>
    <dgm:pt modelId="{F13BAD81-1095-B545-844E-55D21005E525}" type="pres">
      <dgm:prSet presAssocID="{F810E77E-7EC1-4F40-9A4E-8CC77228CFD6}" presName="topConnNode3" presStyleLbl="asst1" presStyleIdx="0" presStyleCnt="0"/>
      <dgm:spPr/>
    </dgm:pt>
    <dgm:pt modelId="{AA6D1903-88F5-1B41-AC88-E9B9EE3F1B89}" type="pres">
      <dgm:prSet presAssocID="{F810E77E-7EC1-4F40-9A4E-8CC77228CFD6}" presName="hierChild6" presStyleCnt="0"/>
      <dgm:spPr/>
    </dgm:pt>
    <dgm:pt modelId="{0DEF6B5C-139C-9440-A5CC-FD145F0C4692}" type="pres">
      <dgm:prSet presAssocID="{F810E77E-7EC1-4F40-9A4E-8CC77228CFD6}" presName="hierChild7" presStyleCnt="0"/>
      <dgm:spPr/>
    </dgm:pt>
  </dgm:ptLst>
  <dgm:cxnLst>
    <dgm:cxn modelId="{EB196403-A7AA-394D-801B-4FA736FFC551}" type="presOf" srcId="{6AEC21DD-617B-E040-8007-80662B9DE7FD}" destId="{DDCE26B7-1CCE-E648-BE7C-4E0908810D33}" srcOrd="1" destOrd="0" presId="urn:microsoft.com/office/officeart/2008/layout/HalfCircleOrganizationChart"/>
    <dgm:cxn modelId="{3569AB31-2E80-2241-8204-B34EB9CAA861}" srcId="{0EF819B0-533E-4442-A12D-A33A4A368BBD}" destId="{6AEC21DD-617B-E040-8007-80662B9DE7FD}" srcOrd="3" destOrd="0" parTransId="{61867DE1-F057-1642-83F2-73D60C59E3B4}" sibTransId="{45F0A042-D5E4-374F-B429-1467A059A5FC}"/>
    <dgm:cxn modelId="{FD11913A-95D4-3F47-86ED-1681189EDF71}" type="presOf" srcId="{6AEC21DD-617B-E040-8007-80662B9DE7FD}" destId="{EE45CA52-FEEC-C34B-856B-0E9038823BB5}" srcOrd="0" destOrd="0" presId="urn:microsoft.com/office/officeart/2008/layout/HalfCircleOrganizationChart"/>
    <dgm:cxn modelId="{FF5F3E43-394D-9145-8EB6-2D21D4A106B6}" type="presOf" srcId="{0EF819B0-533E-4442-A12D-A33A4A368BBD}" destId="{EF31DBF4-6212-814B-95A3-71FD1803D96E}" srcOrd="0" destOrd="0" presId="urn:microsoft.com/office/officeart/2008/layout/HalfCircleOrganizationChart"/>
    <dgm:cxn modelId="{6A32BB48-8BE3-0649-9978-710A37E89B03}" type="presOf" srcId="{F810E77E-7EC1-4F40-9A4E-8CC77228CFD6}" destId="{F13BAD81-1095-B545-844E-55D21005E525}" srcOrd="1" destOrd="0" presId="urn:microsoft.com/office/officeart/2008/layout/HalfCircleOrganizationChart"/>
    <dgm:cxn modelId="{AF8A334C-81B7-9D41-88C3-00B3B250569D}" type="presOf" srcId="{C13E51F9-7A49-5840-943F-805B14C074EB}" destId="{18D280C6-A9C9-FB4D-B3C5-1F846C598C07}" srcOrd="0" destOrd="0" presId="urn:microsoft.com/office/officeart/2008/layout/HalfCircleOrganizationChart"/>
    <dgm:cxn modelId="{13BDEB77-0EAE-B643-8456-81CDA33F6D43}" type="presOf" srcId="{61867DE1-F057-1642-83F2-73D60C59E3B4}" destId="{EC32A2B8-F940-2540-859F-A2BB059AE29A}" srcOrd="0" destOrd="0" presId="urn:microsoft.com/office/officeart/2008/layout/HalfCircleOrganizationChart"/>
    <dgm:cxn modelId="{240E3A8B-CCD1-794E-AA75-8B73BEC19926}" type="presOf" srcId="{5957C284-FF63-9343-A53A-C830B74589CF}" destId="{3696D3D3-9E43-B54D-8177-55BEBD86EC4C}" srcOrd="1" destOrd="0" presId="urn:microsoft.com/office/officeart/2008/layout/HalfCircleOrganizationChart"/>
    <dgm:cxn modelId="{CA53CF97-4110-FE4C-BC58-E855347CEBCE}" srcId="{0EF819B0-533E-4442-A12D-A33A4A368BBD}" destId="{F810E77E-7EC1-4F40-9A4E-8CC77228CFD6}" srcOrd="0" destOrd="0" parTransId="{C13E51F9-7A49-5840-943F-805B14C074EB}" sibTransId="{FBE8FBD4-5162-424C-BECA-5A3E64EA4BD8}"/>
    <dgm:cxn modelId="{C3248A9C-367B-5B49-A206-F565FC46AC0C}" type="presOf" srcId="{0EF819B0-533E-4442-A12D-A33A4A368BBD}" destId="{B0C11984-D914-1242-8BDE-408C9BEAEFF3}" srcOrd="1" destOrd="0" presId="urn:microsoft.com/office/officeart/2008/layout/HalfCircleOrganizationChart"/>
    <dgm:cxn modelId="{621CF6A2-D754-B14E-AA5D-DA2CE79D91B2}" srcId="{0EF819B0-533E-4442-A12D-A33A4A368BBD}" destId="{99486C0B-EC43-BB49-9C29-32D14F1AEA4A}" srcOrd="2" destOrd="0" parTransId="{BBBD92AE-A5BB-984C-B0C5-CBD8DADC45F8}" sibTransId="{BD6BB1E4-FAF1-C34C-A5FE-23F821AB051D}"/>
    <dgm:cxn modelId="{3D10BEA5-6DB4-7145-B5D2-FB2D843B19B5}" type="presOf" srcId="{99486C0B-EC43-BB49-9C29-32D14F1AEA4A}" destId="{1714A15E-B4AE-B643-8928-8D214C267A77}" srcOrd="1" destOrd="0" presId="urn:microsoft.com/office/officeart/2008/layout/HalfCircleOrganizationChart"/>
    <dgm:cxn modelId="{B1ED3AA7-4538-6F4C-9E31-1E6BBAA1CC34}" srcId="{0EF819B0-533E-4442-A12D-A33A4A368BBD}" destId="{5957C284-FF63-9343-A53A-C830B74589CF}" srcOrd="1" destOrd="0" parTransId="{AC4F8F98-08D2-5D40-A3D0-B5B77359A0C1}" sibTransId="{8706F79B-4E9E-484B-BFBD-139CDCB5BDC4}"/>
    <dgm:cxn modelId="{BBCDA8A8-CED4-2D4A-8A37-84152304FE75}" type="presOf" srcId="{99486C0B-EC43-BB49-9C29-32D14F1AEA4A}" destId="{3AEBE0BA-0F98-3740-BC6C-834267833883}" srcOrd="0" destOrd="0" presId="urn:microsoft.com/office/officeart/2008/layout/HalfCircleOrganizationChart"/>
    <dgm:cxn modelId="{67EF92DC-B7E9-E54A-B19B-F2ECD4398784}" type="presOf" srcId="{F810E77E-7EC1-4F40-9A4E-8CC77228CFD6}" destId="{7E61CC38-A961-484E-89CF-7ED6659DD315}" srcOrd="0" destOrd="0" presId="urn:microsoft.com/office/officeart/2008/layout/HalfCircleOrganizationChart"/>
    <dgm:cxn modelId="{B7215EE4-071C-DB4C-8656-F3681CF7C7F0}" type="presOf" srcId="{BBBD92AE-A5BB-984C-B0C5-CBD8DADC45F8}" destId="{13CD5698-2A64-CD4B-9666-FCA5ADCB4BAF}" srcOrd="0" destOrd="0" presId="urn:microsoft.com/office/officeart/2008/layout/HalfCircleOrganizationChart"/>
    <dgm:cxn modelId="{41BCB7EA-C8BF-D142-912F-744B8AFE834F}" type="presOf" srcId="{AC4F8F98-08D2-5D40-A3D0-B5B77359A0C1}" destId="{7D63FD13-C642-B741-8604-5969751A3B48}" srcOrd="0" destOrd="0" presId="urn:microsoft.com/office/officeart/2008/layout/HalfCircleOrganizationChart"/>
    <dgm:cxn modelId="{4165B3F2-3020-224E-8907-401751E58CF3}" srcId="{6820E408-EEEB-E34B-8123-570311AC3E16}" destId="{0EF819B0-533E-4442-A12D-A33A4A368BBD}" srcOrd="0" destOrd="0" parTransId="{61B1E1C9-76B7-E14B-9CDC-C80AEDE1EF93}" sibTransId="{0094F03B-C00D-5340-98F7-76DC99966814}"/>
    <dgm:cxn modelId="{FC67C9FB-C674-964A-ACE2-D7A7679F7EB8}" type="presOf" srcId="{6820E408-EEEB-E34B-8123-570311AC3E16}" destId="{2338A9A5-D997-4C45-B91E-1490F0BC0734}" srcOrd="0" destOrd="0" presId="urn:microsoft.com/office/officeart/2008/layout/HalfCircleOrganizationChart"/>
    <dgm:cxn modelId="{BA32BFFD-F428-2749-9914-100313B2B4B1}" type="presOf" srcId="{5957C284-FF63-9343-A53A-C830B74589CF}" destId="{4509A432-3A24-6D44-B1CB-6063A2C6288B}" srcOrd="0" destOrd="0" presId="urn:microsoft.com/office/officeart/2008/layout/HalfCircleOrganizationChart"/>
    <dgm:cxn modelId="{EA1B7E43-6C57-724E-AD95-3F8731E6A1BD}" type="presParOf" srcId="{2338A9A5-D997-4C45-B91E-1490F0BC0734}" destId="{6627C492-A420-C14F-A972-B45C45497B77}" srcOrd="0" destOrd="0" presId="urn:microsoft.com/office/officeart/2008/layout/HalfCircleOrganizationChart"/>
    <dgm:cxn modelId="{4F727DEA-7DC5-E240-8D5C-719F4258067A}" type="presParOf" srcId="{6627C492-A420-C14F-A972-B45C45497B77}" destId="{EDB5F452-42E0-D441-A9E8-98D5160A2DD9}" srcOrd="0" destOrd="0" presId="urn:microsoft.com/office/officeart/2008/layout/HalfCircleOrganizationChart"/>
    <dgm:cxn modelId="{4D18FD24-64CB-2946-8716-18D78B4B2830}" type="presParOf" srcId="{EDB5F452-42E0-D441-A9E8-98D5160A2DD9}" destId="{EF31DBF4-6212-814B-95A3-71FD1803D96E}" srcOrd="0" destOrd="0" presId="urn:microsoft.com/office/officeart/2008/layout/HalfCircleOrganizationChart"/>
    <dgm:cxn modelId="{43152DED-B578-8E48-BC5B-E80C84ADC7B8}" type="presParOf" srcId="{EDB5F452-42E0-D441-A9E8-98D5160A2DD9}" destId="{8C0A110E-47E1-2648-8246-5CDAD9862035}" srcOrd="1" destOrd="0" presId="urn:microsoft.com/office/officeart/2008/layout/HalfCircleOrganizationChart"/>
    <dgm:cxn modelId="{599C0746-77BB-4746-A446-AB16393A4413}" type="presParOf" srcId="{EDB5F452-42E0-D441-A9E8-98D5160A2DD9}" destId="{ACA1180C-18B7-F249-BC0A-E45187FB1BC9}" srcOrd="2" destOrd="0" presId="urn:microsoft.com/office/officeart/2008/layout/HalfCircleOrganizationChart"/>
    <dgm:cxn modelId="{F80BB667-31EA-6845-AF2F-1CF90578F916}" type="presParOf" srcId="{EDB5F452-42E0-D441-A9E8-98D5160A2DD9}" destId="{B0C11984-D914-1242-8BDE-408C9BEAEFF3}" srcOrd="3" destOrd="0" presId="urn:microsoft.com/office/officeart/2008/layout/HalfCircleOrganizationChart"/>
    <dgm:cxn modelId="{8442DF57-C883-9346-9C4B-810666E1837C}" type="presParOf" srcId="{6627C492-A420-C14F-A972-B45C45497B77}" destId="{3B7AAB0E-F224-214B-8A74-628D0D965A5B}" srcOrd="1" destOrd="0" presId="urn:microsoft.com/office/officeart/2008/layout/HalfCircleOrganizationChart"/>
    <dgm:cxn modelId="{37CCF477-F331-654A-9A67-3028F9C47ABD}" type="presParOf" srcId="{3B7AAB0E-F224-214B-8A74-628D0D965A5B}" destId="{7D63FD13-C642-B741-8604-5969751A3B48}" srcOrd="0" destOrd="0" presId="urn:microsoft.com/office/officeart/2008/layout/HalfCircleOrganizationChart"/>
    <dgm:cxn modelId="{948DC8FE-E4C4-8345-ABFB-3AB1A88526EE}" type="presParOf" srcId="{3B7AAB0E-F224-214B-8A74-628D0D965A5B}" destId="{776EB58A-B710-5941-9113-E1005FBF8839}" srcOrd="1" destOrd="0" presId="urn:microsoft.com/office/officeart/2008/layout/HalfCircleOrganizationChart"/>
    <dgm:cxn modelId="{F0DE132B-4CB6-E547-80C4-1A8D422B341B}" type="presParOf" srcId="{776EB58A-B710-5941-9113-E1005FBF8839}" destId="{47916E24-8553-E84C-ACD3-199D23690E0B}" srcOrd="0" destOrd="0" presId="urn:microsoft.com/office/officeart/2008/layout/HalfCircleOrganizationChart"/>
    <dgm:cxn modelId="{939893DD-0570-B34F-8409-0E4E720802BC}" type="presParOf" srcId="{47916E24-8553-E84C-ACD3-199D23690E0B}" destId="{4509A432-3A24-6D44-B1CB-6063A2C6288B}" srcOrd="0" destOrd="0" presId="urn:microsoft.com/office/officeart/2008/layout/HalfCircleOrganizationChart"/>
    <dgm:cxn modelId="{485E13AD-1014-4F4E-A3E2-C671CA311EFD}" type="presParOf" srcId="{47916E24-8553-E84C-ACD3-199D23690E0B}" destId="{6E033F1C-0406-3241-AF65-3D74842D38C5}" srcOrd="1" destOrd="0" presId="urn:microsoft.com/office/officeart/2008/layout/HalfCircleOrganizationChart"/>
    <dgm:cxn modelId="{465FFA2E-9739-4F46-970C-2432900580F7}" type="presParOf" srcId="{47916E24-8553-E84C-ACD3-199D23690E0B}" destId="{DB8B0389-A02C-FB46-AFD0-01841BCAD467}" srcOrd="2" destOrd="0" presId="urn:microsoft.com/office/officeart/2008/layout/HalfCircleOrganizationChart"/>
    <dgm:cxn modelId="{ED7D8DA9-CB66-CA4F-9E85-9BB57A95B0F5}" type="presParOf" srcId="{47916E24-8553-E84C-ACD3-199D23690E0B}" destId="{3696D3D3-9E43-B54D-8177-55BEBD86EC4C}" srcOrd="3" destOrd="0" presId="urn:microsoft.com/office/officeart/2008/layout/HalfCircleOrganizationChart"/>
    <dgm:cxn modelId="{D802B368-135D-3C43-B64C-217E7DE8FC5A}" type="presParOf" srcId="{776EB58A-B710-5941-9113-E1005FBF8839}" destId="{7923C93C-F136-F840-8B33-2B7805766DDF}" srcOrd="1" destOrd="0" presId="urn:microsoft.com/office/officeart/2008/layout/HalfCircleOrganizationChart"/>
    <dgm:cxn modelId="{46C8D579-D79D-6741-8975-537B378E29B6}" type="presParOf" srcId="{776EB58A-B710-5941-9113-E1005FBF8839}" destId="{B830CABC-910A-3A45-A9C5-45C59BB6DAFC}" srcOrd="2" destOrd="0" presId="urn:microsoft.com/office/officeart/2008/layout/HalfCircleOrganizationChart"/>
    <dgm:cxn modelId="{D43468F9-01C6-2A41-8169-3C896C0CAA8F}" type="presParOf" srcId="{3B7AAB0E-F224-214B-8A74-628D0D965A5B}" destId="{13CD5698-2A64-CD4B-9666-FCA5ADCB4BAF}" srcOrd="2" destOrd="0" presId="urn:microsoft.com/office/officeart/2008/layout/HalfCircleOrganizationChart"/>
    <dgm:cxn modelId="{9710F86E-0D8A-5C4C-B715-78B2A1967D56}" type="presParOf" srcId="{3B7AAB0E-F224-214B-8A74-628D0D965A5B}" destId="{7E7FD0EE-DCAD-EE46-B706-0E64B2A6B3A7}" srcOrd="3" destOrd="0" presId="urn:microsoft.com/office/officeart/2008/layout/HalfCircleOrganizationChart"/>
    <dgm:cxn modelId="{266B9D72-9AD6-0044-ABCB-5106862F116A}" type="presParOf" srcId="{7E7FD0EE-DCAD-EE46-B706-0E64B2A6B3A7}" destId="{569C02C3-0403-9944-A45D-DD1794959FF9}" srcOrd="0" destOrd="0" presId="urn:microsoft.com/office/officeart/2008/layout/HalfCircleOrganizationChart"/>
    <dgm:cxn modelId="{2A77EDE4-2466-DB45-B752-2441BD6F9D3F}" type="presParOf" srcId="{569C02C3-0403-9944-A45D-DD1794959FF9}" destId="{3AEBE0BA-0F98-3740-BC6C-834267833883}" srcOrd="0" destOrd="0" presId="urn:microsoft.com/office/officeart/2008/layout/HalfCircleOrganizationChart"/>
    <dgm:cxn modelId="{F0392B23-A54B-ED4B-962A-CE2207D59F96}" type="presParOf" srcId="{569C02C3-0403-9944-A45D-DD1794959FF9}" destId="{79E3A652-0F58-EC4C-AE5F-A119EF422C38}" srcOrd="1" destOrd="0" presId="urn:microsoft.com/office/officeart/2008/layout/HalfCircleOrganizationChart"/>
    <dgm:cxn modelId="{653BF005-A18D-B740-BA78-369D90EA6776}" type="presParOf" srcId="{569C02C3-0403-9944-A45D-DD1794959FF9}" destId="{E4BB0F7C-4B87-E74E-9549-10F7DCED0443}" srcOrd="2" destOrd="0" presId="urn:microsoft.com/office/officeart/2008/layout/HalfCircleOrganizationChart"/>
    <dgm:cxn modelId="{D9B34822-621C-AA4F-AE23-A05EC90663F4}" type="presParOf" srcId="{569C02C3-0403-9944-A45D-DD1794959FF9}" destId="{1714A15E-B4AE-B643-8928-8D214C267A77}" srcOrd="3" destOrd="0" presId="urn:microsoft.com/office/officeart/2008/layout/HalfCircleOrganizationChart"/>
    <dgm:cxn modelId="{105004DC-784B-0047-963C-03FE1C6F794C}" type="presParOf" srcId="{7E7FD0EE-DCAD-EE46-B706-0E64B2A6B3A7}" destId="{C092DA09-DAB8-7248-A6EB-C90B4C727149}" srcOrd="1" destOrd="0" presId="urn:microsoft.com/office/officeart/2008/layout/HalfCircleOrganizationChart"/>
    <dgm:cxn modelId="{FEB04389-01B3-CB4F-BFEC-37BE38C3E8A6}" type="presParOf" srcId="{7E7FD0EE-DCAD-EE46-B706-0E64B2A6B3A7}" destId="{D5B1D9D0-00F9-6A40-B4F9-24B51AED9068}" srcOrd="2" destOrd="0" presId="urn:microsoft.com/office/officeart/2008/layout/HalfCircleOrganizationChart"/>
    <dgm:cxn modelId="{C1A35B3A-CA2E-6641-9414-9B861A0DD99C}" type="presParOf" srcId="{3B7AAB0E-F224-214B-8A74-628D0D965A5B}" destId="{EC32A2B8-F940-2540-859F-A2BB059AE29A}" srcOrd="4" destOrd="0" presId="urn:microsoft.com/office/officeart/2008/layout/HalfCircleOrganizationChart"/>
    <dgm:cxn modelId="{3203FF1D-A10F-1B41-B337-0A19A34AE9AD}" type="presParOf" srcId="{3B7AAB0E-F224-214B-8A74-628D0D965A5B}" destId="{16BFB33D-EF26-4449-A07C-07E73153D453}" srcOrd="5" destOrd="0" presId="urn:microsoft.com/office/officeart/2008/layout/HalfCircleOrganizationChart"/>
    <dgm:cxn modelId="{7A99C59C-0EF7-7C4F-9B2D-993F58865E9F}" type="presParOf" srcId="{16BFB33D-EF26-4449-A07C-07E73153D453}" destId="{8FE4ECC6-0424-AA4F-BE2E-C67397F89361}" srcOrd="0" destOrd="0" presId="urn:microsoft.com/office/officeart/2008/layout/HalfCircleOrganizationChart"/>
    <dgm:cxn modelId="{DC57CEE0-5C25-5344-ADC1-20101D9F5B81}" type="presParOf" srcId="{8FE4ECC6-0424-AA4F-BE2E-C67397F89361}" destId="{EE45CA52-FEEC-C34B-856B-0E9038823BB5}" srcOrd="0" destOrd="0" presId="urn:microsoft.com/office/officeart/2008/layout/HalfCircleOrganizationChart"/>
    <dgm:cxn modelId="{1435F8CC-F967-6741-B0E5-E73A9605597D}" type="presParOf" srcId="{8FE4ECC6-0424-AA4F-BE2E-C67397F89361}" destId="{FD0F5F34-CE5A-B44E-B366-26534B18889F}" srcOrd="1" destOrd="0" presId="urn:microsoft.com/office/officeart/2008/layout/HalfCircleOrganizationChart"/>
    <dgm:cxn modelId="{94807E72-C735-924F-B5CB-29155FC25AF4}" type="presParOf" srcId="{8FE4ECC6-0424-AA4F-BE2E-C67397F89361}" destId="{51FAF097-1463-2E45-8799-4B3EA385879F}" srcOrd="2" destOrd="0" presId="urn:microsoft.com/office/officeart/2008/layout/HalfCircleOrganizationChart"/>
    <dgm:cxn modelId="{B8DAB2F4-F771-6D43-B01D-F2D367D6FA17}" type="presParOf" srcId="{8FE4ECC6-0424-AA4F-BE2E-C67397F89361}" destId="{DDCE26B7-1CCE-E648-BE7C-4E0908810D33}" srcOrd="3" destOrd="0" presId="urn:microsoft.com/office/officeart/2008/layout/HalfCircleOrganizationChart"/>
    <dgm:cxn modelId="{04B7C4E1-67F7-3341-A89B-B1310919CAED}" type="presParOf" srcId="{16BFB33D-EF26-4449-A07C-07E73153D453}" destId="{8DFECC5B-7657-CD45-80F4-708EEC6E3FDC}" srcOrd="1" destOrd="0" presId="urn:microsoft.com/office/officeart/2008/layout/HalfCircleOrganizationChart"/>
    <dgm:cxn modelId="{C89330D1-36B5-C047-951E-5BCFAE038D87}" type="presParOf" srcId="{16BFB33D-EF26-4449-A07C-07E73153D453}" destId="{C529564A-C468-3F45-B413-A2FA71E8AD6B}" srcOrd="2" destOrd="0" presId="urn:microsoft.com/office/officeart/2008/layout/HalfCircleOrganizationChart"/>
    <dgm:cxn modelId="{C1332BE3-2FD3-1C4D-AD98-5C5D32E9AE67}" type="presParOf" srcId="{6627C492-A420-C14F-A972-B45C45497B77}" destId="{B90F68E9-E23D-5B40-AA13-C12B8C3EF81C}" srcOrd="2" destOrd="0" presId="urn:microsoft.com/office/officeart/2008/layout/HalfCircleOrganizationChart"/>
    <dgm:cxn modelId="{8C173492-C6DE-564D-97CA-792F688306F1}" type="presParOf" srcId="{B90F68E9-E23D-5B40-AA13-C12B8C3EF81C}" destId="{18D280C6-A9C9-FB4D-B3C5-1F846C598C07}" srcOrd="0" destOrd="0" presId="urn:microsoft.com/office/officeart/2008/layout/HalfCircleOrganizationChart"/>
    <dgm:cxn modelId="{91B9FAAB-838F-BD45-84D6-68C1E5EA6B93}" type="presParOf" srcId="{B90F68E9-E23D-5B40-AA13-C12B8C3EF81C}" destId="{A8823D28-9300-4846-9416-71B384872E21}" srcOrd="1" destOrd="0" presId="urn:microsoft.com/office/officeart/2008/layout/HalfCircleOrganizationChart"/>
    <dgm:cxn modelId="{46C8B2EA-694D-4840-9D55-863DCA876EC1}" type="presParOf" srcId="{A8823D28-9300-4846-9416-71B384872E21}" destId="{B6CBC567-9525-8F44-AF2B-FFB2C84EADC2}" srcOrd="0" destOrd="0" presId="urn:microsoft.com/office/officeart/2008/layout/HalfCircleOrganizationChart"/>
    <dgm:cxn modelId="{7DAFC05E-FD8C-9847-82FA-D753D4289817}" type="presParOf" srcId="{B6CBC567-9525-8F44-AF2B-FFB2C84EADC2}" destId="{7E61CC38-A961-484E-89CF-7ED6659DD315}" srcOrd="0" destOrd="0" presId="urn:microsoft.com/office/officeart/2008/layout/HalfCircleOrganizationChart"/>
    <dgm:cxn modelId="{5D08770A-B36D-A54A-8B42-072205AACA50}" type="presParOf" srcId="{B6CBC567-9525-8F44-AF2B-FFB2C84EADC2}" destId="{FEED4B07-9A61-684A-902B-043E5918E63F}" srcOrd="1" destOrd="0" presId="urn:microsoft.com/office/officeart/2008/layout/HalfCircleOrganizationChart"/>
    <dgm:cxn modelId="{E532A27D-FF7B-BE4B-99A8-244558CF35FC}" type="presParOf" srcId="{B6CBC567-9525-8F44-AF2B-FFB2C84EADC2}" destId="{8C76CD2D-8A75-AB44-8788-55BF052F3EEA}" srcOrd="2" destOrd="0" presId="urn:microsoft.com/office/officeart/2008/layout/HalfCircleOrganizationChart"/>
    <dgm:cxn modelId="{02DBBC97-4709-4C40-9638-7D8108920E8D}" type="presParOf" srcId="{B6CBC567-9525-8F44-AF2B-FFB2C84EADC2}" destId="{F13BAD81-1095-B545-844E-55D21005E525}" srcOrd="3" destOrd="0" presId="urn:microsoft.com/office/officeart/2008/layout/HalfCircleOrganizationChart"/>
    <dgm:cxn modelId="{63FE63D0-BD62-0540-B23C-EDD6A3B69F39}" type="presParOf" srcId="{A8823D28-9300-4846-9416-71B384872E21}" destId="{AA6D1903-88F5-1B41-AC88-E9B9EE3F1B89}" srcOrd="1" destOrd="0" presId="urn:microsoft.com/office/officeart/2008/layout/HalfCircleOrganizationChart"/>
    <dgm:cxn modelId="{F17851B4-6326-4549-B13F-78004279451F}" type="presParOf" srcId="{A8823D28-9300-4846-9416-71B384872E21}" destId="{0DEF6B5C-139C-9440-A5CC-FD145F0C4692}" srcOrd="2" destOrd="0" presId="urn:microsoft.com/office/officeart/2008/layout/HalfCircleOrganization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280C6-A9C9-FB4D-B3C5-1F846C598C07}">
      <dsp:nvSpPr>
        <dsp:cNvPr id="0" name=""/>
        <dsp:cNvSpPr/>
      </dsp:nvSpPr>
      <dsp:spPr>
        <a:xfrm>
          <a:off x="2476395" y="771003"/>
          <a:ext cx="639232" cy="462095"/>
        </a:xfrm>
        <a:custGeom>
          <a:avLst/>
          <a:gdLst/>
          <a:ahLst/>
          <a:cxnLst/>
          <a:rect l="0" t="0" r="0" b="0"/>
          <a:pathLst>
            <a:path>
              <a:moveTo>
                <a:pt x="639232" y="0"/>
              </a:moveTo>
              <a:lnTo>
                <a:pt x="639232" y="462095"/>
              </a:lnTo>
              <a:lnTo>
                <a:pt x="0" y="4620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32A2B8-F940-2540-859F-A2BB059AE29A}">
      <dsp:nvSpPr>
        <dsp:cNvPr id="0" name=""/>
        <dsp:cNvSpPr/>
      </dsp:nvSpPr>
      <dsp:spPr>
        <a:xfrm>
          <a:off x="3115627" y="771003"/>
          <a:ext cx="1863785" cy="1417093"/>
        </a:xfrm>
        <a:custGeom>
          <a:avLst/>
          <a:gdLst/>
          <a:ahLst/>
          <a:cxnLst/>
          <a:rect l="0" t="0" r="0" b="0"/>
          <a:pathLst>
            <a:path>
              <a:moveTo>
                <a:pt x="0" y="0"/>
              </a:moveTo>
              <a:lnTo>
                <a:pt x="0" y="1255359"/>
              </a:lnTo>
              <a:lnTo>
                <a:pt x="1863785" y="1255359"/>
              </a:lnTo>
              <a:lnTo>
                <a:pt x="1863785" y="141709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CD5698-2A64-CD4B-9666-FCA5ADCB4BAF}">
      <dsp:nvSpPr>
        <dsp:cNvPr id="0" name=""/>
        <dsp:cNvSpPr/>
      </dsp:nvSpPr>
      <dsp:spPr>
        <a:xfrm>
          <a:off x="3069907" y="771003"/>
          <a:ext cx="91440" cy="1417093"/>
        </a:xfrm>
        <a:custGeom>
          <a:avLst/>
          <a:gdLst/>
          <a:ahLst/>
          <a:cxnLst/>
          <a:rect l="0" t="0" r="0" b="0"/>
          <a:pathLst>
            <a:path>
              <a:moveTo>
                <a:pt x="45720" y="0"/>
              </a:moveTo>
              <a:lnTo>
                <a:pt x="45720" y="141709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63FD13-C642-B741-8604-5969751A3B48}">
      <dsp:nvSpPr>
        <dsp:cNvPr id="0" name=""/>
        <dsp:cNvSpPr/>
      </dsp:nvSpPr>
      <dsp:spPr>
        <a:xfrm>
          <a:off x="1251841" y="771003"/>
          <a:ext cx="1863785" cy="1417093"/>
        </a:xfrm>
        <a:custGeom>
          <a:avLst/>
          <a:gdLst/>
          <a:ahLst/>
          <a:cxnLst/>
          <a:rect l="0" t="0" r="0" b="0"/>
          <a:pathLst>
            <a:path>
              <a:moveTo>
                <a:pt x="1863785" y="0"/>
              </a:moveTo>
              <a:lnTo>
                <a:pt x="1863785" y="1255359"/>
              </a:lnTo>
              <a:lnTo>
                <a:pt x="0" y="1255359"/>
              </a:lnTo>
              <a:lnTo>
                <a:pt x="0" y="141709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0A110E-47E1-2648-8246-5CDAD9862035}">
      <dsp:nvSpPr>
        <dsp:cNvPr id="0" name=""/>
        <dsp:cNvSpPr/>
      </dsp:nvSpPr>
      <dsp:spPr>
        <a:xfrm>
          <a:off x="2730547" y="843"/>
          <a:ext cx="770159" cy="770159"/>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A1180C-18B7-F249-BC0A-E45187FB1BC9}">
      <dsp:nvSpPr>
        <dsp:cNvPr id="0" name=""/>
        <dsp:cNvSpPr/>
      </dsp:nvSpPr>
      <dsp:spPr>
        <a:xfrm>
          <a:off x="2730547" y="843"/>
          <a:ext cx="770159" cy="770159"/>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31DBF4-6212-814B-95A3-71FD1803D96E}">
      <dsp:nvSpPr>
        <dsp:cNvPr id="0" name=""/>
        <dsp:cNvSpPr/>
      </dsp:nvSpPr>
      <dsp:spPr>
        <a:xfrm>
          <a:off x="2345468" y="139472"/>
          <a:ext cx="1540318" cy="49290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1" kern="1200" dirty="0">
              <a:latin typeface="Arial" panose="020B0604020202020204" pitchFamily="34" charset="0"/>
              <a:cs typeface="Arial" panose="020B0604020202020204" pitchFamily="34" charset="0"/>
            </a:rPr>
            <a:t>Bank Liquidity</a:t>
          </a:r>
        </a:p>
      </dsp:txBody>
      <dsp:txXfrm>
        <a:off x="2345468" y="139472"/>
        <a:ext cx="1540318" cy="492902"/>
      </dsp:txXfrm>
    </dsp:sp>
    <dsp:sp modelId="{6E033F1C-0406-3241-AF65-3D74842D38C5}">
      <dsp:nvSpPr>
        <dsp:cNvPr id="0" name=""/>
        <dsp:cNvSpPr/>
      </dsp:nvSpPr>
      <dsp:spPr>
        <a:xfrm>
          <a:off x="866762" y="2188096"/>
          <a:ext cx="770159" cy="770159"/>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8B0389-A02C-FB46-AFD0-01841BCAD467}">
      <dsp:nvSpPr>
        <dsp:cNvPr id="0" name=""/>
        <dsp:cNvSpPr/>
      </dsp:nvSpPr>
      <dsp:spPr>
        <a:xfrm>
          <a:off x="866762" y="2188096"/>
          <a:ext cx="770159" cy="770159"/>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09A432-3A24-6D44-B1CB-6063A2C6288B}">
      <dsp:nvSpPr>
        <dsp:cNvPr id="0" name=""/>
        <dsp:cNvSpPr/>
      </dsp:nvSpPr>
      <dsp:spPr>
        <a:xfrm>
          <a:off x="481682" y="2326725"/>
          <a:ext cx="1540318" cy="49290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1" kern="1200" dirty="0">
              <a:latin typeface="Arial" panose="020B0604020202020204" pitchFamily="34" charset="0"/>
              <a:cs typeface="Arial" panose="020B0604020202020204" pitchFamily="34" charset="0"/>
            </a:rPr>
            <a:t>Profitability</a:t>
          </a:r>
        </a:p>
      </dsp:txBody>
      <dsp:txXfrm>
        <a:off x="481682" y="2326725"/>
        <a:ext cx="1540318" cy="492902"/>
      </dsp:txXfrm>
    </dsp:sp>
    <dsp:sp modelId="{79E3A652-0F58-EC4C-AE5F-A119EF422C38}">
      <dsp:nvSpPr>
        <dsp:cNvPr id="0" name=""/>
        <dsp:cNvSpPr/>
      </dsp:nvSpPr>
      <dsp:spPr>
        <a:xfrm>
          <a:off x="2730547" y="2188096"/>
          <a:ext cx="770159" cy="770159"/>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BB0F7C-4B87-E74E-9549-10F7DCED0443}">
      <dsp:nvSpPr>
        <dsp:cNvPr id="0" name=""/>
        <dsp:cNvSpPr/>
      </dsp:nvSpPr>
      <dsp:spPr>
        <a:xfrm>
          <a:off x="2730547" y="2188096"/>
          <a:ext cx="770159" cy="770159"/>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EBE0BA-0F98-3740-BC6C-834267833883}">
      <dsp:nvSpPr>
        <dsp:cNvPr id="0" name=""/>
        <dsp:cNvSpPr/>
      </dsp:nvSpPr>
      <dsp:spPr>
        <a:xfrm>
          <a:off x="2345468" y="2326725"/>
          <a:ext cx="1540318" cy="49290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1" kern="1200" dirty="0">
              <a:latin typeface="Arial" panose="020B0604020202020204" pitchFamily="34" charset="0"/>
              <a:cs typeface="Arial" panose="020B0604020202020204" pitchFamily="34" charset="0"/>
            </a:rPr>
            <a:t>Bank Size</a:t>
          </a:r>
        </a:p>
      </dsp:txBody>
      <dsp:txXfrm>
        <a:off x="2345468" y="2326725"/>
        <a:ext cx="1540318" cy="492902"/>
      </dsp:txXfrm>
    </dsp:sp>
    <dsp:sp modelId="{FD0F5F34-CE5A-B44E-B366-26534B18889F}">
      <dsp:nvSpPr>
        <dsp:cNvPr id="0" name=""/>
        <dsp:cNvSpPr/>
      </dsp:nvSpPr>
      <dsp:spPr>
        <a:xfrm>
          <a:off x="4594333" y="2188096"/>
          <a:ext cx="770159" cy="770159"/>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FAF097-1463-2E45-8799-4B3EA385879F}">
      <dsp:nvSpPr>
        <dsp:cNvPr id="0" name=""/>
        <dsp:cNvSpPr/>
      </dsp:nvSpPr>
      <dsp:spPr>
        <a:xfrm>
          <a:off x="4594333" y="2188096"/>
          <a:ext cx="770159" cy="770159"/>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45CA52-FEEC-C34B-856B-0E9038823BB5}">
      <dsp:nvSpPr>
        <dsp:cNvPr id="0" name=""/>
        <dsp:cNvSpPr/>
      </dsp:nvSpPr>
      <dsp:spPr>
        <a:xfrm>
          <a:off x="4209253" y="2326725"/>
          <a:ext cx="1540318" cy="49290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1" kern="1200" dirty="0">
              <a:latin typeface="Arial" panose="020B0604020202020204" pitchFamily="34" charset="0"/>
              <a:cs typeface="Arial" panose="020B0604020202020204" pitchFamily="34" charset="0"/>
            </a:rPr>
            <a:t>Deposits</a:t>
          </a:r>
        </a:p>
      </dsp:txBody>
      <dsp:txXfrm>
        <a:off x="4209253" y="2326725"/>
        <a:ext cx="1540318" cy="492902"/>
      </dsp:txXfrm>
    </dsp:sp>
    <dsp:sp modelId="{FEED4B07-9A61-684A-902B-043E5918E63F}">
      <dsp:nvSpPr>
        <dsp:cNvPr id="0" name=""/>
        <dsp:cNvSpPr/>
      </dsp:nvSpPr>
      <dsp:spPr>
        <a:xfrm>
          <a:off x="1798654" y="1094470"/>
          <a:ext cx="770159" cy="770159"/>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76CD2D-8A75-AB44-8788-55BF052F3EEA}">
      <dsp:nvSpPr>
        <dsp:cNvPr id="0" name=""/>
        <dsp:cNvSpPr/>
      </dsp:nvSpPr>
      <dsp:spPr>
        <a:xfrm>
          <a:off x="1798654" y="1094470"/>
          <a:ext cx="770159" cy="770159"/>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61CC38-A961-484E-89CF-7ED6659DD315}">
      <dsp:nvSpPr>
        <dsp:cNvPr id="0" name=""/>
        <dsp:cNvSpPr/>
      </dsp:nvSpPr>
      <dsp:spPr>
        <a:xfrm>
          <a:off x="1413575" y="1233098"/>
          <a:ext cx="1540318" cy="49290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1" kern="1200" dirty="0">
              <a:latin typeface="Arial" panose="020B0604020202020204" pitchFamily="34" charset="0"/>
              <a:cs typeface="Arial" panose="020B0604020202020204" pitchFamily="34" charset="0"/>
            </a:rPr>
            <a:t>Bank- specific Factors</a:t>
          </a:r>
        </a:p>
      </dsp:txBody>
      <dsp:txXfrm>
        <a:off x="1413575" y="1233098"/>
        <a:ext cx="1540318" cy="492902"/>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6620F-396F-CA4D-BD4B-D6F048950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2713</TotalTime>
  <Pages>65</Pages>
  <Words>12211</Words>
  <Characters>69607</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 婷婷</dc:creator>
  <cp:keywords/>
  <dc:description/>
  <cp:lastModifiedBy>周 婷婷</cp:lastModifiedBy>
  <cp:revision>174</cp:revision>
  <dcterms:created xsi:type="dcterms:W3CDTF">2019-07-11T06:33:00Z</dcterms:created>
  <dcterms:modified xsi:type="dcterms:W3CDTF">2019-12-20T03:38:00Z</dcterms:modified>
</cp:coreProperties>
</file>