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2FD99" w14:textId="4B51DD8A" w:rsidR="002907DA" w:rsidRPr="002D5967" w:rsidRDefault="002907DA" w:rsidP="00480305">
      <w:pPr>
        <w:rPr>
          <w:rFonts w:eastAsia="SimSun" w:cs="Times New Roman"/>
          <w:b/>
          <w:szCs w:val="24"/>
          <w:lang w:val="en-US" w:eastAsia="zh-CN"/>
        </w:rPr>
      </w:pPr>
    </w:p>
    <w:tbl>
      <w:tblPr>
        <w:tblStyle w:val="TableGrid"/>
        <w:tblW w:w="0" w:type="auto"/>
        <w:tblLook w:val="04A0" w:firstRow="1" w:lastRow="0" w:firstColumn="1" w:lastColumn="0" w:noHBand="0" w:noVBand="1"/>
      </w:tblPr>
      <w:tblGrid>
        <w:gridCol w:w="2355"/>
        <w:gridCol w:w="6138"/>
      </w:tblGrid>
      <w:tr w:rsidR="008F6DEA" w14:paraId="518593D9" w14:textId="77777777" w:rsidTr="00AD41F5">
        <w:trPr>
          <w:cantSplit/>
          <w:trHeight w:val="12541"/>
        </w:trPr>
        <w:tc>
          <w:tcPr>
            <w:tcW w:w="2016" w:type="dxa"/>
            <w:textDirection w:val="tbRl"/>
          </w:tcPr>
          <w:p w14:paraId="6D5A136C" w14:textId="77777777" w:rsidR="008F6DEA" w:rsidRDefault="008F6DEA" w:rsidP="00AD41F5">
            <w:pPr>
              <w:ind w:left="113" w:right="113"/>
              <w:jc w:val="center"/>
              <w:rPr>
                <w:b/>
              </w:rPr>
            </w:pPr>
          </w:p>
          <w:p w14:paraId="33A81923" w14:textId="77777777" w:rsidR="008F6DEA" w:rsidRDefault="008F6DEA" w:rsidP="00AD41F5">
            <w:pPr>
              <w:ind w:left="113" w:right="113"/>
              <w:rPr>
                <w:b/>
              </w:rPr>
            </w:pPr>
          </w:p>
          <w:p w14:paraId="52D913C7" w14:textId="77777777" w:rsidR="008F6DEA" w:rsidRDefault="008F6DEA" w:rsidP="00AD41F5">
            <w:pPr>
              <w:ind w:left="113" w:right="113"/>
              <w:rPr>
                <w:b/>
              </w:rPr>
            </w:pPr>
          </w:p>
          <w:p w14:paraId="6CD89EBE" w14:textId="77777777" w:rsidR="008F6DEA" w:rsidRDefault="008F6DEA" w:rsidP="00AD41F5">
            <w:pPr>
              <w:ind w:left="113" w:right="113"/>
              <w:rPr>
                <w:b/>
              </w:rPr>
            </w:pPr>
            <w:r>
              <w:rPr>
                <w:b/>
              </w:rPr>
              <w:t xml:space="preserve">              </w:t>
            </w:r>
          </w:p>
          <w:p w14:paraId="4D4EDCFA" w14:textId="6FAB0952" w:rsidR="008F6DEA" w:rsidRPr="005103C6" w:rsidRDefault="008F6DEA" w:rsidP="00AD41F5">
            <w:pPr>
              <w:ind w:left="113" w:right="113"/>
              <w:rPr>
                <w:rFonts w:ascii="Arial" w:hAnsi="Arial" w:cs="Arial"/>
                <w:b/>
              </w:rPr>
            </w:pPr>
            <w:r>
              <w:rPr>
                <w:b/>
              </w:rPr>
              <w:t xml:space="preserve">            </w:t>
            </w:r>
            <w:r w:rsidR="008D658A">
              <w:rPr>
                <w:rFonts w:ascii="Arial" w:hAnsi="Arial" w:cs="Arial"/>
                <w:b/>
              </w:rPr>
              <w:t>JAWAHER SWALEH KARAMA TIMIMI</w:t>
            </w:r>
            <w:r>
              <w:rPr>
                <w:rFonts w:ascii="Arial" w:hAnsi="Arial" w:cs="Arial"/>
                <w:b/>
              </w:rPr>
              <w:t xml:space="preserve">                        </w:t>
            </w:r>
            <w:r w:rsidRPr="005103C6">
              <w:rPr>
                <w:rFonts w:ascii="Arial" w:hAnsi="Arial" w:cs="Arial"/>
                <w:b/>
              </w:rPr>
              <w:t xml:space="preserve">MASTER OF BUSINESS ADMINISTRATION            </w:t>
            </w:r>
            <w:r>
              <w:rPr>
                <w:rFonts w:ascii="Arial" w:hAnsi="Arial" w:cs="Arial"/>
                <w:b/>
              </w:rPr>
              <w:t xml:space="preserve">      </w:t>
            </w:r>
            <w:r w:rsidRPr="005103C6">
              <w:rPr>
                <w:rFonts w:ascii="Arial" w:hAnsi="Arial" w:cs="Arial"/>
                <w:b/>
              </w:rPr>
              <w:t xml:space="preserve"> 201</w:t>
            </w:r>
            <w:r>
              <w:rPr>
                <w:rFonts w:ascii="Arial" w:hAnsi="Arial" w:cs="Arial"/>
                <w:b/>
              </w:rPr>
              <w:t>9</w:t>
            </w:r>
          </w:p>
          <w:p w14:paraId="658049B2" w14:textId="77777777" w:rsidR="008F6DEA" w:rsidRDefault="008F6DEA" w:rsidP="00AD41F5">
            <w:pPr>
              <w:ind w:left="113" w:right="113"/>
              <w:jc w:val="center"/>
              <w:rPr>
                <w:b/>
              </w:rPr>
            </w:pPr>
          </w:p>
          <w:p w14:paraId="05981A91" w14:textId="77777777" w:rsidR="008F6DEA" w:rsidRDefault="008F6DEA" w:rsidP="00AD41F5">
            <w:pPr>
              <w:ind w:left="113" w:right="113"/>
              <w:jc w:val="center"/>
              <w:rPr>
                <w:b/>
              </w:rPr>
            </w:pPr>
          </w:p>
          <w:p w14:paraId="373FEB8B" w14:textId="77777777" w:rsidR="008F6DEA" w:rsidRDefault="008F6DEA" w:rsidP="00AD41F5">
            <w:pPr>
              <w:ind w:left="113" w:right="113"/>
              <w:jc w:val="center"/>
              <w:rPr>
                <w:b/>
              </w:rPr>
            </w:pPr>
          </w:p>
          <w:p w14:paraId="2A3BF62F" w14:textId="77777777" w:rsidR="008F6DEA" w:rsidRDefault="008F6DEA" w:rsidP="00AD41F5">
            <w:pPr>
              <w:ind w:left="113" w:right="113"/>
              <w:jc w:val="center"/>
              <w:rPr>
                <w:b/>
              </w:rPr>
            </w:pPr>
          </w:p>
          <w:p w14:paraId="596035E0" w14:textId="77777777" w:rsidR="008F6DEA" w:rsidRDefault="008F6DEA" w:rsidP="00AD41F5">
            <w:pPr>
              <w:ind w:left="113" w:right="113"/>
              <w:jc w:val="center"/>
              <w:rPr>
                <w:b/>
              </w:rPr>
            </w:pPr>
          </w:p>
        </w:tc>
        <w:tc>
          <w:tcPr>
            <w:tcW w:w="7913" w:type="dxa"/>
          </w:tcPr>
          <w:p w14:paraId="5AFFB32E" w14:textId="77777777" w:rsidR="008F6DEA" w:rsidRDefault="008F6DEA" w:rsidP="00AD41F5">
            <w:pPr>
              <w:jc w:val="center"/>
              <w:rPr>
                <w:b/>
              </w:rPr>
            </w:pPr>
          </w:p>
          <w:p w14:paraId="1E89DFA1" w14:textId="77777777" w:rsidR="008F6DEA" w:rsidRDefault="008F6DEA" w:rsidP="00AD41F5">
            <w:pPr>
              <w:jc w:val="center"/>
              <w:rPr>
                <w:b/>
              </w:rPr>
            </w:pPr>
          </w:p>
          <w:p w14:paraId="54ECE964" w14:textId="1FC295B2" w:rsidR="008F6DEA" w:rsidRDefault="008F6DEA" w:rsidP="008D658A">
            <w:pPr>
              <w:rPr>
                <w:rFonts w:ascii="Arial" w:hAnsi="Arial" w:cs="Arial"/>
                <w:b/>
              </w:rPr>
            </w:pPr>
          </w:p>
          <w:p w14:paraId="06F58484" w14:textId="77777777" w:rsidR="008F6DEA" w:rsidRDefault="008F6DEA" w:rsidP="00AD41F5">
            <w:pPr>
              <w:jc w:val="center"/>
              <w:rPr>
                <w:rFonts w:ascii="Arial" w:hAnsi="Arial" w:cs="Arial"/>
                <w:b/>
              </w:rPr>
            </w:pPr>
          </w:p>
          <w:p w14:paraId="5C2F7D8F" w14:textId="77777777" w:rsidR="008F6DEA" w:rsidRPr="008F6DEA" w:rsidRDefault="008F6DEA" w:rsidP="008F6DEA">
            <w:pPr>
              <w:jc w:val="center"/>
              <w:rPr>
                <w:rFonts w:ascii="Arial" w:hAnsi="Arial" w:cs="Arial"/>
                <w:b/>
                <w:sz w:val="22"/>
                <w:szCs w:val="22"/>
              </w:rPr>
            </w:pPr>
            <w:r w:rsidRPr="008F6DEA">
              <w:rPr>
                <w:rFonts w:ascii="Arial" w:hAnsi="Arial" w:cs="Arial"/>
                <w:b/>
                <w:sz w:val="22"/>
                <w:szCs w:val="22"/>
              </w:rPr>
              <w:t>FACTORS AFFECTING BANK FAILURE OF COMMERCIAL BANKS LISTED AT THE NAIROBI SECURITIES EXCHANGE THROUGH LOAN LOSS PROVISION</w:t>
            </w:r>
          </w:p>
          <w:p w14:paraId="399D2209" w14:textId="77777777" w:rsidR="008F6DEA" w:rsidRPr="005103C6" w:rsidRDefault="008F6DEA" w:rsidP="00AD41F5">
            <w:pPr>
              <w:jc w:val="center"/>
              <w:rPr>
                <w:rFonts w:ascii="Arial" w:hAnsi="Arial" w:cs="Arial"/>
                <w:b/>
              </w:rPr>
            </w:pPr>
          </w:p>
          <w:p w14:paraId="6642F8A3" w14:textId="77777777" w:rsidR="008F6DEA" w:rsidRPr="005103C6" w:rsidRDefault="008F6DEA" w:rsidP="00AD41F5">
            <w:pPr>
              <w:jc w:val="center"/>
              <w:rPr>
                <w:rFonts w:ascii="Arial" w:hAnsi="Arial" w:cs="Arial"/>
                <w:b/>
              </w:rPr>
            </w:pPr>
          </w:p>
          <w:p w14:paraId="3249601B" w14:textId="77777777" w:rsidR="008F6DEA" w:rsidRPr="005103C6" w:rsidRDefault="008F6DEA" w:rsidP="00AD41F5">
            <w:pPr>
              <w:jc w:val="center"/>
              <w:rPr>
                <w:rFonts w:ascii="Arial" w:hAnsi="Arial" w:cs="Arial"/>
                <w:b/>
              </w:rPr>
            </w:pPr>
          </w:p>
          <w:p w14:paraId="43F8ABF3" w14:textId="77777777" w:rsidR="008F6DEA" w:rsidRPr="005103C6" w:rsidRDefault="008F6DEA" w:rsidP="00AD41F5">
            <w:pPr>
              <w:jc w:val="center"/>
              <w:rPr>
                <w:rFonts w:ascii="Arial" w:hAnsi="Arial" w:cs="Arial"/>
                <w:b/>
              </w:rPr>
            </w:pPr>
          </w:p>
          <w:p w14:paraId="35E94F56" w14:textId="77777777" w:rsidR="008F6DEA" w:rsidRPr="005103C6" w:rsidRDefault="008F6DEA" w:rsidP="00AD41F5">
            <w:pPr>
              <w:jc w:val="center"/>
              <w:rPr>
                <w:rFonts w:ascii="Arial" w:hAnsi="Arial" w:cs="Arial"/>
                <w:b/>
              </w:rPr>
            </w:pPr>
          </w:p>
          <w:p w14:paraId="529569B6" w14:textId="77777777" w:rsidR="008F6DEA" w:rsidRPr="005103C6" w:rsidRDefault="008F6DEA" w:rsidP="00AD41F5">
            <w:pPr>
              <w:jc w:val="center"/>
              <w:rPr>
                <w:rFonts w:ascii="Arial" w:hAnsi="Arial" w:cs="Arial"/>
                <w:b/>
              </w:rPr>
            </w:pPr>
          </w:p>
          <w:p w14:paraId="4905524B" w14:textId="77777777" w:rsidR="008F6DEA" w:rsidRPr="005103C6" w:rsidRDefault="008F6DEA" w:rsidP="00AD41F5">
            <w:pPr>
              <w:jc w:val="center"/>
              <w:rPr>
                <w:rFonts w:ascii="Arial" w:hAnsi="Arial" w:cs="Arial"/>
                <w:b/>
              </w:rPr>
            </w:pPr>
          </w:p>
          <w:p w14:paraId="6C32E5A7" w14:textId="77777777" w:rsidR="008F6DEA" w:rsidRPr="005103C6" w:rsidRDefault="008F6DEA" w:rsidP="00AD41F5">
            <w:pPr>
              <w:jc w:val="center"/>
              <w:rPr>
                <w:rFonts w:ascii="Arial" w:hAnsi="Arial" w:cs="Arial"/>
                <w:b/>
              </w:rPr>
            </w:pPr>
          </w:p>
          <w:p w14:paraId="77A132C6" w14:textId="77777777" w:rsidR="008F6DEA" w:rsidRPr="005103C6" w:rsidRDefault="008F6DEA" w:rsidP="00AD41F5">
            <w:pPr>
              <w:jc w:val="center"/>
              <w:rPr>
                <w:rFonts w:ascii="Arial" w:hAnsi="Arial" w:cs="Arial"/>
                <w:b/>
              </w:rPr>
            </w:pPr>
          </w:p>
          <w:p w14:paraId="7E25C08D" w14:textId="77777777" w:rsidR="008F6DEA" w:rsidRPr="005103C6" w:rsidRDefault="008F6DEA" w:rsidP="00AD41F5">
            <w:pPr>
              <w:jc w:val="center"/>
              <w:rPr>
                <w:rFonts w:ascii="Arial" w:hAnsi="Arial" w:cs="Arial"/>
                <w:b/>
              </w:rPr>
            </w:pPr>
          </w:p>
          <w:p w14:paraId="58403E47" w14:textId="77777777" w:rsidR="008F6DEA" w:rsidRDefault="008F6DEA" w:rsidP="008F6DEA">
            <w:pPr>
              <w:rPr>
                <w:rFonts w:ascii="Arial" w:hAnsi="Arial" w:cs="Arial"/>
                <w:b/>
              </w:rPr>
            </w:pPr>
          </w:p>
          <w:p w14:paraId="33A20D00" w14:textId="77777777" w:rsidR="008F6DEA" w:rsidRPr="005103C6" w:rsidRDefault="008F6DEA" w:rsidP="00AD41F5">
            <w:pPr>
              <w:jc w:val="center"/>
              <w:rPr>
                <w:rFonts w:ascii="Arial" w:hAnsi="Arial" w:cs="Arial"/>
                <w:b/>
              </w:rPr>
            </w:pPr>
          </w:p>
          <w:p w14:paraId="6AD97F5B" w14:textId="77777777" w:rsidR="008F6DEA" w:rsidRPr="005103C6" w:rsidRDefault="008F6DEA" w:rsidP="00AD41F5">
            <w:pPr>
              <w:jc w:val="center"/>
              <w:rPr>
                <w:rFonts w:ascii="Arial" w:hAnsi="Arial" w:cs="Arial"/>
                <w:b/>
              </w:rPr>
            </w:pPr>
          </w:p>
          <w:p w14:paraId="34F7B567" w14:textId="71EDAE2B" w:rsidR="008F6DEA" w:rsidRPr="005103C6" w:rsidRDefault="008F6DEA" w:rsidP="00AD41F5">
            <w:pPr>
              <w:jc w:val="center"/>
              <w:rPr>
                <w:rFonts w:ascii="Arial" w:hAnsi="Arial" w:cs="Arial"/>
                <w:b/>
              </w:rPr>
            </w:pPr>
            <w:r w:rsidRPr="005103C6">
              <w:rPr>
                <w:rFonts w:ascii="Arial" w:hAnsi="Arial" w:cs="Arial"/>
                <w:b/>
              </w:rPr>
              <w:t>NAME</w:t>
            </w:r>
            <w:r>
              <w:rPr>
                <w:rFonts w:ascii="Arial" w:hAnsi="Arial" w:cs="Arial"/>
                <w:b/>
              </w:rPr>
              <w:t xml:space="preserve"> : JAWAHER SWALEH KARAMA TIMIMI</w:t>
            </w:r>
          </w:p>
          <w:p w14:paraId="1DF70743" w14:textId="77777777" w:rsidR="008F6DEA" w:rsidRPr="005103C6" w:rsidRDefault="008F6DEA" w:rsidP="00AD41F5">
            <w:pPr>
              <w:jc w:val="center"/>
              <w:rPr>
                <w:rFonts w:ascii="Arial" w:hAnsi="Arial" w:cs="Arial"/>
                <w:b/>
              </w:rPr>
            </w:pPr>
          </w:p>
          <w:p w14:paraId="28DE5CD3" w14:textId="77777777" w:rsidR="008F6DEA" w:rsidRPr="005103C6" w:rsidRDefault="008F6DEA" w:rsidP="00AD41F5">
            <w:pPr>
              <w:jc w:val="center"/>
              <w:rPr>
                <w:rFonts w:ascii="Arial" w:hAnsi="Arial" w:cs="Arial"/>
                <w:b/>
              </w:rPr>
            </w:pPr>
          </w:p>
          <w:p w14:paraId="759BC911" w14:textId="77777777" w:rsidR="008F6DEA" w:rsidRPr="005103C6" w:rsidRDefault="008F6DEA" w:rsidP="00AD41F5">
            <w:pPr>
              <w:jc w:val="center"/>
              <w:rPr>
                <w:rFonts w:ascii="Arial" w:hAnsi="Arial" w:cs="Arial"/>
                <w:b/>
              </w:rPr>
            </w:pPr>
          </w:p>
          <w:p w14:paraId="747D76C7" w14:textId="77777777" w:rsidR="008F6DEA" w:rsidRPr="005103C6" w:rsidRDefault="008F6DEA" w:rsidP="00AD41F5">
            <w:pPr>
              <w:jc w:val="center"/>
              <w:rPr>
                <w:rFonts w:ascii="Arial" w:hAnsi="Arial" w:cs="Arial"/>
                <w:b/>
              </w:rPr>
            </w:pPr>
          </w:p>
          <w:p w14:paraId="0C4295D3" w14:textId="77777777" w:rsidR="008F6DEA" w:rsidRPr="005103C6" w:rsidRDefault="008F6DEA" w:rsidP="00AD41F5">
            <w:pPr>
              <w:jc w:val="center"/>
              <w:rPr>
                <w:rFonts w:ascii="Arial" w:hAnsi="Arial" w:cs="Arial"/>
                <w:b/>
              </w:rPr>
            </w:pPr>
          </w:p>
          <w:p w14:paraId="717A77EC" w14:textId="77777777" w:rsidR="008F6DEA" w:rsidRPr="005103C6" w:rsidRDefault="008F6DEA" w:rsidP="00AD41F5">
            <w:pPr>
              <w:jc w:val="center"/>
              <w:rPr>
                <w:rFonts w:ascii="Arial" w:hAnsi="Arial" w:cs="Arial"/>
                <w:b/>
              </w:rPr>
            </w:pPr>
          </w:p>
          <w:p w14:paraId="02578263" w14:textId="77777777" w:rsidR="008F6DEA" w:rsidRPr="005103C6" w:rsidRDefault="008F6DEA" w:rsidP="00AD41F5">
            <w:pPr>
              <w:jc w:val="center"/>
              <w:rPr>
                <w:rFonts w:ascii="Arial" w:hAnsi="Arial" w:cs="Arial"/>
                <w:b/>
              </w:rPr>
            </w:pPr>
          </w:p>
          <w:p w14:paraId="7231C7EF" w14:textId="77777777" w:rsidR="008F6DEA" w:rsidRPr="005103C6" w:rsidRDefault="008F6DEA" w:rsidP="00AD41F5">
            <w:pPr>
              <w:jc w:val="center"/>
              <w:rPr>
                <w:rFonts w:ascii="Arial" w:hAnsi="Arial" w:cs="Arial"/>
                <w:b/>
              </w:rPr>
            </w:pPr>
          </w:p>
          <w:p w14:paraId="7AD00FF6" w14:textId="77777777" w:rsidR="008F6DEA" w:rsidRPr="005103C6" w:rsidRDefault="008F6DEA" w:rsidP="00AD41F5">
            <w:pPr>
              <w:jc w:val="center"/>
              <w:rPr>
                <w:rFonts w:ascii="Arial" w:hAnsi="Arial" w:cs="Arial"/>
                <w:b/>
              </w:rPr>
            </w:pPr>
          </w:p>
          <w:p w14:paraId="1B01561E" w14:textId="77777777" w:rsidR="008F6DEA" w:rsidRPr="005103C6" w:rsidRDefault="008F6DEA" w:rsidP="00AD41F5">
            <w:pPr>
              <w:jc w:val="center"/>
              <w:rPr>
                <w:rFonts w:ascii="Arial" w:hAnsi="Arial" w:cs="Arial"/>
                <w:b/>
              </w:rPr>
            </w:pPr>
          </w:p>
          <w:p w14:paraId="1D517938" w14:textId="77777777" w:rsidR="008F6DEA" w:rsidRPr="005103C6" w:rsidRDefault="008F6DEA" w:rsidP="00AD41F5">
            <w:pPr>
              <w:jc w:val="center"/>
              <w:rPr>
                <w:rFonts w:ascii="Arial" w:hAnsi="Arial" w:cs="Arial"/>
                <w:b/>
              </w:rPr>
            </w:pPr>
            <w:r w:rsidRPr="005103C6">
              <w:rPr>
                <w:rFonts w:ascii="Arial" w:hAnsi="Arial" w:cs="Arial"/>
                <w:b/>
              </w:rPr>
              <w:t>MASTER OF BUSINESS ADMINISTRATION</w:t>
            </w:r>
          </w:p>
          <w:p w14:paraId="59A41549" w14:textId="77777777" w:rsidR="008F6DEA" w:rsidRPr="005103C6" w:rsidRDefault="008F6DEA" w:rsidP="00AD41F5">
            <w:pPr>
              <w:jc w:val="center"/>
              <w:rPr>
                <w:rFonts w:ascii="Arial" w:hAnsi="Arial" w:cs="Arial"/>
                <w:b/>
              </w:rPr>
            </w:pPr>
            <w:r w:rsidRPr="005103C6">
              <w:rPr>
                <w:rFonts w:ascii="Arial" w:hAnsi="Arial" w:cs="Arial"/>
                <w:b/>
              </w:rPr>
              <w:t>FACULTY OF BUSINESS, COMMUNICATION &amp; LAW</w:t>
            </w:r>
          </w:p>
          <w:p w14:paraId="06D1775A" w14:textId="77777777" w:rsidR="008F6DEA" w:rsidRPr="005103C6" w:rsidRDefault="008F6DEA" w:rsidP="00AD41F5">
            <w:pPr>
              <w:jc w:val="center"/>
              <w:rPr>
                <w:rFonts w:ascii="Arial" w:hAnsi="Arial" w:cs="Arial"/>
                <w:b/>
              </w:rPr>
            </w:pPr>
            <w:r w:rsidRPr="005103C6">
              <w:rPr>
                <w:rFonts w:ascii="Arial" w:hAnsi="Arial" w:cs="Arial"/>
                <w:b/>
              </w:rPr>
              <w:t>INTI INTERNATIONAL UNIVERSITY</w:t>
            </w:r>
          </w:p>
          <w:p w14:paraId="2CDC6567" w14:textId="77777777" w:rsidR="008F6DEA" w:rsidRPr="005103C6" w:rsidRDefault="008F6DEA" w:rsidP="00AD41F5">
            <w:pPr>
              <w:jc w:val="center"/>
              <w:rPr>
                <w:rFonts w:ascii="Arial" w:hAnsi="Arial" w:cs="Arial"/>
                <w:b/>
              </w:rPr>
            </w:pPr>
          </w:p>
          <w:p w14:paraId="1E2AF29E" w14:textId="77777777" w:rsidR="008F6DEA" w:rsidRPr="005103C6" w:rsidRDefault="008F6DEA" w:rsidP="00AD41F5">
            <w:pPr>
              <w:jc w:val="center"/>
              <w:rPr>
                <w:rFonts w:ascii="Arial" w:hAnsi="Arial" w:cs="Arial"/>
                <w:b/>
              </w:rPr>
            </w:pPr>
          </w:p>
          <w:p w14:paraId="70AA54D6" w14:textId="41AB3189" w:rsidR="008F6DEA" w:rsidRDefault="008F6DEA" w:rsidP="00AD41F5">
            <w:pPr>
              <w:jc w:val="center"/>
              <w:rPr>
                <w:b/>
              </w:rPr>
            </w:pPr>
            <w:r w:rsidRPr="005103C6">
              <w:rPr>
                <w:rFonts w:ascii="Arial" w:hAnsi="Arial" w:cs="Arial"/>
                <w:b/>
              </w:rPr>
              <w:t>YEAR</w:t>
            </w:r>
            <w:r>
              <w:rPr>
                <w:rFonts w:ascii="Arial" w:hAnsi="Arial" w:cs="Arial"/>
                <w:b/>
              </w:rPr>
              <w:t xml:space="preserve"> 2019</w:t>
            </w:r>
          </w:p>
        </w:tc>
      </w:tr>
    </w:tbl>
    <w:p w14:paraId="46801E76" w14:textId="77777777" w:rsidR="00E92220" w:rsidRDefault="00E92220" w:rsidP="00766F99">
      <w:pPr>
        <w:spacing w:line="480" w:lineRule="auto"/>
        <w:jc w:val="both"/>
        <w:rPr>
          <w:rFonts w:asciiTheme="majorBidi" w:hAnsiTheme="majorBidi" w:cstheme="majorBidi"/>
          <w:b/>
          <w:bCs/>
          <w:sz w:val="24"/>
          <w:szCs w:val="24"/>
        </w:rPr>
      </w:pPr>
    </w:p>
    <w:p w14:paraId="74D82DF1"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lastRenderedPageBreak/>
        <w:t xml:space="preserve">INTI INTERNATIONAL UNIVERSITY </w:t>
      </w:r>
    </w:p>
    <w:p w14:paraId="24677542"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UNIVERSITY OF HERTFORDSHIRE </w:t>
      </w:r>
    </w:p>
    <w:p w14:paraId="300A1E73"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MASTER OF BUSINESS ADMINISTRATION </w:t>
      </w:r>
    </w:p>
    <w:p w14:paraId="0F3EE178"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 </w:t>
      </w:r>
    </w:p>
    <w:p w14:paraId="7A5C7B34"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FACTORS AFFECTING BANK FAILURE OF COMMERCIAL BANKS LISTED AT THE NAIROBI SECURITIES EXCHANGE THROUGH LOAN LOSS PROVISION</w:t>
      </w:r>
    </w:p>
    <w:p w14:paraId="48EF6616"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 </w:t>
      </w:r>
    </w:p>
    <w:p w14:paraId="232C3EEC"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 </w:t>
      </w:r>
    </w:p>
    <w:p w14:paraId="7376B0E8"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Author: Jawaher Swaleh Karama Timimi</w:t>
      </w:r>
    </w:p>
    <w:p w14:paraId="2B6DB7EF"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 </w:t>
      </w:r>
    </w:p>
    <w:p w14:paraId="2B3604D9"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Student Number: I19016468</w:t>
      </w:r>
    </w:p>
    <w:p w14:paraId="5264B513"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 </w:t>
      </w:r>
    </w:p>
    <w:p w14:paraId="7C83753D"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Supervisor: Dr. Babak Naysary </w:t>
      </w:r>
    </w:p>
    <w:p w14:paraId="5A358F1C"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 </w:t>
      </w:r>
    </w:p>
    <w:p w14:paraId="53BFF904" w14:textId="29D7EB19"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Submission Date: </w:t>
      </w:r>
      <w:r w:rsidR="00BC67D3" w:rsidRPr="0099142A">
        <w:rPr>
          <w:rFonts w:ascii="Arial" w:hAnsi="Arial" w:cs="Arial"/>
          <w:b/>
          <w:bCs/>
          <w:sz w:val="24"/>
          <w:szCs w:val="24"/>
        </w:rPr>
        <w:t>18</w:t>
      </w:r>
      <w:r w:rsidRPr="0099142A">
        <w:rPr>
          <w:rFonts w:ascii="Arial" w:hAnsi="Arial" w:cs="Arial"/>
          <w:b/>
          <w:bCs/>
          <w:sz w:val="24"/>
          <w:szCs w:val="24"/>
          <w:vertAlign w:val="superscript"/>
        </w:rPr>
        <w:t xml:space="preserve">th </w:t>
      </w:r>
      <w:r w:rsidRPr="0099142A">
        <w:rPr>
          <w:rFonts w:ascii="Arial" w:hAnsi="Arial" w:cs="Arial"/>
          <w:b/>
          <w:bCs/>
          <w:sz w:val="24"/>
          <w:szCs w:val="24"/>
        </w:rPr>
        <w:t xml:space="preserve">December 2019 </w:t>
      </w:r>
    </w:p>
    <w:p w14:paraId="06C0F21D" w14:textId="77777777"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 </w:t>
      </w:r>
    </w:p>
    <w:p w14:paraId="3314E5FA" w14:textId="71E2333A" w:rsidR="00E92220" w:rsidRPr="0099142A" w:rsidRDefault="00E92220" w:rsidP="00E92220">
      <w:pPr>
        <w:spacing w:line="480" w:lineRule="auto"/>
        <w:jc w:val="center"/>
        <w:rPr>
          <w:rFonts w:ascii="Arial" w:hAnsi="Arial" w:cs="Arial"/>
          <w:b/>
          <w:bCs/>
          <w:sz w:val="24"/>
          <w:szCs w:val="24"/>
        </w:rPr>
      </w:pPr>
      <w:r w:rsidRPr="0099142A">
        <w:rPr>
          <w:rFonts w:ascii="Arial" w:hAnsi="Arial" w:cs="Arial"/>
          <w:b/>
          <w:bCs/>
          <w:sz w:val="24"/>
          <w:szCs w:val="24"/>
        </w:rPr>
        <w:t xml:space="preserve">Final Word Count: </w:t>
      </w:r>
      <w:r w:rsidR="0060759B" w:rsidRPr="0099142A">
        <w:rPr>
          <w:rFonts w:ascii="Arial" w:hAnsi="Arial" w:cs="Arial"/>
          <w:b/>
          <w:bCs/>
          <w:sz w:val="24"/>
          <w:szCs w:val="24"/>
        </w:rPr>
        <w:t>14,660</w:t>
      </w:r>
    </w:p>
    <w:p w14:paraId="509D0262" w14:textId="77777777" w:rsidR="00E92220" w:rsidRDefault="00E92220" w:rsidP="00766F99">
      <w:pPr>
        <w:spacing w:line="480" w:lineRule="auto"/>
        <w:jc w:val="both"/>
        <w:rPr>
          <w:rFonts w:asciiTheme="majorBidi" w:hAnsiTheme="majorBidi" w:cstheme="majorBidi"/>
          <w:b/>
          <w:bCs/>
          <w:sz w:val="24"/>
          <w:szCs w:val="24"/>
        </w:rPr>
      </w:pPr>
    </w:p>
    <w:p w14:paraId="3D0D050B" w14:textId="77777777" w:rsidR="00E92220" w:rsidRDefault="00E92220" w:rsidP="00766F99">
      <w:pPr>
        <w:spacing w:line="480" w:lineRule="auto"/>
        <w:jc w:val="both"/>
        <w:rPr>
          <w:rFonts w:asciiTheme="majorBidi" w:hAnsiTheme="majorBidi" w:cstheme="majorBidi"/>
          <w:b/>
          <w:bCs/>
          <w:sz w:val="24"/>
          <w:szCs w:val="24"/>
        </w:rPr>
      </w:pPr>
    </w:p>
    <w:p w14:paraId="4AD7A965" w14:textId="378752DC" w:rsidR="00E92220" w:rsidRDefault="00E92220" w:rsidP="00766F99">
      <w:pPr>
        <w:spacing w:line="480" w:lineRule="auto"/>
        <w:jc w:val="both"/>
        <w:rPr>
          <w:rFonts w:asciiTheme="majorBidi" w:hAnsiTheme="majorBidi" w:cstheme="majorBidi"/>
          <w:b/>
          <w:bCs/>
          <w:sz w:val="24"/>
          <w:szCs w:val="24"/>
        </w:rPr>
        <w:sectPr w:rsidR="00E92220" w:rsidSect="00157BDF">
          <w:pgSz w:w="11906" w:h="16838"/>
          <w:pgMar w:top="1134" w:right="1418" w:bottom="1985" w:left="1985" w:header="708" w:footer="708" w:gutter="0"/>
          <w:pgNumType w:start="1"/>
          <w:cols w:space="708"/>
          <w:docGrid w:linePitch="360"/>
        </w:sectPr>
      </w:pPr>
    </w:p>
    <w:p w14:paraId="298427F8" w14:textId="77777777" w:rsidR="00FD6D13" w:rsidRPr="00B35E07" w:rsidRDefault="00FD6D13" w:rsidP="00E92220">
      <w:pPr>
        <w:spacing w:line="480" w:lineRule="auto"/>
        <w:rPr>
          <w:rFonts w:ascii="Arial" w:hAnsi="Arial" w:cs="Arial"/>
          <w:b/>
          <w:bCs/>
          <w:sz w:val="24"/>
          <w:szCs w:val="24"/>
        </w:rPr>
      </w:pPr>
    </w:p>
    <w:p w14:paraId="404AA344" w14:textId="4999BA12" w:rsidR="002907DA" w:rsidRPr="00B35E07" w:rsidRDefault="00FA4535" w:rsidP="00FA4535">
      <w:pPr>
        <w:spacing w:line="480" w:lineRule="auto"/>
        <w:jc w:val="center"/>
        <w:rPr>
          <w:rFonts w:ascii="Arial" w:hAnsi="Arial" w:cs="Arial"/>
          <w:b/>
          <w:bCs/>
          <w:sz w:val="24"/>
          <w:szCs w:val="24"/>
        </w:rPr>
      </w:pPr>
      <w:r w:rsidRPr="00B35E07">
        <w:rPr>
          <w:rFonts w:ascii="Arial" w:hAnsi="Arial" w:cs="Arial"/>
          <w:b/>
          <w:bCs/>
          <w:sz w:val="24"/>
          <w:szCs w:val="24"/>
        </w:rPr>
        <w:t>DECLARATION</w:t>
      </w:r>
    </w:p>
    <w:p w14:paraId="362E7C29" w14:textId="77777777" w:rsidR="00FA4535" w:rsidRPr="00B35E07" w:rsidRDefault="00FA4535" w:rsidP="00766F99">
      <w:pPr>
        <w:spacing w:line="480" w:lineRule="auto"/>
        <w:jc w:val="both"/>
        <w:rPr>
          <w:rFonts w:ascii="Arial" w:hAnsi="Arial" w:cs="Arial"/>
          <w:b/>
          <w:bCs/>
          <w:sz w:val="24"/>
          <w:szCs w:val="24"/>
        </w:rPr>
      </w:pPr>
    </w:p>
    <w:p w14:paraId="7A537229" w14:textId="77777777" w:rsidR="00FA4535" w:rsidRPr="00B35E07" w:rsidRDefault="00FA4535" w:rsidP="00FA4535">
      <w:pPr>
        <w:spacing w:line="480" w:lineRule="auto"/>
        <w:jc w:val="both"/>
        <w:rPr>
          <w:rFonts w:ascii="Arial" w:hAnsi="Arial" w:cs="Arial"/>
          <w:sz w:val="24"/>
          <w:szCs w:val="24"/>
        </w:rPr>
      </w:pPr>
      <w:r w:rsidRPr="00B35E07">
        <w:rPr>
          <w:rFonts w:ascii="Arial" w:hAnsi="Arial" w:cs="Arial"/>
          <w:sz w:val="24"/>
          <w:szCs w:val="24"/>
        </w:rPr>
        <w:t xml:space="preserve">I hereby declare that this thesis is my own work and effort and that it has not been submitted anywhere for any award. Where other sources of information have been used, they have been duly acknowledged.  </w:t>
      </w:r>
    </w:p>
    <w:p w14:paraId="6E4F87FA" w14:textId="77777777" w:rsidR="00FA4535" w:rsidRPr="00B35E07" w:rsidRDefault="00FA4535" w:rsidP="00FA4535">
      <w:pPr>
        <w:spacing w:line="480" w:lineRule="auto"/>
        <w:jc w:val="both"/>
        <w:rPr>
          <w:rFonts w:ascii="Arial" w:hAnsi="Arial" w:cs="Arial"/>
          <w:b/>
          <w:bCs/>
          <w:sz w:val="24"/>
          <w:szCs w:val="24"/>
        </w:rPr>
      </w:pPr>
      <w:r w:rsidRPr="00B35E07">
        <w:rPr>
          <w:rFonts w:ascii="Arial" w:hAnsi="Arial" w:cs="Arial"/>
          <w:b/>
          <w:bCs/>
          <w:sz w:val="24"/>
          <w:szCs w:val="24"/>
        </w:rPr>
        <w:t xml:space="preserve"> </w:t>
      </w:r>
    </w:p>
    <w:p w14:paraId="7C207009" w14:textId="2836D3EC" w:rsidR="00FA4535" w:rsidRPr="00B35E07" w:rsidRDefault="00FA4535" w:rsidP="00FA4535">
      <w:pPr>
        <w:spacing w:line="480" w:lineRule="auto"/>
        <w:jc w:val="both"/>
        <w:rPr>
          <w:rFonts w:ascii="Arial" w:hAnsi="Arial" w:cs="Arial"/>
          <w:sz w:val="24"/>
          <w:szCs w:val="24"/>
        </w:rPr>
      </w:pPr>
      <w:r w:rsidRPr="00B35E07">
        <w:rPr>
          <w:rFonts w:ascii="Arial" w:hAnsi="Arial" w:cs="Arial"/>
          <w:sz w:val="24"/>
          <w:szCs w:val="24"/>
        </w:rPr>
        <w:t xml:space="preserve">Name    </w:t>
      </w:r>
      <w:r w:rsidRPr="00B35E07">
        <w:rPr>
          <w:rFonts w:ascii="Arial" w:hAnsi="Arial" w:cs="Arial"/>
          <w:sz w:val="24"/>
          <w:szCs w:val="24"/>
        </w:rPr>
        <w:tab/>
        <w:t xml:space="preserve"> </w:t>
      </w:r>
      <w:r w:rsidRPr="00B35E07">
        <w:rPr>
          <w:rFonts w:ascii="Arial" w:hAnsi="Arial" w:cs="Arial"/>
          <w:sz w:val="24"/>
          <w:szCs w:val="24"/>
        </w:rPr>
        <w:tab/>
      </w:r>
      <w:r w:rsidR="004114A5" w:rsidRPr="00B35E07">
        <w:rPr>
          <w:rFonts w:ascii="Arial" w:hAnsi="Arial" w:cs="Arial"/>
          <w:sz w:val="24"/>
          <w:szCs w:val="24"/>
        </w:rPr>
        <w:tab/>
        <w:t>: Jawaher Swaleh Karama Timimi</w:t>
      </w:r>
    </w:p>
    <w:p w14:paraId="6A70EC8A" w14:textId="77777777" w:rsidR="00366012" w:rsidRPr="00B35E07" w:rsidRDefault="00FA4535" w:rsidP="00366012">
      <w:pPr>
        <w:spacing w:line="480" w:lineRule="auto"/>
        <w:jc w:val="both"/>
        <w:rPr>
          <w:rFonts w:ascii="Arial" w:hAnsi="Arial" w:cs="Arial"/>
          <w:sz w:val="24"/>
          <w:szCs w:val="24"/>
        </w:rPr>
      </w:pPr>
      <w:r w:rsidRPr="00B35E07">
        <w:rPr>
          <w:rFonts w:ascii="Arial" w:hAnsi="Arial" w:cs="Arial"/>
          <w:sz w:val="24"/>
          <w:szCs w:val="24"/>
        </w:rPr>
        <w:t xml:space="preserve">Student ID Number </w:t>
      </w:r>
      <w:r w:rsidRPr="00B35E07">
        <w:rPr>
          <w:rFonts w:ascii="Arial" w:hAnsi="Arial" w:cs="Arial"/>
          <w:sz w:val="24"/>
          <w:szCs w:val="24"/>
        </w:rPr>
        <w:tab/>
        <w:t xml:space="preserve"> </w:t>
      </w:r>
      <w:r w:rsidR="004114A5" w:rsidRPr="00B35E07">
        <w:rPr>
          <w:rFonts w:ascii="Arial" w:hAnsi="Arial" w:cs="Arial"/>
          <w:sz w:val="24"/>
          <w:szCs w:val="24"/>
        </w:rPr>
        <w:tab/>
        <w:t>: I19016468</w:t>
      </w:r>
    </w:p>
    <w:p w14:paraId="09D2ABC6" w14:textId="785C87B1" w:rsidR="00FA4535" w:rsidRPr="00B35E07" w:rsidRDefault="00FA4535" w:rsidP="00366012">
      <w:pPr>
        <w:spacing w:line="480" w:lineRule="auto"/>
        <w:jc w:val="both"/>
        <w:rPr>
          <w:rFonts w:ascii="Arial" w:hAnsi="Arial" w:cs="Arial"/>
          <w:sz w:val="24"/>
          <w:szCs w:val="24"/>
        </w:rPr>
      </w:pPr>
      <w:r w:rsidRPr="00B35E07">
        <w:rPr>
          <w:rFonts w:ascii="Arial" w:hAnsi="Arial" w:cs="Arial"/>
          <w:sz w:val="24"/>
          <w:szCs w:val="24"/>
        </w:rPr>
        <w:t xml:space="preserve">Signature   </w:t>
      </w:r>
      <w:r w:rsidR="004114A5" w:rsidRPr="00B35E07">
        <w:rPr>
          <w:rFonts w:ascii="Arial" w:hAnsi="Arial" w:cs="Arial"/>
          <w:sz w:val="24"/>
          <w:szCs w:val="24"/>
        </w:rPr>
        <w:tab/>
      </w:r>
      <w:r w:rsidR="004114A5" w:rsidRPr="00B35E07">
        <w:rPr>
          <w:rFonts w:ascii="Arial" w:hAnsi="Arial" w:cs="Arial"/>
          <w:sz w:val="24"/>
          <w:szCs w:val="24"/>
        </w:rPr>
        <w:tab/>
      </w:r>
      <w:r w:rsidR="004114A5" w:rsidRPr="00B35E07">
        <w:rPr>
          <w:rFonts w:ascii="Arial" w:hAnsi="Arial" w:cs="Arial"/>
          <w:sz w:val="24"/>
          <w:szCs w:val="24"/>
        </w:rPr>
        <w:tab/>
      </w:r>
      <w:r w:rsidR="00366012" w:rsidRPr="00B35E07">
        <w:rPr>
          <w:rFonts w:ascii="Arial" w:hAnsi="Arial" w:cs="Arial"/>
          <w:sz w:val="24"/>
          <w:szCs w:val="24"/>
        </w:rPr>
        <w:t>:</w:t>
      </w:r>
      <w:r w:rsidR="0060759B" w:rsidRPr="00B35E07">
        <w:rPr>
          <w:rFonts w:ascii="Arial" w:hAnsi="Arial" w:cs="Arial"/>
          <w:sz w:val="24"/>
          <w:szCs w:val="24"/>
        </w:rPr>
        <w:t xml:space="preserve"> </w:t>
      </w:r>
      <w:r w:rsidR="00366012" w:rsidRPr="00B35E07">
        <w:rPr>
          <w:rFonts w:ascii="Arial" w:hAnsi="Arial" w:cs="Arial"/>
          <w:noProof/>
          <w:sz w:val="24"/>
          <w:szCs w:val="24"/>
        </w:rPr>
        <w:drawing>
          <wp:inline distT="0" distB="0" distL="0" distR="0" wp14:anchorId="51D0EF8A" wp14:editId="27E141D6">
            <wp:extent cx="546100" cy="531239"/>
            <wp:effectExtent l="0" t="0" r="635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g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9145" cy="563385"/>
                    </a:xfrm>
                    <a:prstGeom prst="rect">
                      <a:avLst/>
                    </a:prstGeom>
                  </pic:spPr>
                </pic:pic>
              </a:graphicData>
            </a:graphic>
          </wp:inline>
        </w:drawing>
      </w:r>
    </w:p>
    <w:p w14:paraId="0F88A7B3" w14:textId="0A3EAA73" w:rsidR="002907DA" w:rsidRPr="00B35E07" w:rsidRDefault="00FA4535" w:rsidP="00FA4535">
      <w:pPr>
        <w:spacing w:line="480" w:lineRule="auto"/>
        <w:jc w:val="both"/>
        <w:rPr>
          <w:rFonts w:ascii="Arial" w:hAnsi="Arial" w:cs="Arial"/>
          <w:sz w:val="24"/>
          <w:szCs w:val="24"/>
        </w:rPr>
      </w:pPr>
      <w:r w:rsidRPr="00B35E07">
        <w:rPr>
          <w:rFonts w:ascii="Arial" w:hAnsi="Arial" w:cs="Arial"/>
          <w:sz w:val="24"/>
          <w:szCs w:val="24"/>
        </w:rPr>
        <w:t xml:space="preserve">Date    </w:t>
      </w:r>
      <w:r w:rsidR="004114A5" w:rsidRPr="00B35E07">
        <w:rPr>
          <w:rFonts w:ascii="Arial" w:hAnsi="Arial" w:cs="Arial"/>
          <w:sz w:val="24"/>
          <w:szCs w:val="24"/>
        </w:rPr>
        <w:tab/>
      </w:r>
      <w:r w:rsidR="004114A5" w:rsidRPr="00B35E07">
        <w:rPr>
          <w:rFonts w:ascii="Arial" w:hAnsi="Arial" w:cs="Arial"/>
          <w:sz w:val="24"/>
          <w:szCs w:val="24"/>
        </w:rPr>
        <w:tab/>
      </w:r>
      <w:r w:rsidR="004114A5" w:rsidRPr="00B35E07">
        <w:rPr>
          <w:rFonts w:ascii="Arial" w:hAnsi="Arial" w:cs="Arial"/>
          <w:sz w:val="24"/>
          <w:szCs w:val="24"/>
        </w:rPr>
        <w:tab/>
      </w:r>
      <w:bookmarkStart w:id="0" w:name="_GoBack"/>
      <w:bookmarkEnd w:id="0"/>
      <w:r w:rsidR="004114A5" w:rsidRPr="00B35E07">
        <w:rPr>
          <w:rFonts w:ascii="Arial" w:hAnsi="Arial" w:cs="Arial"/>
          <w:sz w:val="24"/>
          <w:szCs w:val="24"/>
        </w:rPr>
        <w:t xml:space="preserve">: </w:t>
      </w:r>
      <w:r w:rsidR="00366012" w:rsidRPr="00B35E07">
        <w:rPr>
          <w:rFonts w:ascii="Arial" w:hAnsi="Arial" w:cs="Arial"/>
          <w:sz w:val="24"/>
          <w:szCs w:val="24"/>
        </w:rPr>
        <w:t>18</w:t>
      </w:r>
      <w:r w:rsidR="004114A5" w:rsidRPr="00B35E07">
        <w:rPr>
          <w:rFonts w:ascii="Arial" w:hAnsi="Arial" w:cs="Arial"/>
          <w:sz w:val="24"/>
          <w:szCs w:val="24"/>
          <w:vertAlign w:val="superscript"/>
        </w:rPr>
        <w:t>th</w:t>
      </w:r>
      <w:r w:rsidR="004114A5" w:rsidRPr="00B35E07">
        <w:rPr>
          <w:rFonts w:ascii="Arial" w:hAnsi="Arial" w:cs="Arial"/>
          <w:sz w:val="24"/>
          <w:szCs w:val="24"/>
        </w:rPr>
        <w:t xml:space="preserve"> December 2019</w:t>
      </w:r>
    </w:p>
    <w:p w14:paraId="03832439" w14:textId="59114C43" w:rsidR="002907DA" w:rsidRDefault="002907DA" w:rsidP="00766F99">
      <w:pPr>
        <w:spacing w:line="480" w:lineRule="auto"/>
        <w:jc w:val="both"/>
        <w:rPr>
          <w:rFonts w:asciiTheme="majorBidi" w:hAnsiTheme="majorBidi" w:cstheme="majorBidi"/>
          <w:b/>
          <w:bCs/>
          <w:sz w:val="24"/>
          <w:szCs w:val="24"/>
        </w:rPr>
      </w:pPr>
    </w:p>
    <w:p w14:paraId="07A790F7" w14:textId="4271196A" w:rsidR="002907DA" w:rsidRDefault="002907DA" w:rsidP="00766F99">
      <w:pPr>
        <w:spacing w:line="480" w:lineRule="auto"/>
        <w:jc w:val="both"/>
        <w:rPr>
          <w:rFonts w:asciiTheme="majorBidi" w:hAnsiTheme="majorBidi" w:cstheme="majorBidi"/>
          <w:b/>
          <w:bCs/>
          <w:sz w:val="24"/>
          <w:szCs w:val="24"/>
        </w:rPr>
      </w:pPr>
    </w:p>
    <w:p w14:paraId="07E8CE81" w14:textId="0946D9EC" w:rsidR="002907DA" w:rsidRDefault="002907DA" w:rsidP="00766F99">
      <w:pPr>
        <w:spacing w:line="480" w:lineRule="auto"/>
        <w:jc w:val="both"/>
        <w:rPr>
          <w:rFonts w:asciiTheme="majorBidi" w:hAnsiTheme="majorBidi" w:cstheme="majorBidi"/>
          <w:b/>
          <w:bCs/>
          <w:sz w:val="24"/>
          <w:szCs w:val="24"/>
        </w:rPr>
      </w:pPr>
    </w:p>
    <w:p w14:paraId="7E22E8E7" w14:textId="1C4DF2A3" w:rsidR="002907DA" w:rsidRDefault="002907DA" w:rsidP="00766F99">
      <w:pPr>
        <w:spacing w:line="480" w:lineRule="auto"/>
        <w:jc w:val="both"/>
        <w:rPr>
          <w:rFonts w:asciiTheme="majorBidi" w:hAnsiTheme="majorBidi" w:cstheme="majorBidi"/>
          <w:b/>
          <w:bCs/>
          <w:sz w:val="24"/>
          <w:szCs w:val="24"/>
        </w:rPr>
      </w:pPr>
    </w:p>
    <w:p w14:paraId="75620F7C" w14:textId="4DF8F1B2" w:rsidR="002907DA" w:rsidRDefault="002907DA" w:rsidP="00766F99">
      <w:pPr>
        <w:spacing w:line="480" w:lineRule="auto"/>
        <w:jc w:val="both"/>
        <w:rPr>
          <w:rFonts w:asciiTheme="majorBidi" w:hAnsiTheme="majorBidi" w:cstheme="majorBidi"/>
          <w:b/>
          <w:bCs/>
          <w:sz w:val="24"/>
          <w:szCs w:val="24"/>
        </w:rPr>
      </w:pPr>
    </w:p>
    <w:p w14:paraId="625D17FF" w14:textId="286E85C7" w:rsidR="002907DA" w:rsidRDefault="002907DA" w:rsidP="00766F99">
      <w:pPr>
        <w:spacing w:line="480" w:lineRule="auto"/>
        <w:jc w:val="both"/>
        <w:rPr>
          <w:rFonts w:asciiTheme="majorBidi" w:hAnsiTheme="majorBidi" w:cstheme="majorBidi"/>
          <w:b/>
          <w:bCs/>
          <w:sz w:val="24"/>
          <w:szCs w:val="24"/>
        </w:rPr>
      </w:pPr>
    </w:p>
    <w:p w14:paraId="330EEB9A" w14:textId="5107BC3E" w:rsidR="002907DA" w:rsidRPr="004B4B1E" w:rsidRDefault="002907DA" w:rsidP="004B4B1E">
      <w:pPr>
        <w:rPr>
          <w:rFonts w:asciiTheme="majorBidi" w:hAnsiTheme="majorBidi" w:cstheme="majorBidi"/>
          <w:sz w:val="24"/>
          <w:szCs w:val="24"/>
        </w:rPr>
      </w:pPr>
    </w:p>
    <w:p w14:paraId="6BF8BDBF" w14:textId="40942719" w:rsidR="002907DA" w:rsidRDefault="002907DA" w:rsidP="00766F99">
      <w:pPr>
        <w:spacing w:line="480" w:lineRule="auto"/>
        <w:jc w:val="both"/>
        <w:rPr>
          <w:rFonts w:asciiTheme="majorBidi" w:hAnsiTheme="majorBidi" w:cstheme="majorBidi"/>
          <w:b/>
          <w:bCs/>
          <w:sz w:val="24"/>
          <w:szCs w:val="24"/>
        </w:rPr>
      </w:pPr>
    </w:p>
    <w:p w14:paraId="1F19AE77" w14:textId="77777777" w:rsidR="0099015D" w:rsidRPr="00B35E07" w:rsidRDefault="0099015D" w:rsidP="0099015D">
      <w:pPr>
        <w:jc w:val="center"/>
        <w:rPr>
          <w:rFonts w:ascii="Arial" w:hAnsi="Arial" w:cs="Arial"/>
          <w:b/>
          <w:bCs/>
          <w:sz w:val="24"/>
          <w:szCs w:val="24"/>
          <w:lang w:val="en-GB"/>
        </w:rPr>
      </w:pPr>
      <w:r w:rsidRPr="00B35E07">
        <w:rPr>
          <w:rFonts w:ascii="Arial" w:hAnsi="Arial" w:cs="Arial"/>
          <w:b/>
          <w:bCs/>
          <w:sz w:val="24"/>
          <w:szCs w:val="24"/>
          <w:lang w:val="en-GB"/>
        </w:rPr>
        <w:lastRenderedPageBreak/>
        <w:t>ACKNOWLEDGEMENTS</w:t>
      </w:r>
    </w:p>
    <w:p w14:paraId="3746DE8D" w14:textId="172E6D07" w:rsidR="0099015D" w:rsidRPr="00B35E07" w:rsidRDefault="0099015D" w:rsidP="0099015D">
      <w:pPr>
        <w:ind w:firstLine="720"/>
        <w:jc w:val="both"/>
        <w:rPr>
          <w:rFonts w:ascii="Arial" w:hAnsi="Arial" w:cs="Arial"/>
          <w:sz w:val="24"/>
          <w:szCs w:val="24"/>
          <w:lang w:val="en-GB"/>
        </w:rPr>
      </w:pPr>
      <w:r w:rsidRPr="00B35E07">
        <w:rPr>
          <w:rFonts w:ascii="Arial" w:hAnsi="Arial" w:cs="Arial"/>
          <w:sz w:val="24"/>
          <w:szCs w:val="24"/>
          <w:lang w:val="en-GB"/>
        </w:rPr>
        <w:t>To begin with, I would like to take this opportunity with complete commitment and sincerity to thank my esteemed supervisor and show my gratitude towards Dr. Babak Naysary for h</w:t>
      </w:r>
      <w:r w:rsidR="0027211A" w:rsidRPr="00B35E07">
        <w:rPr>
          <w:rFonts w:ascii="Arial" w:hAnsi="Arial" w:cs="Arial"/>
          <w:sz w:val="24"/>
          <w:szCs w:val="24"/>
          <w:lang w:val="en-GB"/>
        </w:rPr>
        <w:t>is</w:t>
      </w:r>
      <w:r w:rsidRPr="00B35E07">
        <w:rPr>
          <w:rFonts w:ascii="Arial" w:hAnsi="Arial" w:cs="Arial"/>
          <w:sz w:val="24"/>
          <w:szCs w:val="24"/>
          <w:lang w:val="en-GB"/>
        </w:rPr>
        <w:t xml:space="preserve"> support and guidance throughout my beginning journey of my research paper work until the very last minute. He has been persistently devoted his effort and time for guiding me throughout the right path and writing of my thesis. Special gratitude and thanks to Dr. Rashedul Hassan for his insightful comments towards the enhancement of this project. He has presented me with guidance and insights for fulfilling and attaining this research.</w:t>
      </w:r>
    </w:p>
    <w:p w14:paraId="34D4A077" w14:textId="1E408052" w:rsidR="0099015D" w:rsidRPr="00B35E07" w:rsidRDefault="00AD41F5" w:rsidP="0099015D">
      <w:pPr>
        <w:ind w:firstLine="720"/>
        <w:jc w:val="both"/>
        <w:rPr>
          <w:rFonts w:ascii="Arial" w:hAnsi="Arial" w:cs="Arial"/>
          <w:sz w:val="24"/>
          <w:szCs w:val="24"/>
          <w:lang w:val="en-GB"/>
        </w:rPr>
      </w:pPr>
      <w:r w:rsidRPr="00B35E07">
        <w:rPr>
          <w:rFonts w:ascii="Arial" w:hAnsi="Arial" w:cs="Arial"/>
          <w:sz w:val="24"/>
          <w:szCs w:val="24"/>
          <w:lang w:val="en-GB"/>
        </w:rPr>
        <w:t>Moreover</w:t>
      </w:r>
      <w:r w:rsidR="0099015D" w:rsidRPr="00B35E07">
        <w:rPr>
          <w:rFonts w:ascii="Arial" w:hAnsi="Arial" w:cs="Arial"/>
          <w:sz w:val="24"/>
          <w:szCs w:val="24"/>
          <w:lang w:val="en-GB"/>
        </w:rPr>
        <w:t>, I would like to humbly thank the management, lecturers and staffs of Faculty of Business, Communication and Law of INTI International University for their assistance and support in my entire period.</w:t>
      </w:r>
    </w:p>
    <w:p w14:paraId="5C1CB584" w14:textId="77777777" w:rsidR="0099015D" w:rsidRPr="00B35E07" w:rsidRDefault="0099015D" w:rsidP="0099015D">
      <w:pPr>
        <w:ind w:firstLine="720"/>
        <w:jc w:val="both"/>
        <w:rPr>
          <w:rFonts w:ascii="Arial" w:hAnsi="Arial" w:cs="Arial"/>
          <w:sz w:val="24"/>
          <w:szCs w:val="24"/>
          <w:lang w:val="en-GB"/>
        </w:rPr>
      </w:pPr>
      <w:r w:rsidRPr="00B35E07">
        <w:rPr>
          <w:rFonts w:ascii="Arial" w:hAnsi="Arial" w:cs="Arial"/>
          <w:sz w:val="24"/>
          <w:szCs w:val="24"/>
          <w:lang w:val="en-GB"/>
        </w:rPr>
        <w:t>Last but not least, I am thankful and appreciative to my family and friends that were there for me throughout my journey of success, to inspire, motivate and encourage me to continuously learn and grow.</w:t>
      </w:r>
    </w:p>
    <w:p w14:paraId="546C834F" w14:textId="34A0C25A" w:rsidR="0099015D" w:rsidRDefault="0099015D" w:rsidP="0099015D">
      <w:pPr>
        <w:rPr>
          <w:rFonts w:ascii="Times New Roman" w:hAnsi="Times New Roman" w:cs="Times New Roman"/>
          <w:b/>
          <w:bCs/>
          <w:sz w:val="24"/>
          <w:szCs w:val="24"/>
          <w:lang w:val="en-GB"/>
        </w:rPr>
      </w:pPr>
    </w:p>
    <w:p w14:paraId="164CC021" w14:textId="197365C4" w:rsidR="0099015D" w:rsidRDefault="0099015D" w:rsidP="0099015D">
      <w:pPr>
        <w:rPr>
          <w:rFonts w:ascii="Times New Roman" w:hAnsi="Times New Roman" w:cs="Times New Roman"/>
          <w:b/>
          <w:bCs/>
          <w:sz w:val="24"/>
          <w:szCs w:val="24"/>
          <w:lang w:val="en-GB"/>
        </w:rPr>
      </w:pPr>
    </w:p>
    <w:p w14:paraId="7B13D762" w14:textId="433AB9DF" w:rsidR="0099015D" w:rsidRDefault="0099015D" w:rsidP="0099015D">
      <w:pPr>
        <w:rPr>
          <w:rFonts w:ascii="Times New Roman" w:hAnsi="Times New Roman" w:cs="Times New Roman"/>
          <w:b/>
          <w:bCs/>
          <w:sz w:val="24"/>
          <w:szCs w:val="24"/>
          <w:lang w:val="en-GB"/>
        </w:rPr>
      </w:pPr>
    </w:p>
    <w:p w14:paraId="3EF96FD0" w14:textId="02434333" w:rsidR="0099015D" w:rsidRDefault="0099015D" w:rsidP="0099015D">
      <w:pPr>
        <w:rPr>
          <w:rFonts w:ascii="Times New Roman" w:hAnsi="Times New Roman" w:cs="Times New Roman"/>
          <w:b/>
          <w:bCs/>
          <w:sz w:val="24"/>
          <w:szCs w:val="24"/>
          <w:lang w:val="en-GB"/>
        </w:rPr>
      </w:pPr>
    </w:p>
    <w:p w14:paraId="6975BDB0" w14:textId="64FAF1B0" w:rsidR="0099015D" w:rsidRDefault="0099015D" w:rsidP="0099015D">
      <w:pPr>
        <w:rPr>
          <w:rFonts w:ascii="Times New Roman" w:hAnsi="Times New Roman" w:cs="Times New Roman"/>
          <w:b/>
          <w:bCs/>
          <w:sz w:val="24"/>
          <w:szCs w:val="24"/>
          <w:lang w:val="en-GB"/>
        </w:rPr>
      </w:pPr>
    </w:p>
    <w:p w14:paraId="0A16DB3C" w14:textId="29E54EA9" w:rsidR="0099015D" w:rsidRDefault="0099015D" w:rsidP="0099015D">
      <w:pPr>
        <w:rPr>
          <w:rFonts w:ascii="Times New Roman" w:hAnsi="Times New Roman" w:cs="Times New Roman"/>
          <w:b/>
          <w:bCs/>
          <w:sz w:val="24"/>
          <w:szCs w:val="24"/>
          <w:lang w:val="en-GB"/>
        </w:rPr>
      </w:pPr>
    </w:p>
    <w:p w14:paraId="5D077645" w14:textId="02511CD9" w:rsidR="0099015D" w:rsidRDefault="0099015D" w:rsidP="0099015D">
      <w:pPr>
        <w:rPr>
          <w:rFonts w:ascii="Times New Roman" w:hAnsi="Times New Roman" w:cs="Times New Roman"/>
          <w:b/>
          <w:bCs/>
          <w:sz w:val="24"/>
          <w:szCs w:val="24"/>
          <w:lang w:val="en-GB"/>
        </w:rPr>
      </w:pPr>
    </w:p>
    <w:p w14:paraId="7CCC53E5" w14:textId="45BB78B2" w:rsidR="0099015D" w:rsidRDefault="0099015D" w:rsidP="0099015D">
      <w:pPr>
        <w:rPr>
          <w:rFonts w:ascii="Times New Roman" w:hAnsi="Times New Roman" w:cs="Times New Roman"/>
          <w:b/>
          <w:bCs/>
          <w:sz w:val="24"/>
          <w:szCs w:val="24"/>
          <w:lang w:val="en-GB"/>
        </w:rPr>
      </w:pPr>
    </w:p>
    <w:p w14:paraId="441222D9" w14:textId="06CFC50A" w:rsidR="0099015D" w:rsidRDefault="0099015D" w:rsidP="0099015D">
      <w:pPr>
        <w:rPr>
          <w:rFonts w:ascii="Times New Roman" w:hAnsi="Times New Roman" w:cs="Times New Roman"/>
          <w:b/>
          <w:bCs/>
          <w:sz w:val="24"/>
          <w:szCs w:val="24"/>
          <w:lang w:val="en-GB"/>
        </w:rPr>
      </w:pPr>
    </w:p>
    <w:p w14:paraId="6BC6BAD1" w14:textId="41F9C7E1" w:rsidR="0099015D" w:rsidRDefault="0099015D" w:rsidP="0099015D">
      <w:pPr>
        <w:rPr>
          <w:rFonts w:ascii="Times New Roman" w:hAnsi="Times New Roman" w:cs="Times New Roman"/>
          <w:b/>
          <w:bCs/>
          <w:sz w:val="24"/>
          <w:szCs w:val="24"/>
          <w:lang w:val="en-GB"/>
        </w:rPr>
      </w:pPr>
    </w:p>
    <w:p w14:paraId="2675E891" w14:textId="1467D6C0" w:rsidR="0099015D" w:rsidRDefault="0099015D" w:rsidP="0099015D">
      <w:pPr>
        <w:rPr>
          <w:rFonts w:ascii="Times New Roman" w:hAnsi="Times New Roman" w:cs="Times New Roman"/>
          <w:b/>
          <w:bCs/>
          <w:sz w:val="24"/>
          <w:szCs w:val="24"/>
          <w:lang w:val="en-GB"/>
        </w:rPr>
      </w:pPr>
    </w:p>
    <w:p w14:paraId="6EA62F95" w14:textId="787C4AEE" w:rsidR="0099015D" w:rsidRDefault="0099015D" w:rsidP="0099015D">
      <w:pPr>
        <w:rPr>
          <w:rFonts w:ascii="Times New Roman" w:hAnsi="Times New Roman" w:cs="Times New Roman"/>
          <w:b/>
          <w:bCs/>
          <w:sz w:val="24"/>
          <w:szCs w:val="24"/>
          <w:lang w:val="en-GB"/>
        </w:rPr>
      </w:pPr>
    </w:p>
    <w:p w14:paraId="53538A90" w14:textId="46F7AB20" w:rsidR="0099015D" w:rsidRDefault="0099015D" w:rsidP="0099015D">
      <w:pPr>
        <w:rPr>
          <w:rFonts w:ascii="Times New Roman" w:hAnsi="Times New Roman" w:cs="Times New Roman"/>
          <w:b/>
          <w:bCs/>
          <w:sz w:val="24"/>
          <w:szCs w:val="24"/>
          <w:lang w:val="en-GB"/>
        </w:rPr>
      </w:pPr>
    </w:p>
    <w:p w14:paraId="266CCB49" w14:textId="36BF6F22" w:rsidR="0099015D" w:rsidRDefault="0099015D" w:rsidP="0099015D">
      <w:pPr>
        <w:rPr>
          <w:rFonts w:ascii="Times New Roman" w:hAnsi="Times New Roman" w:cs="Times New Roman"/>
          <w:b/>
          <w:bCs/>
          <w:sz w:val="24"/>
          <w:szCs w:val="24"/>
          <w:lang w:val="en-GB"/>
        </w:rPr>
      </w:pPr>
    </w:p>
    <w:p w14:paraId="69174D5B" w14:textId="3DFF8C60" w:rsidR="0099015D" w:rsidRDefault="0099015D" w:rsidP="0099015D">
      <w:pPr>
        <w:rPr>
          <w:rFonts w:ascii="Times New Roman" w:hAnsi="Times New Roman" w:cs="Times New Roman"/>
          <w:b/>
          <w:bCs/>
          <w:sz w:val="24"/>
          <w:szCs w:val="24"/>
          <w:lang w:val="en-GB"/>
        </w:rPr>
      </w:pPr>
    </w:p>
    <w:p w14:paraId="0FB9236F" w14:textId="4C9103A9" w:rsidR="0099015D" w:rsidRDefault="0099015D" w:rsidP="0099015D">
      <w:pPr>
        <w:rPr>
          <w:rFonts w:ascii="Times New Roman" w:hAnsi="Times New Roman" w:cs="Times New Roman"/>
          <w:b/>
          <w:bCs/>
          <w:sz w:val="24"/>
          <w:szCs w:val="24"/>
          <w:lang w:val="en-GB"/>
        </w:rPr>
      </w:pPr>
    </w:p>
    <w:p w14:paraId="724635EB" w14:textId="0A8F7C2C" w:rsidR="0099015D" w:rsidRDefault="0099015D" w:rsidP="0099015D">
      <w:pPr>
        <w:rPr>
          <w:rFonts w:ascii="Times New Roman" w:hAnsi="Times New Roman" w:cs="Times New Roman"/>
          <w:b/>
          <w:bCs/>
          <w:sz w:val="24"/>
          <w:szCs w:val="24"/>
          <w:lang w:val="en-GB"/>
        </w:rPr>
      </w:pPr>
    </w:p>
    <w:p w14:paraId="309651B0" w14:textId="77777777" w:rsidR="00AC7509" w:rsidRDefault="00AC7509" w:rsidP="00A20177">
      <w:pPr>
        <w:rPr>
          <w:rFonts w:ascii="Times New Roman" w:hAnsi="Times New Roman" w:cs="Times New Roman"/>
          <w:b/>
          <w:bCs/>
          <w:sz w:val="24"/>
          <w:szCs w:val="24"/>
          <w:lang w:val="en-GB"/>
        </w:rPr>
      </w:pPr>
    </w:p>
    <w:p w14:paraId="61F65F4A" w14:textId="1621FA91" w:rsidR="0099015D" w:rsidRPr="00B35E07" w:rsidRDefault="0099015D" w:rsidP="0099015D">
      <w:pPr>
        <w:jc w:val="center"/>
        <w:rPr>
          <w:rFonts w:ascii="Arial" w:hAnsi="Arial" w:cs="Arial"/>
          <w:b/>
          <w:bCs/>
          <w:sz w:val="24"/>
          <w:szCs w:val="24"/>
          <w:lang w:val="en-GB"/>
        </w:rPr>
      </w:pPr>
      <w:r w:rsidRPr="00B35E07">
        <w:rPr>
          <w:rFonts w:ascii="Arial" w:hAnsi="Arial" w:cs="Arial"/>
          <w:b/>
          <w:bCs/>
          <w:sz w:val="24"/>
          <w:szCs w:val="24"/>
          <w:lang w:val="en-GB"/>
        </w:rPr>
        <w:lastRenderedPageBreak/>
        <w:t>ABSTRACT</w:t>
      </w:r>
    </w:p>
    <w:p w14:paraId="43B281CF" w14:textId="77777777" w:rsidR="0099015D" w:rsidRPr="00B35E07" w:rsidRDefault="0099015D" w:rsidP="0099015D">
      <w:pPr>
        <w:ind w:firstLine="720"/>
        <w:jc w:val="both"/>
        <w:rPr>
          <w:rFonts w:ascii="Arial" w:hAnsi="Arial" w:cs="Arial"/>
          <w:sz w:val="24"/>
          <w:szCs w:val="24"/>
        </w:rPr>
      </w:pPr>
      <w:r w:rsidRPr="00B35E07">
        <w:rPr>
          <w:rFonts w:ascii="Arial" w:hAnsi="Arial" w:cs="Arial"/>
          <w:sz w:val="24"/>
          <w:szCs w:val="24"/>
          <w:lang w:val="en-GB"/>
        </w:rPr>
        <w:t xml:space="preserve">The motive and objective of this research is to investigate the factors affecting bank failure of commercial banks listed on the Nairobi Securities Exchange through Loan Loss Provision in Kenya. To attain this objective, I utilized secondary data, mainly use of the financial statements of the commercial banks published from their respective bank website. </w:t>
      </w:r>
      <w:r w:rsidRPr="00B35E07">
        <w:rPr>
          <w:rFonts w:ascii="Arial" w:hAnsi="Arial" w:cs="Arial"/>
          <w:sz w:val="24"/>
          <w:szCs w:val="24"/>
        </w:rPr>
        <w:t>The target population comprised of the commercial banks listed at the Nairobi Securities Exchange between 2013 and 2017. There were 11 commercial banks that were listed at the NSE (</w:t>
      </w:r>
      <w:r w:rsidRPr="00B35E07">
        <w:rPr>
          <w:rFonts w:ascii="Arial" w:hAnsi="Arial" w:cs="Arial"/>
          <w:color w:val="222222"/>
          <w:sz w:val="24"/>
          <w:szCs w:val="24"/>
          <w:shd w:val="clear" w:color="auto" w:fill="FFFFFF"/>
        </w:rPr>
        <w:t>Nse.co.ke., 2019</w:t>
      </w:r>
      <w:r w:rsidRPr="00B35E07">
        <w:rPr>
          <w:rFonts w:ascii="Arial" w:hAnsi="Arial" w:cs="Arial"/>
          <w:sz w:val="24"/>
          <w:szCs w:val="24"/>
        </w:rPr>
        <w:t>).</w:t>
      </w:r>
    </w:p>
    <w:p w14:paraId="322AB991" w14:textId="77777777" w:rsidR="0099015D" w:rsidRPr="00B35E07" w:rsidRDefault="0099015D" w:rsidP="0099015D">
      <w:pPr>
        <w:ind w:firstLine="720"/>
        <w:jc w:val="both"/>
        <w:rPr>
          <w:rFonts w:ascii="Arial" w:hAnsi="Arial" w:cs="Arial"/>
          <w:sz w:val="24"/>
          <w:szCs w:val="24"/>
        </w:rPr>
      </w:pPr>
      <w:r w:rsidRPr="00B35E07">
        <w:rPr>
          <w:rFonts w:ascii="Arial" w:hAnsi="Arial" w:cs="Arial"/>
          <w:sz w:val="24"/>
          <w:szCs w:val="24"/>
        </w:rPr>
        <w:t xml:space="preserve">Data Envelopment Analysis is used to measure the efficiency and probability of bank failure. The analysis showed that 0.941 which implies that 94.1% of the commercial banks are efficiently controlled, operated and regulated. Multiple regression analysis was utilized and it showed that earnings management and capital management have negative insignificant relationship on Loan Loss Provision while GDP found to have a negative significant relationship. Bank size, loan deposit ratio and inflation have a positive significant relationship on Loan Loss Provision. According to the hierarchical regression analysis </w:t>
      </w:r>
      <w:r w:rsidRPr="00B35E07">
        <w:rPr>
          <w:rFonts w:ascii="Arial" w:hAnsi="Arial" w:cs="Arial"/>
          <w:noProof/>
          <w:sz w:val="24"/>
          <w:szCs w:val="24"/>
        </w:rPr>
        <w:t>done on the moderating tests and coefficents, the results of the findings in this research concludes that Loan Loss Provision moderates the relationships between the independent variables(CIR, CAR, LogN, LoanDeposit ratio, GDP, Inflation) and bank failure measured by DEA-CRSTE are consistent with the findings. The results implies that when LLP is used as an interaction with the financial and macro-economic factors, the overall influence is different with when LLP and the financial and macro-economic factors are considered as independent stand alone variables. Moreover, recommendations for further study is presented in this research.</w:t>
      </w:r>
    </w:p>
    <w:p w14:paraId="0EACCB6B" w14:textId="1604797A" w:rsidR="002907DA" w:rsidRPr="00B35E07" w:rsidRDefault="002907DA" w:rsidP="00766F99">
      <w:pPr>
        <w:spacing w:line="480" w:lineRule="auto"/>
        <w:jc w:val="both"/>
        <w:rPr>
          <w:rFonts w:ascii="Arial" w:hAnsi="Arial" w:cs="Arial"/>
          <w:b/>
          <w:bCs/>
          <w:sz w:val="24"/>
          <w:szCs w:val="24"/>
        </w:rPr>
      </w:pPr>
    </w:p>
    <w:p w14:paraId="44B4FA3D" w14:textId="6DF0C37C" w:rsidR="002907DA" w:rsidRPr="00B35E07" w:rsidRDefault="002907DA" w:rsidP="00766F99">
      <w:pPr>
        <w:spacing w:line="480" w:lineRule="auto"/>
        <w:jc w:val="both"/>
        <w:rPr>
          <w:rFonts w:ascii="Arial" w:hAnsi="Arial" w:cs="Arial"/>
          <w:b/>
          <w:bCs/>
          <w:sz w:val="24"/>
          <w:szCs w:val="24"/>
        </w:rPr>
      </w:pPr>
    </w:p>
    <w:p w14:paraId="48885745" w14:textId="3188C936" w:rsidR="002907DA" w:rsidRPr="00B35E07" w:rsidRDefault="002907DA" w:rsidP="00766F99">
      <w:pPr>
        <w:spacing w:line="480" w:lineRule="auto"/>
        <w:jc w:val="both"/>
        <w:rPr>
          <w:rFonts w:ascii="Arial" w:hAnsi="Arial" w:cs="Arial"/>
          <w:b/>
          <w:bCs/>
          <w:sz w:val="24"/>
          <w:szCs w:val="24"/>
        </w:rPr>
      </w:pPr>
    </w:p>
    <w:p w14:paraId="679BD99B" w14:textId="60F809F7" w:rsidR="002907DA" w:rsidRPr="00B35E07" w:rsidRDefault="002907DA" w:rsidP="00766F99">
      <w:pPr>
        <w:spacing w:line="480" w:lineRule="auto"/>
        <w:jc w:val="both"/>
        <w:rPr>
          <w:rFonts w:ascii="Arial" w:hAnsi="Arial" w:cs="Arial"/>
          <w:b/>
          <w:bCs/>
          <w:sz w:val="24"/>
          <w:szCs w:val="24"/>
        </w:rPr>
      </w:pPr>
    </w:p>
    <w:p w14:paraId="74C80B3B" w14:textId="77777777" w:rsidR="00B35E07" w:rsidRDefault="00B35E07" w:rsidP="00766F99">
      <w:pPr>
        <w:spacing w:line="480" w:lineRule="auto"/>
        <w:jc w:val="both"/>
        <w:rPr>
          <w:rFonts w:ascii="Arial" w:hAnsi="Arial" w:cs="Arial"/>
          <w:b/>
          <w:bCs/>
          <w:sz w:val="24"/>
          <w:szCs w:val="24"/>
        </w:rPr>
      </w:pPr>
    </w:p>
    <w:p w14:paraId="722B31C3" w14:textId="3963D54A" w:rsidR="002907DA" w:rsidRPr="00B35E07" w:rsidRDefault="00C95CFB" w:rsidP="00B35E07">
      <w:pPr>
        <w:spacing w:line="480" w:lineRule="auto"/>
        <w:jc w:val="both"/>
        <w:rPr>
          <w:rFonts w:ascii="Arial" w:hAnsi="Arial" w:cs="Arial"/>
          <w:sz w:val="24"/>
          <w:szCs w:val="24"/>
        </w:rPr>
      </w:pPr>
      <w:r w:rsidRPr="00B35E07">
        <w:rPr>
          <w:rFonts w:ascii="Arial" w:hAnsi="Arial" w:cs="Arial"/>
          <w:b/>
          <w:bCs/>
          <w:sz w:val="24"/>
          <w:szCs w:val="24"/>
        </w:rPr>
        <w:t xml:space="preserve">Keywords: </w:t>
      </w:r>
      <w:r w:rsidRPr="00B35E07">
        <w:rPr>
          <w:rFonts w:ascii="Arial" w:hAnsi="Arial" w:cs="Arial"/>
          <w:sz w:val="24"/>
          <w:szCs w:val="24"/>
        </w:rPr>
        <w:t>Bank failure, commercial banks, Nairobi Securities Exchange, loan loss provision, Income smoothing hypothesis, Signalling hypothesis, Capital management theory, Kenya</w:t>
      </w:r>
    </w:p>
    <w:sdt>
      <w:sdtPr>
        <w:rPr>
          <w:rFonts w:ascii="Arial" w:eastAsiaTheme="minorHAnsi" w:hAnsi="Arial" w:cs="Arial"/>
          <w:color w:val="auto"/>
          <w:sz w:val="22"/>
          <w:szCs w:val="22"/>
          <w:lang w:val="en-MY"/>
        </w:rPr>
        <w:id w:val="-1367831280"/>
        <w:docPartObj>
          <w:docPartGallery w:val="Table of Contents"/>
          <w:docPartUnique/>
        </w:docPartObj>
      </w:sdtPr>
      <w:sdtEndPr>
        <w:rPr>
          <w:b/>
          <w:bCs/>
          <w:noProof/>
        </w:rPr>
      </w:sdtEndPr>
      <w:sdtContent>
        <w:p w14:paraId="7927CC27" w14:textId="69C88957" w:rsidR="006A0D42" w:rsidRPr="00B35E07" w:rsidRDefault="006A0D42" w:rsidP="006A0D42">
          <w:pPr>
            <w:pStyle w:val="TOCHeading"/>
            <w:spacing w:line="360" w:lineRule="auto"/>
            <w:rPr>
              <w:rFonts w:ascii="Arial" w:hAnsi="Arial" w:cs="Arial"/>
              <w:b/>
              <w:bCs/>
              <w:color w:val="auto"/>
              <w:sz w:val="24"/>
              <w:szCs w:val="24"/>
            </w:rPr>
          </w:pPr>
          <w:r w:rsidRPr="00B35E07">
            <w:rPr>
              <w:rFonts w:ascii="Arial" w:hAnsi="Arial" w:cs="Arial"/>
              <w:b/>
              <w:bCs/>
              <w:color w:val="auto"/>
              <w:sz w:val="24"/>
              <w:szCs w:val="24"/>
            </w:rPr>
            <w:t>TABLE OF CONTENT</w:t>
          </w:r>
        </w:p>
        <w:p w14:paraId="1FE86D50" w14:textId="153626B6" w:rsidR="0093511C" w:rsidRPr="00B35E07" w:rsidRDefault="006A0D42">
          <w:pPr>
            <w:pStyle w:val="TOC1"/>
            <w:rPr>
              <w:rFonts w:ascii="Arial" w:eastAsiaTheme="minorEastAsia" w:hAnsi="Arial" w:cs="Arial"/>
              <w:b w:val="0"/>
              <w:bCs w:val="0"/>
              <w:lang w:eastAsia="en-MY"/>
            </w:rPr>
          </w:pPr>
          <w:r w:rsidRPr="00B35E07">
            <w:rPr>
              <w:rFonts w:ascii="Arial" w:hAnsi="Arial" w:cs="Arial"/>
            </w:rPr>
            <w:fldChar w:fldCharType="begin"/>
          </w:r>
          <w:r w:rsidRPr="00B35E07">
            <w:rPr>
              <w:rFonts w:ascii="Arial" w:hAnsi="Arial" w:cs="Arial"/>
            </w:rPr>
            <w:instrText xml:space="preserve"> TOC \o "1-3" \h \z \u </w:instrText>
          </w:r>
          <w:r w:rsidRPr="00B35E07">
            <w:rPr>
              <w:rFonts w:ascii="Arial" w:hAnsi="Arial" w:cs="Arial"/>
            </w:rPr>
            <w:fldChar w:fldCharType="separate"/>
          </w:r>
          <w:hyperlink w:anchor="_Toc27579764" w:history="1">
            <w:r w:rsidR="0093511C" w:rsidRPr="00B35E07">
              <w:rPr>
                <w:rStyle w:val="Hyperlink"/>
                <w:rFonts w:ascii="Arial" w:hAnsi="Arial" w:cs="Arial"/>
              </w:rPr>
              <w:t>CHAPTER 1: INTRODUCTION</w:t>
            </w:r>
            <w:r w:rsidR="0093511C" w:rsidRPr="00B35E07">
              <w:rPr>
                <w:rFonts w:ascii="Arial" w:hAnsi="Arial" w:cs="Arial"/>
                <w:webHidden/>
              </w:rPr>
              <w:tab/>
            </w:r>
            <w:r w:rsidR="0093511C" w:rsidRPr="00B35E07">
              <w:rPr>
                <w:rFonts w:ascii="Arial" w:hAnsi="Arial" w:cs="Arial"/>
                <w:webHidden/>
              </w:rPr>
              <w:fldChar w:fldCharType="begin"/>
            </w:r>
            <w:r w:rsidR="0093511C" w:rsidRPr="00B35E07">
              <w:rPr>
                <w:rFonts w:ascii="Arial" w:hAnsi="Arial" w:cs="Arial"/>
                <w:webHidden/>
              </w:rPr>
              <w:instrText xml:space="preserve"> PAGEREF _Toc27579764 \h </w:instrText>
            </w:r>
            <w:r w:rsidR="0093511C" w:rsidRPr="00B35E07">
              <w:rPr>
                <w:rFonts w:ascii="Arial" w:hAnsi="Arial" w:cs="Arial"/>
                <w:webHidden/>
              </w:rPr>
            </w:r>
            <w:r w:rsidR="0093511C" w:rsidRPr="00B35E07">
              <w:rPr>
                <w:rFonts w:ascii="Arial" w:hAnsi="Arial" w:cs="Arial"/>
                <w:webHidden/>
              </w:rPr>
              <w:fldChar w:fldCharType="separate"/>
            </w:r>
            <w:r w:rsidR="00EF509C" w:rsidRPr="00B35E07">
              <w:rPr>
                <w:rFonts w:ascii="Arial" w:hAnsi="Arial" w:cs="Arial"/>
                <w:webHidden/>
              </w:rPr>
              <w:t>1</w:t>
            </w:r>
            <w:r w:rsidR="0093511C" w:rsidRPr="00B35E07">
              <w:rPr>
                <w:rFonts w:ascii="Arial" w:hAnsi="Arial" w:cs="Arial"/>
                <w:webHidden/>
              </w:rPr>
              <w:fldChar w:fldCharType="end"/>
            </w:r>
          </w:hyperlink>
        </w:p>
        <w:p w14:paraId="32B6603E" w14:textId="62EEC6DD"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65" w:history="1">
            <w:r w:rsidRPr="00B35E07">
              <w:rPr>
                <w:rStyle w:val="Hyperlink"/>
                <w:rFonts w:ascii="Arial" w:hAnsi="Arial" w:cs="Arial"/>
                <w:b/>
                <w:bCs/>
                <w:noProof/>
                <w:sz w:val="24"/>
                <w:szCs w:val="24"/>
              </w:rPr>
              <w:t>1.1: Background of the study</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_Toc27579765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w:t>
            </w:r>
            <w:r w:rsidRPr="00B35E07">
              <w:rPr>
                <w:rFonts w:ascii="Arial" w:hAnsi="Arial" w:cs="Arial"/>
                <w:noProof/>
                <w:webHidden/>
                <w:sz w:val="24"/>
                <w:szCs w:val="24"/>
              </w:rPr>
              <w:fldChar w:fldCharType="end"/>
            </w:r>
          </w:hyperlink>
        </w:p>
        <w:p w14:paraId="1996FD9F" w14:textId="7FDFACE7" w:rsidR="0093511C" w:rsidRPr="00B35E07" w:rsidRDefault="0093511C">
          <w:pPr>
            <w:pStyle w:val="TOC3"/>
            <w:rPr>
              <w:rFonts w:ascii="Arial" w:eastAsiaTheme="minorEastAsia" w:hAnsi="Arial" w:cs="Arial"/>
              <w:lang w:eastAsia="en-MY"/>
            </w:rPr>
          </w:pPr>
          <w:hyperlink w:anchor="_Toc27579766" w:history="1">
            <w:r w:rsidRPr="00B35E07">
              <w:rPr>
                <w:rStyle w:val="Hyperlink"/>
                <w:rFonts w:ascii="Arial" w:hAnsi="Arial" w:cs="Arial"/>
              </w:rPr>
              <w:t>1.1.1: Loan Loss Provision</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_Toc27579766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w:t>
            </w:r>
            <w:r w:rsidRPr="00B35E07">
              <w:rPr>
                <w:rFonts w:ascii="Arial" w:hAnsi="Arial" w:cs="Arial"/>
                <w:webHidden/>
              </w:rPr>
              <w:fldChar w:fldCharType="end"/>
            </w:r>
          </w:hyperlink>
        </w:p>
        <w:p w14:paraId="508C8118" w14:textId="67F639D2" w:rsidR="0093511C" w:rsidRPr="00B35E07" w:rsidRDefault="0093511C">
          <w:pPr>
            <w:pStyle w:val="TOC3"/>
            <w:rPr>
              <w:rFonts w:ascii="Arial" w:eastAsiaTheme="minorEastAsia" w:hAnsi="Arial" w:cs="Arial"/>
              <w:lang w:eastAsia="en-MY"/>
            </w:rPr>
          </w:pPr>
          <w:hyperlink w:anchor="_Toc27579767" w:history="1">
            <w:r w:rsidRPr="00B35E07">
              <w:rPr>
                <w:rStyle w:val="Hyperlink"/>
                <w:rFonts w:ascii="Arial" w:hAnsi="Arial" w:cs="Arial"/>
              </w:rPr>
              <w:t>1.1.2: Relationship between efficiency and probability of bank failure and Loan Loss Provision</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_Toc27579767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4</w:t>
            </w:r>
            <w:r w:rsidRPr="00B35E07">
              <w:rPr>
                <w:rFonts w:ascii="Arial" w:hAnsi="Arial" w:cs="Arial"/>
                <w:webHidden/>
              </w:rPr>
              <w:fldChar w:fldCharType="end"/>
            </w:r>
          </w:hyperlink>
        </w:p>
        <w:p w14:paraId="394168BC" w14:textId="7E85A5BC" w:rsidR="0093511C" w:rsidRPr="00B35E07" w:rsidRDefault="0093511C">
          <w:pPr>
            <w:pStyle w:val="TOC3"/>
            <w:rPr>
              <w:rFonts w:ascii="Arial" w:eastAsiaTheme="minorEastAsia" w:hAnsi="Arial" w:cs="Arial"/>
              <w:lang w:eastAsia="en-MY"/>
            </w:rPr>
          </w:pPr>
          <w:hyperlink w:anchor="_Toc27579768" w:history="1">
            <w:r w:rsidRPr="00B35E07">
              <w:rPr>
                <w:rStyle w:val="Hyperlink"/>
                <w:rFonts w:ascii="Arial" w:hAnsi="Arial" w:cs="Arial"/>
              </w:rPr>
              <w:t>1.1.3: Commercial Banks in Kenya</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_Toc27579768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6</w:t>
            </w:r>
            <w:r w:rsidRPr="00B35E07">
              <w:rPr>
                <w:rFonts w:ascii="Arial" w:hAnsi="Arial" w:cs="Arial"/>
                <w:webHidden/>
              </w:rPr>
              <w:fldChar w:fldCharType="end"/>
            </w:r>
          </w:hyperlink>
        </w:p>
        <w:p w14:paraId="1D5BC72C" w14:textId="2FEFA52F"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69" w:history="1">
            <w:r w:rsidRPr="00B35E07">
              <w:rPr>
                <w:rStyle w:val="Hyperlink"/>
                <w:rFonts w:ascii="Arial" w:hAnsi="Arial" w:cs="Arial"/>
                <w:b/>
                <w:bCs/>
                <w:noProof/>
                <w:sz w:val="24"/>
                <w:szCs w:val="24"/>
              </w:rPr>
              <w:t>1.2: Problem Statement</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_Toc27579769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7</w:t>
            </w:r>
            <w:r w:rsidRPr="00B35E07">
              <w:rPr>
                <w:rFonts w:ascii="Arial" w:hAnsi="Arial" w:cs="Arial"/>
                <w:noProof/>
                <w:webHidden/>
                <w:sz w:val="24"/>
                <w:szCs w:val="24"/>
              </w:rPr>
              <w:fldChar w:fldCharType="end"/>
            </w:r>
          </w:hyperlink>
        </w:p>
        <w:p w14:paraId="64F49269" w14:textId="0CA08D32"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70" w:history="1">
            <w:r w:rsidRPr="00B35E07">
              <w:rPr>
                <w:rStyle w:val="Hyperlink"/>
                <w:rFonts w:ascii="Arial" w:hAnsi="Arial" w:cs="Arial"/>
                <w:b/>
                <w:bCs/>
                <w:noProof/>
                <w:sz w:val="24"/>
                <w:szCs w:val="24"/>
              </w:rPr>
              <w:t>1.3: Objective of the Study</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_Toc27579770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10</w:t>
            </w:r>
            <w:r w:rsidRPr="00B35E07">
              <w:rPr>
                <w:rFonts w:ascii="Arial" w:hAnsi="Arial" w:cs="Arial"/>
                <w:noProof/>
                <w:webHidden/>
                <w:sz w:val="24"/>
                <w:szCs w:val="24"/>
              </w:rPr>
              <w:fldChar w:fldCharType="end"/>
            </w:r>
          </w:hyperlink>
        </w:p>
        <w:p w14:paraId="15A1C587" w14:textId="189DA816"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71" w:history="1">
            <w:r w:rsidRPr="00B35E07">
              <w:rPr>
                <w:rStyle w:val="Hyperlink"/>
                <w:rFonts w:ascii="Arial" w:hAnsi="Arial" w:cs="Arial"/>
                <w:b/>
                <w:bCs/>
                <w:noProof/>
                <w:sz w:val="24"/>
                <w:szCs w:val="24"/>
              </w:rPr>
              <w:t>1.4: Research Questions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_Toc27579771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11</w:t>
            </w:r>
            <w:r w:rsidRPr="00B35E07">
              <w:rPr>
                <w:rFonts w:ascii="Arial" w:hAnsi="Arial" w:cs="Arial"/>
                <w:noProof/>
                <w:webHidden/>
                <w:sz w:val="24"/>
                <w:szCs w:val="24"/>
              </w:rPr>
              <w:fldChar w:fldCharType="end"/>
            </w:r>
          </w:hyperlink>
        </w:p>
        <w:p w14:paraId="7A23776C" w14:textId="612BF1AB"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72" w:history="1">
            <w:r w:rsidRPr="00B35E07">
              <w:rPr>
                <w:rStyle w:val="Hyperlink"/>
                <w:rFonts w:ascii="Arial" w:hAnsi="Arial" w:cs="Arial"/>
                <w:b/>
                <w:bCs/>
                <w:noProof/>
                <w:sz w:val="24"/>
                <w:szCs w:val="24"/>
              </w:rPr>
              <w:t>1.5: Significance of the Research</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_Toc27579772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11</w:t>
            </w:r>
            <w:r w:rsidRPr="00B35E07">
              <w:rPr>
                <w:rFonts w:ascii="Arial" w:hAnsi="Arial" w:cs="Arial"/>
                <w:noProof/>
                <w:webHidden/>
                <w:sz w:val="24"/>
                <w:szCs w:val="24"/>
              </w:rPr>
              <w:fldChar w:fldCharType="end"/>
            </w:r>
          </w:hyperlink>
        </w:p>
        <w:p w14:paraId="3DA970F5" w14:textId="3C7FFB28"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73" w:history="1">
            <w:r w:rsidRPr="00B35E07">
              <w:rPr>
                <w:rStyle w:val="Hyperlink"/>
                <w:rFonts w:ascii="Arial" w:hAnsi="Arial" w:cs="Arial"/>
                <w:b/>
                <w:bCs/>
                <w:noProof/>
                <w:sz w:val="24"/>
                <w:szCs w:val="24"/>
              </w:rPr>
              <w:t>1.6: Research design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_Toc27579773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12</w:t>
            </w:r>
            <w:r w:rsidRPr="00B35E07">
              <w:rPr>
                <w:rFonts w:ascii="Arial" w:hAnsi="Arial" w:cs="Arial"/>
                <w:noProof/>
                <w:webHidden/>
                <w:sz w:val="24"/>
                <w:szCs w:val="24"/>
              </w:rPr>
              <w:fldChar w:fldCharType="end"/>
            </w:r>
          </w:hyperlink>
        </w:p>
        <w:p w14:paraId="285F3142" w14:textId="7DE8A387" w:rsidR="0093511C" w:rsidRPr="00B35E07" w:rsidRDefault="0093511C">
          <w:pPr>
            <w:pStyle w:val="TOC1"/>
            <w:rPr>
              <w:rFonts w:ascii="Arial" w:eastAsiaTheme="minorEastAsia" w:hAnsi="Arial" w:cs="Arial"/>
              <w:b w:val="0"/>
              <w:bCs w:val="0"/>
              <w:lang w:eastAsia="en-MY"/>
            </w:rPr>
          </w:pPr>
          <w:hyperlink w:anchor="_Toc27579774" w:history="1">
            <w:r w:rsidRPr="00B35E07">
              <w:rPr>
                <w:rStyle w:val="Hyperlink"/>
                <w:rFonts w:ascii="Arial" w:hAnsi="Arial" w:cs="Arial"/>
              </w:rPr>
              <w:t>CHAPTER 2: LITERATURE REVIEW</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_Toc27579774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14</w:t>
            </w:r>
            <w:r w:rsidRPr="00B35E07">
              <w:rPr>
                <w:rFonts w:ascii="Arial" w:hAnsi="Arial" w:cs="Arial"/>
                <w:webHidden/>
              </w:rPr>
              <w:fldChar w:fldCharType="end"/>
            </w:r>
          </w:hyperlink>
        </w:p>
        <w:p w14:paraId="66F18B0A" w14:textId="1B828850"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75" w:history="1">
            <w:r w:rsidRPr="00B35E07">
              <w:rPr>
                <w:rStyle w:val="Hyperlink"/>
                <w:rFonts w:ascii="Arial" w:hAnsi="Arial" w:cs="Arial"/>
                <w:b/>
                <w:bCs/>
                <w:noProof/>
                <w:sz w:val="24"/>
                <w:szCs w:val="24"/>
              </w:rPr>
              <w:t>2.1: Introduction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_Toc27579775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14</w:t>
            </w:r>
            <w:r w:rsidRPr="00B35E07">
              <w:rPr>
                <w:rFonts w:ascii="Arial" w:hAnsi="Arial" w:cs="Arial"/>
                <w:noProof/>
                <w:webHidden/>
                <w:sz w:val="24"/>
                <w:szCs w:val="24"/>
              </w:rPr>
              <w:fldChar w:fldCharType="end"/>
            </w:r>
          </w:hyperlink>
        </w:p>
        <w:p w14:paraId="5B6FE535" w14:textId="0E070D55"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76" w:history="1">
            <w:r w:rsidRPr="00B35E07">
              <w:rPr>
                <w:rStyle w:val="Hyperlink"/>
                <w:rFonts w:ascii="Arial" w:hAnsi="Arial" w:cs="Arial"/>
                <w:b/>
                <w:bCs/>
                <w:noProof/>
                <w:sz w:val="24"/>
                <w:szCs w:val="24"/>
              </w:rPr>
              <w:t>2.2: Theoretical Review</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_Toc27579776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14</w:t>
            </w:r>
            <w:r w:rsidRPr="00B35E07">
              <w:rPr>
                <w:rFonts w:ascii="Arial" w:hAnsi="Arial" w:cs="Arial"/>
                <w:noProof/>
                <w:webHidden/>
                <w:sz w:val="24"/>
                <w:szCs w:val="24"/>
              </w:rPr>
              <w:fldChar w:fldCharType="end"/>
            </w:r>
          </w:hyperlink>
        </w:p>
        <w:p w14:paraId="6EB915A4" w14:textId="26C3C698" w:rsidR="0093511C" w:rsidRPr="00B35E07" w:rsidRDefault="0093511C">
          <w:pPr>
            <w:pStyle w:val="TOC3"/>
            <w:rPr>
              <w:rFonts w:ascii="Arial" w:eastAsiaTheme="minorEastAsia" w:hAnsi="Arial" w:cs="Arial"/>
              <w:lang w:eastAsia="en-MY"/>
            </w:rPr>
          </w:pPr>
          <w:hyperlink w:anchor="_Toc27579777" w:history="1">
            <w:r w:rsidRPr="00B35E07">
              <w:rPr>
                <w:rStyle w:val="Hyperlink"/>
                <w:rFonts w:ascii="Arial" w:hAnsi="Arial" w:cs="Arial"/>
              </w:rPr>
              <w:t>2.2.1: Income Smoothing Hypothesis</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_Toc27579777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14</w:t>
            </w:r>
            <w:r w:rsidRPr="00B35E07">
              <w:rPr>
                <w:rFonts w:ascii="Arial" w:hAnsi="Arial" w:cs="Arial"/>
                <w:webHidden/>
              </w:rPr>
              <w:fldChar w:fldCharType="end"/>
            </w:r>
          </w:hyperlink>
        </w:p>
        <w:p w14:paraId="4D802A4A" w14:textId="6E8F8062" w:rsidR="0093511C" w:rsidRPr="00B35E07" w:rsidRDefault="0093511C">
          <w:pPr>
            <w:pStyle w:val="TOC3"/>
            <w:rPr>
              <w:rFonts w:ascii="Arial" w:eastAsiaTheme="minorEastAsia" w:hAnsi="Arial" w:cs="Arial"/>
              <w:lang w:eastAsia="en-MY"/>
            </w:rPr>
          </w:pPr>
          <w:hyperlink w:anchor="_Toc27579778" w:history="1">
            <w:r w:rsidRPr="00B35E07">
              <w:rPr>
                <w:rStyle w:val="Hyperlink"/>
                <w:rFonts w:ascii="Arial" w:hAnsi="Arial" w:cs="Arial"/>
              </w:rPr>
              <w:t>2.2.2: Signalling Hypothesis</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_Toc27579778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17</w:t>
            </w:r>
            <w:r w:rsidRPr="00B35E07">
              <w:rPr>
                <w:rFonts w:ascii="Arial" w:hAnsi="Arial" w:cs="Arial"/>
                <w:webHidden/>
              </w:rPr>
              <w:fldChar w:fldCharType="end"/>
            </w:r>
          </w:hyperlink>
        </w:p>
        <w:p w14:paraId="48E34082" w14:textId="50A4C07A" w:rsidR="0093511C" w:rsidRPr="00B35E07" w:rsidRDefault="0093511C">
          <w:pPr>
            <w:pStyle w:val="TOC3"/>
            <w:rPr>
              <w:rFonts w:ascii="Arial" w:eastAsiaTheme="minorEastAsia" w:hAnsi="Arial" w:cs="Arial"/>
              <w:lang w:eastAsia="en-MY"/>
            </w:rPr>
          </w:pPr>
          <w:hyperlink w:anchor="_Toc27579779" w:history="1">
            <w:r w:rsidRPr="00B35E07">
              <w:rPr>
                <w:rStyle w:val="Hyperlink"/>
                <w:rFonts w:ascii="Arial" w:hAnsi="Arial" w:cs="Arial"/>
              </w:rPr>
              <w:t>2.2.3: Capital Management Theory</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_Toc27579779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18</w:t>
            </w:r>
            <w:r w:rsidRPr="00B35E07">
              <w:rPr>
                <w:rFonts w:ascii="Arial" w:hAnsi="Arial" w:cs="Arial"/>
                <w:webHidden/>
              </w:rPr>
              <w:fldChar w:fldCharType="end"/>
            </w:r>
          </w:hyperlink>
        </w:p>
        <w:p w14:paraId="512E9D15" w14:textId="4AF00961"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80" w:history="1">
            <w:r w:rsidRPr="00B35E07">
              <w:rPr>
                <w:rStyle w:val="Hyperlink"/>
                <w:rFonts w:ascii="Arial" w:hAnsi="Arial" w:cs="Arial"/>
                <w:b/>
                <w:bCs/>
                <w:noProof/>
                <w:sz w:val="24"/>
                <w:szCs w:val="24"/>
              </w:rPr>
              <w:t>2.3: Relationship between bank failure and Loan Loss Provision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_Toc27579780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20</w:t>
            </w:r>
            <w:r w:rsidRPr="00B35E07">
              <w:rPr>
                <w:rFonts w:ascii="Arial" w:hAnsi="Arial" w:cs="Arial"/>
                <w:noProof/>
                <w:webHidden/>
                <w:sz w:val="24"/>
                <w:szCs w:val="24"/>
              </w:rPr>
              <w:fldChar w:fldCharType="end"/>
            </w:r>
          </w:hyperlink>
        </w:p>
        <w:p w14:paraId="044D1104" w14:textId="4B579BD7"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81" w:history="1">
            <w:r w:rsidRPr="00B35E07">
              <w:rPr>
                <w:rStyle w:val="Hyperlink"/>
                <w:rFonts w:ascii="Arial" w:hAnsi="Arial" w:cs="Arial"/>
                <w:b/>
                <w:bCs/>
                <w:noProof/>
                <w:sz w:val="24"/>
                <w:szCs w:val="24"/>
              </w:rPr>
              <w:t>2.4: Bank Specific Determinants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_Toc27579781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21</w:t>
            </w:r>
            <w:r w:rsidRPr="00B35E07">
              <w:rPr>
                <w:rFonts w:ascii="Arial" w:hAnsi="Arial" w:cs="Arial"/>
                <w:noProof/>
                <w:webHidden/>
                <w:sz w:val="24"/>
                <w:szCs w:val="24"/>
              </w:rPr>
              <w:fldChar w:fldCharType="end"/>
            </w:r>
          </w:hyperlink>
        </w:p>
        <w:p w14:paraId="1B926686" w14:textId="2445817C" w:rsidR="0093511C" w:rsidRPr="00B35E07" w:rsidRDefault="0093511C">
          <w:pPr>
            <w:pStyle w:val="TOC3"/>
            <w:rPr>
              <w:rFonts w:ascii="Arial" w:eastAsiaTheme="minorEastAsia" w:hAnsi="Arial" w:cs="Arial"/>
              <w:lang w:eastAsia="en-MY"/>
            </w:rPr>
          </w:pPr>
          <w:hyperlink w:anchor="_Toc27579782" w:history="1">
            <w:r w:rsidRPr="00B35E07">
              <w:rPr>
                <w:rStyle w:val="Hyperlink"/>
                <w:rFonts w:ascii="Arial" w:hAnsi="Arial" w:cs="Arial"/>
              </w:rPr>
              <w:t>2.4.1: Earnings</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_Toc27579782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21</w:t>
            </w:r>
            <w:r w:rsidRPr="00B35E07">
              <w:rPr>
                <w:rFonts w:ascii="Arial" w:hAnsi="Arial" w:cs="Arial"/>
                <w:webHidden/>
              </w:rPr>
              <w:fldChar w:fldCharType="end"/>
            </w:r>
          </w:hyperlink>
        </w:p>
        <w:p w14:paraId="5A73F2A0" w14:textId="29051D6A" w:rsidR="0093511C" w:rsidRPr="00B35E07" w:rsidRDefault="0093511C">
          <w:pPr>
            <w:pStyle w:val="TOC3"/>
            <w:rPr>
              <w:rFonts w:ascii="Arial" w:eastAsiaTheme="minorEastAsia" w:hAnsi="Arial" w:cs="Arial"/>
              <w:lang w:eastAsia="en-MY"/>
            </w:rPr>
          </w:pPr>
          <w:hyperlink w:anchor="_Toc27579783" w:history="1">
            <w:r w:rsidRPr="00B35E07">
              <w:rPr>
                <w:rStyle w:val="Hyperlink"/>
                <w:rFonts w:ascii="Arial" w:hAnsi="Arial" w:cs="Arial"/>
              </w:rPr>
              <w:t>2.4.2: Capital Management</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_Toc27579783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21</w:t>
            </w:r>
            <w:r w:rsidRPr="00B35E07">
              <w:rPr>
                <w:rFonts w:ascii="Arial" w:hAnsi="Arial" w:cs="Arial"/>
                <w:webHidden/>
              </w:rPr>
              <w:fldChar w:fldCharType="end"/>
            </w:r>
          </w:hyperlink>
        </w:p>
        <w:p w14:paraId="2D2FDD10" w14:textId="5616020E" w:rsidR="0093511C" w:rsidRPr="00B35E07" w:rsidRDefault="0093511C">
          <w:pPr>
            <w:pStyle w:val="TOC3"/>
            <w:rPr>
              <w:rFonts w:ascii="Arial" w:eastAsiaTheme="minorEastAsia" w:hAnsi="Arial" w:cs="Arial"/>
              <w:lang w:eastAsia="en-MY"/>
            </w:rPr>
          </w:pPr>
          <w:hyperlink w:anchor="_Toc27579784" w:history="1">
            <w:r w:rsidRPr="00B35E07">
              <w:rPr>
                <w:rStyle w:val="Hyperlink"/>
                <w:rFonts w:ascii="Arial" w:hAnsi="Arial" w:cs="Arial"/>
              </w:rPr>
              <w:t>2.4.3: Bank Size</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_Toc27579784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22</w:t>
            </w:r>
            <w:r w:rsidRPr="00B35E07">
              <w:rPr>
                <w:rFonts w:ascii="Arial" w:hAnsi="Arial" w:cs="Arial"/>
                <w:webHidden/>
              </w:rPr>
              <w:fldChar w:fldCharType="end"/>
            </w:r>
          </w:hyperlink>
        </w:p>
        <w:p w14:paraId="204068BC" w14:textId="7F373024" w:rsidR="0093511C" w:rsidRPr="00B35E07" w:rsidRDefault="0093511C">
          <w:pPr>
            <w:pStyle w:val="TOC3"/>
            <w:rPr>
              <w:rFonts w:ascii="Arial" w:eastAsiaTheme="minorEastAsia" w:hAnsi="Arial" w:cs="Arial"/>
              <w:lang w:eastAsia="en-MY"/>
            </w:rPr>
          </w:pPr>
          <w:hyperlink w:anchor="_Toc27579785" w:history="1">
            <w:r w:rsidRPr="00B35E07">
              <w:rPr>
                <w:rStyle w:val="Hyperlink"/>
                <w:rFonts w:ascii="Arial" w:hAnsi="Arial" w:cs="Arial"/>
              </w:rPr>
              <w:t>2.4.4: Loan to Deposits (LD Ratio)</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_Toc27579785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22</w:t>
            </w:r>
            <w:r w:rsidRPr="00B35E07">
              <w:rPr>
                <w:rFonts w:ascii="Arial" w:hAnsi="Arial" w:cs="Arial"/>
                <w:webHidden/>
              </w:rPr>
              <w:fldChar w:fldCharType="end"/>
            </w:r>
          </w:hyperlink>
        </w:p>
        <w:p w14:paraId="61FEB76E" w14:textId="1CDF3907"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86" w:history="1">
            <w:r w:rsidRPr="00B35E07">
              <w:rPr>
                <w:rStyle w:val="Hyperlink"/>
                <w:rFonts w:ascii="Arial" w:hAnsi="Arial" w:cs="Arial"/>
                <w:b/>
                <w:bCs/>
                <w:noProof/>
                <w:sz w:val="24"/>
                <w:szCs w:val="24"/>
              </w:rPr>
              <w:t>2.5: Macro-Economic Determinants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_Toc27579786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22</w:t>
            </w:r>
            <w:r w:rsidRPr="00B35E07">
              <w:rPr>
                <w:rFonts w:ascii="Arial" w:hAnsi="Arial" w:cs="Arial"/>
                <w:noProof/>
                <w:webHidden/>
                <w:sz w:val="24"/>
                <w:szCs w:val="24"/>
              </w:rPr>
              <w:fldChar w:fldCharType="end"/>
            </w:r>
          </w:hyperlink>
        </w:p>
        <w:p w14:paraId="03CFED94" w14:textId="78978CFB" w:rsidR="0093511C" w:rsidRPr="00B35E07" w:rsidRDefault="0093511C">
          <w:pPr>
            <w:pStyle w:val="TOC3"/>
            <w:rPr>
              <w:rFonts w:ascii="Arial" w:eastAsiaTheme="minorEastAsia" w:hAnsi="Arial" w:cs="Arial"/>
              <w:lang w:eastAsia="en-MY"/>
            </w:rPr>
          </w:pPr>
          <w:hyperlink w:anchor="_Toc27579787" w:history="1">
            <w:r w:rsidRPr="00B35E07">
              <w:rPr>
                <w:rStyle w:val="Hyperlink"/>
                <w:rFonts w:ascii="Arial" w:hAnsi="Arial" w:cs="Arial"/>
              </w:rPr>
              <w:t>2.5.1: GDP</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_Toc27579787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22</w:t>
            </w:r>
            <w:r w:rsidRPr="00B35E07">
              <w:rPr>
                <w:rFonts w:ascii="Arial" w:hAnsi="Arial" w:cs="Arial"/>
                <w:webHidden/>
              </w:rPr>
              <w:fldChar w:fldCharType="end"/>
            </w:r>
          </w:hyperlink>
        </w:p>
        <w:p w14:paraId="5AD9E87B" w14:textId="0325F3BC" w:rsidR="0093511C" w:rsidRPr="00B35E07" w:rsidRDefault="0093511C">
          <w:pPr>
            <w:pStyle w:val="TOC3"/>
            <w:rPr>
              <w:rFonts w:ascii="Arial" w:eastAsiaTheme="minorEastAsia" w:hAnsi="Arial" w:cs="Arial"/>
              <w:lang w:eastAsia="en-MY"/>
            </w:rPr>
          </w:pPr>
          <w:hyperlink w:anchor="_Toc27579788" w:history="1">
            <w:r w:rsidRPr="00B35E07">
              <w:rPr>
                <w:rStyle w:val="Hyperlink"/>
                <w:rFonts w:ascii="Arial" w:hAnsi="Arial" w:cs="Arial"/>
              </w:rPr>
              <w:t>2.5.2: Inflation</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_Toc27579788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23</w:t>
            </w:r>
            <w:r w:rsidRPr="00B35E07">
              <w:rPr>
                <w:rFonts w:ascii="Arial" w:hAnsi="Arial" w:cs="Arial"/>
                <w:webHidden/>
              </w:rPr>
              <w:fldChar w:fldCharType="end"/>
            </w:r>
          </w:hyperlink>
        </w:p>
        <w:p w14:paraId="74B8ACD8" w14:textId="55FC9855"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89" w:history="1">
            <w:r w:rsidRPr="00B35E07">
              <w:rPr>
                <w:rStyle w:val="Hyperlink"/>
                <w:rFonts w:ascii="Arial" w:hAnsi="Arial" w:cs="Arial"/>
                <w:b/>
                <w:bCs/>
                <w:noProof/>
                <w:sz w:val="24"/>
                <w:szCs w:val="24"/>
              </w:rPr>
              <w:t>2.6: Empirical Review</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_Toc27579789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23</w:t>
            </w:r>
            <w:r w:rsidRPr="00B35E07">
              <w:rPr>
                <w:rFonts w:ascii="Arial" w:hAnsi="Arial" w:cs="Arial"/>
                <w:noProof/>
                <w:webHidden/>
                <w:sz w:val="24"/>
                <w:szCs w:val="24"/>
              </w:rPr>
              <w:fldChar w:fldCharType="end"/>
            </w:r>
          </w:hyperlink>
        </w:p>
        <w:p w14:paraId="6BCBC577" w14:textId="2A9BD3FA"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0" w:history="1">
            <w:r w:rsidRPr="00B35E07">
              <w:rPr>
                <w:rStyle w:val="Hyperlink"/>
                <w:rFonts w:ascii="Arial" w:hAnsi="Arial" w:cs="Arial"/>
                <w:b/>
                <w:bCs/>
                <w:noProof/>
                <w:sz w:val="24"/>
                <w:szCs w:val="24"/>
              </w:rPr>
              <w:t>2.7: Summary of Literature</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_Toc27579790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25</w:t>
            </w:r>
            <w:r w:rsidRPr="00B35E07">
              <w:rPr>
                <w:rFonts w:ascii="Arial" w:hAnsi="Arial" w:cs="Arial"/>
                <w:noProof/>
                <w:webHidden/>
                <w:sz w:val="24"/>
                <w:szCs w:val="24"/>
              </w:rPr>
              <w:fldChar w:fldCharType="end"/>
            </w:r>
          </w:hyperlink>
        </w:p>
        <w:p w14:paraId="03634EC2" w14:textId="604A619E"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1" w:history="1">
            <w:r w:rsidRPr="00B35E07">
              <w:rPr>
                <w:rStyle w:val="Hyperlink"/>
                <w:rFonts w:ascii="Arial" w:hAnsi="Arial" w:cs="Arial"/>
                <w:b/>
                <w:bCs/>
                <w:noProof/>
                <w:sz w:val="24"/>
                <w:szCs w:val="24"/>
              </w:rPr>
              <w:t>2.8: Conceptual Framework</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26</w:t>
            </w:r>
            <w:r w:rsidRPr="00B35E07">
              <w:rPr>
                <w:rFonts w:ascii="Arial" w:hAnsi="Arial" w:cs="Arial"/>
                <w:noProof/>
                <w:webHidden/>
                <w:sz w:val="24"/>
                <w:szCs w:val="24"/>
              </w:rPr>
              <w:fldChar w:fldCharType="end"/>
            </w:r>
          </w:hyperlink>
        </w:p>
        <w:p w14:paraId="13D12AF1" w14:textId="48005778" w:rsidR="0093511C" w:rsidRPr="00B35E07" w:rsidRDefault="0093511C">
          <w:pPr>
            <w:pStyle w:val="TOC1"/>
            <w:rPr>
              <w:rFonts w:ascii="Arial" w:eastAsiaTheme="minorEastAsia" w:hAnsi="Arial" w:cs="Arial"/>
              <w:b w:val="0"/>
              <w:bCs w:val="0"/>
              <w:lang w:eastAsia="en-MY"/>
            </w:rPr>
          </w:pPr>
          <w:hyperlink w:anchor="_Toc27579792" w:history="1">
            <w:r w:rsidRPr="00B35E07">
              <w:rPr>
                <w:rStyle w:val="Hyperlink"/>
                <w:rFonts w:ascii="Arial" w:hAnsi="Arial" w:cs="Arial"/>
              </w:rPr>
              <w:t>CHAPTER 3: RESEARCH METHODOLOGY</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_Toc27579792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27</w:t>
            </w:r>
            <w:r w:rsidRPr="00B35E07">
              <w:rPr>
                <w:rFonts w:ascii="Arial" w:hAnsi="Arial" w:cs="Arial"/>
                <w:webHidden/>
              </w:rPr>
              <w:fldChar w:fldCharType="end"/>
            </w:r>
          </w:hyperlink>
        </w:p>
        <w:p w14:paraId="5A691772" w14:textId="38E73596"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3" w:history="1">
            <w:r w:rsidRPr="00B35E07">
              <w:rPr>
                <w:rStyle w:val="Hyperlink"/>
                <w:rFonts w:ascii="Arial" w:hAnsi="Arial" w:cs="Arial"/>
                <w:b/>
                <w:bCs/>
                <w:noProof/>
                <w:sz w:val="24"/>
                <w:szCs w:val="24"/>
              </w:rPr>
              <w:t>3.1: Introduction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_Toc27579793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27</w:t>
            </w:r>
            <w:r w:rsidRPr="00B35E07">
              <w:rPr>
                <w:rFonts w:ascii="Arial" w:hAnsi="Arial" w:cs="Arial"/>
                <w:noProof/>
                <w:webHidden/>
                <w:sz w:val="24"/>
                <w:szCs w:val="24"/>
              </w:rPr>
              <w:fldChar w:fldCharType="end"/>
            </w:r>
          </w:hyperlink>
        </w:p>
        <w:p w14:paraId="0CB55D97" w14:textId="1DC08A32"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4" w:history="1">
            <w:r w:rsidRPr="00B35E07">
              <w:rPr>
                <w:rStyle w:val="Hyperlink"/>
                <w:rFonts w:ascii="Arial" w:hAnsi="Arial" w:cs="Arial"/>
                <w:b/>
                <w:bCs/>
                <w:noProof/>
                <w:sz w:val="24"/>
                <w:szCs w:val="24"/>
              </w:rPr>
              <w:t>3.2: Research Design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_Toc27579794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27</w:t>
            </w:r>
            <w:r w:rsidRPr="00B35E07">
              <w:rPr>
                <w:rFonts w:ascii="Arial" w:hAnsi="Arial" w:cs="Arial"/>
                <w:noProof/>
                <w:webHidden/>
                <w:sz w:val="24"/>
                <w:szCs w:val="24"/>
              </w:rPr>
              <w:fldChar w:fldCharType="end"/>
            </w:r>
          </w:hyperlink>
        </w:p>
        <w:p w14:paraId="24D40FEC" w14:textId="697C047D"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5" w:history="1">
            <w:r w:rsidRPr="00B35E07">
              <w:rPr>
                <w:rStyle w:val="Hyperlink"/>
                <w:rFonts w:ascii="Arial" w:hAnsi="Arial" w:cs="Arial"/>
                <w:b/>
                <w:bCs/>
                <w:noProof/>
                <w:sz w:val="24"/>
                <w:szCs w:val="24"/>
              </w:rPr>
              <w:t>3.3: Target Population of the Study</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27</w:t>
            </w:r>
            <w:r w:rsidRPr="00B35E07">
              <w:rPr>
                <w:rFonts w:ascii="Arial" w:hAnsi="Arial" w:cs="Arial"/>
                <w:noProof/>
                <w:webHidden/>
                <w:sz w:val="24"/>
                <w:szCs w:val="24"/>
              </w:rPr>
              <w:fldChar w:fldCharType="end"/>
            </w:r>
          </w:hyperlink>
        </w:p>
        <w:p w14:paraId="76738EB2" w14:textId="062589B7"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6" w:history="1">
            <w:r w:rsidRPr="00B35E07">
              <w:rPr>
                <w:rStyle w:val="Hyperlink"/>
                <w:rFonts w:ascii="Arial" w:hAnsi="Arial" w:cs="Arial"/>
                <w:b/>
                <w:bCs/>
                <w:noProof/>
                <w:sz w:val="24"/>
                <w:szCs w:val="24"/>
              </w:rPr>
              <w:t>3.4: Data Collection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_Toc27579796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28</w:t>
            </w:r>
            <w:r w:rsidRPr="00B35E07">
              <w:rPr>
                <w:rFonts w:ascii="Arial" w:hAnsi="Arial" w:cs="Arial"/>
                <w:noProof/>
                <w:webHidden/>
                <w:sz w:val="24"/>
                <w:szCs w:val="24"/>
              </w:rPr>
              <w:fldChar w:fldCharType="end"/>
            </w:r>
          </w:hyperlink>
        </w:p>
        <w:p w14:paraId="4A364B2F" w14:textId="2D7822A0" w:rsidR="0093511C" w:rsidRPr="00B35E07" w:rsidRDefault="0093511C">
          <w:pPr>
            <w:pStyle w:val="TOC1"/>
            <w:rPr>
              <w:rFonts w:ascii="Arial" w:eastAsiaTheme="minorEastAsia" w:hAnsi="Arial" w:cs="Arial"/>
              <w:b w:val="0"/>
              <w:bCs w:val="0"/>
              <w:lang w:eastAsia="en-MY"/>
            </w:rPr>
          </w:pPr>
          <w:hyperlink w:anchor="_Toc27579797" w:history="1">
            <w:r w:rsidRPr="00B35E07">
              <w:rPr>
                <w:rStyle w:val="Hyperlink"/>
                <w:rFonts w:ascii="Arial" w:hAnsi="Arial" w:cs="Arial"/>
              </w:rPr>
              <w:t>CHAPTER 4: Research Findings and Discussion</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_Toc27579797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29</w:t>
            </w:r>
            <w:r w:rsidRPr="00B35E07">
              <w:rPr>
                <w:rFonts w:ascii="Arial" w:hAnsi="Arial" w:cs="Arial"/>
                <w:webHidden/>
              </w:rPr>
              <w:fldChar w:fldCharType="end"/>
            </w:r>
          </w:hyperlink>
        </w:p>
        <w:p w14:paraId="1FEF221E" w14:textId="30E9B30F"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8" w:history="1">
            <w:r w:rsidRPr="00B35E07">
              <w:rPr>
                <w:rStyle w:val="Hyperlink"/>
                <w:rFonts w:ascii="Arial" w:hAnsi="Arial" w:cs="Arial"/>
                <w:b/>
                <w:bCs/>
                <w:noProof/>
                <w:sz w:val="24"/>
                <w:szCs w:val="24"/>
              </w:rPr>
              <w:t>4.0: Introduction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_Toc27579798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29</w:t>
            </w:r>
            <w:r w:rsidRPr="00B35E07">
              <w:rPr>
                <w:rFonts w:ascii="Arial" w:hAnsi="Arial" w:cs="Arial"/>
                <w:noProof/>
                <w:webHidden/>
                <w:sz w:val="24"/>
                <w:szCs w:val="24"/>
              </w:rPr>
              <w:fldChar w:fldCharType="end"/>
            </w:r>
          </w:hyperlink>
        </w:p>
        <w:p w14:paraId="33FC9CC9" w14:textId="2A1F91DE"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799" w:history="1">
            <w:r w:rsidRPr="00B35E07">
              <w:rPr>
                <w:rStyle w:val="Hyperlink"/>
                <w:rFonts w:ascii="Arial" w:hAnsi="Arial" w:cs="Arial"/>
                <w:b/>
                <w:bCs/>
                <w:noProof/>
                <w:sz w:val="24"/>
                <w:szCs w:val="24"/>
              </w:rPr>
              <w:t>4.1: Data Envelopment Analysis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_Toc27579799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29</w:t>
            </w:r>
            <w:r w:rsidRPr="00B35E07">
              <w:rPr>
                <w:rFonts w:ascii="Arial" w:hAnsi="Arial" w:cs="Arial"/>
                <w:noProof/>
                <w:webHidden/>
                <w:sz w:val="24"/>
                <w:szCs w:val="24"/>
              </w:rPr>
              <w:fldChar w:fldCharType="end"/>
            </w:r>
          </w:hyperlink>
        </w:p>
        <w:p w14:paraId="7D179439" w14:textId="61921E72" w:rsidR="0093511C" w:rsidRPr="00B35E07" w:rsidRDefault="0093511C">
          <w:pPr>
            <w:pStyle w:val="TOC3"/>
            <w:rPr>
              <w:rFonts w:ascii="Arial" w:eastAsiaTheme="minorEastAsia" w:hAnsi="Arial" w:cs="Arial"/>
              <w:lang w:eastAsia="en-MY"/>
            </w:rPr>
          </w:pPr>
          <w:hyperlink w:anchor="_Toc27579800" w:history="1">
            <w:r w:rsidRPr="00B35E07">
              <w:rPr>
                <w:rStyle w:val="Hyperlink"/>
                <w:rFonts w:ascii="Arial" w:hAnsi="Arial" w:cs="Arial"/>
              </w:rPr>
              <w:t>4.1.1: Results for bank:     1</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_Toc27579800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30</w:t>
            </w:r>
            <w:r w:rsidRPr="00B35E07">
              <w:rPr>
                <w:rFonts w:ascii="Arial" w:hAnsi="Arial" w:cs="Arial"/>
                <w:webHidden/>
              </w:rPr>
              <w:fldChar w:fldCharType="end"/>
            </w:r>
          </w:hyperlink>
        </w:p>
        <w:p w14:paraId="0C9E3A4F" w14:textId="45B46040" w:rsidR="0093511C" w:rsidRPr="00B35E07" w:rsidRDefault="0093511C">
          <w:pPr>
            <w:pStyle w:val="TOC3"/>
            <w:rPr>
              <w:rFonts w:ascii="Arial" w:eastAsiaTheme="minorEastAsia" w:hAnsi="Arial" w:cs="Arial"/>
              <w:lang w:eastAsia="en-MY"/>
            </w:rPr>
          </w:pPr>
          <w:hyperlink w:anchor="_Toc27579801" w:history="1">
            <w:r w:rsidRPr="00B35E07">
              <w:rPr>
                <w:rStyle w:val="Hyperlink"/>
                <w:rFonts w:ascii="Arial" w:hAnsi="Arial" w:cs="Arial"/>
              </w:rPr>
              <w:t>4.1.2: Results for bank:     2</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_Toc27579801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31</w:t>
            </w:r>
            <w:r w:rsidRPr="00B35E07">
              <w:rPr>
                <w:rFonts w:ascii="Arial" w:hAnsi="Arial" w:cs="Arial"/>
                <w:webHidden/>
              </w:rPr>
              <w:fldChar w:fldCharType="end"/>
            </w:r>
          </w:hyperlink>
        </w:p>
        <w:p w14:paraId="2D2F95E2" w14:textId="4A940703" w:rsidR="0093511C" w:rsidRPr="00B35E07" w:rsidRDefault="0093511C">
          <w:pPr>
            <w:pStyle w:val="TOC3"/>
            <w:rPr>
              <w:rFonts w:ascii="Arial" w:eastAsiaTheme="minorEastAsia" w:hAnsi="Arial" w:cs="Arial"/>
              <w:lang w:eastAsia="en-MY"/>
            </w:rPr>
          </w:pPr>
          <w:hyperlink w:anchor="_Toc27579802" w:history="1">
            <w:r w:rsidRPr="00B35E07">
              <w:rPr>
                <w:rStyle w:val="Hyperlink"/>
                <w:rFonts w:ascii="Arial" w:hAnsi="Arial" w:cs="Arial"/>
              </w:rPr>
              <w:t>4.1.3: Results for bank:     3</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_Toc27579802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32</w:t>
            </w:r>
            <w:r w:rsidRPr="00B35E07">
              <w:rPr>
                <w:rFonts w:ascii="Arial" w:hAnsi="Arial" w:cs="Arial"/>
                <w:webHidden/>
              </w:rPr>
              <w:fldChar w:fldCharType="end"/>
            </w:r>
          </w:hyperlink>
        </w:p>
        <w:p w14:paraId="1595C6E3" w14:textId="7A218693" w:rsidR="0093511C" w:rsidRPr="00B35E07" w:rsidRDefault="0093511C">
          <w:pPr>
            <w:pStyle w:val="TOC3"/>
            <w:rPr>
              <w:rFonts w:ascii="Arial" w:eastAsiaTheme="minorEastAsia" w:hAnsi="Arial" w:cs="Arial"/>
              <w:lang w:eastAsia="en-MY"/>
            </w:rPr>
          </w:pPr>
          <w:hyperlink w:anchor="_Toc27579803" w:history="1">
            <w:r w:rsidRPr="00B35E07">
              <w:rPr>
                <w:rStyle w:val="Hyperlink"/>
                <w:rFonts w:ascii="Arial" w:hAnsi="Arial" w:cs="Arial"/>
              </w:rPr>
              <w:t>4.1.4: Results for bank:     4</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_Toc27579803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33</w:t>
            </w:r>
            <w:r w:rsidRPr="00B35E07">
              <w:rPr>
                <w:rFonts w:ascii="Arial" w:hAnsi="Arial" w:cs="Arial"/>
                <w:webHidden/>
              </w:rPr>
              <w:fldChar w:fldCharType="end"/>
            </w:r>
          </w:hyperlink>
        </w:p>
        <w:p w14:paraId="2DFBA664" w14:textId="49867D47" w:rsidR="0093511C" w:rsidRPr="00B35E07" w:rsidRDefault="0093511C">
          <w:pPr>
            <w:pStyle w:val="TOC3"/>
            <w:rPr>
              <w:rFonts w:ascii="Arial" w:eastAsiaTheme="minorEastAsia" w:hAnsi="Arial" w:cs="Arial"/>
              <w:lang w:eastAsia="en-MY"/>
            </w:rPr>
          </w:pPr>
          <w:hyperlink w:anchor="_Toc27579804" w:history="1">
            <w:r w:rsidRPr="00B35E07">
              <w:rPr>
                <w:rStyle w:val="Hyperlink"/>
                <w:rFonts w:ascii="Arial" w:hAnsi="Arial" w:cs="Arial"/>
              </w:rPr>
              <w:t>4.1.5: Results for bank:     5</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_Toc27579804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33</w:t>
            </w:r>
            <w:r w:rsidRPr="00B35E07">
              <w:rPr>
                <w:rFonts w:ascii="Arial" w:hAnsi="Arial" w:cs="Arial"/>
                <w:webHidden/>
              </w:rPr>
              <w:fldChar w:fldCharType="end"/>
            </w:r>
          </w:hyperlink>
        </w:p>
        <w:p w14:paraId="2A2B1F73" w14:textId="377E6221" w:rsidR="0093511C" w:rsidRPr="00B35E07" w:rsidRDefault="0093511C">
          <w:pPr>
            <w:pStyle w:val="TOC3"/>
            <w:rPr>
              <w:rFonts w:ascii="Arial" w:eastAsiaTheme="minorEastAsia" w:hAnsi="Arial" w:cs="Arial"/>
              <w:lang w:eastAsia="en-MY"/>
            </w:rPr>
          </w:pPr>
          <w:hyperlink w:anchor="_Toc27579805" w:history="1">
            <w:r w:rsidRPr="00B35E07">
              <w:rPr>
                <w:rStyle w:val="Hyperlink"/>
                <w:rFonts w:ascii="Arial" w:hAnsi="Arial" w:cs="Arial"/>
              </w:rPr>
              <w:t>4.1.6: Results for bank:     6</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_Toc27579805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34</w:t>
            </w:r>
            <w:r w:rsidRPr="00B35E07">
              <w:rPr>
                <w:rFonts w:ascii="Arial" w:hAnsi="Arial" w:cs="Arial"/>
                <w:webHidden/>
              </w:rPr>
              <w:fldChar w:fldCharType="end"/>
            </w:r>
          </w:hyperlink>
        </w:p>
        <w:p w14:paraId="53623F71" w14:textId="0F88F3A9" w:rsidR="0093511C" w:rsidRPr="00B35E07" w:rsidRDefault="0093511C">
          <w:pPr>
            <w:pStyle w:val="TOC3"/>
            <w:rPr>
              <w:rFonts w:ascii="Arial" w:eastAsiaTheme="minorEastAsia" w:hAnsi="Arial" w:cs="Arial"/>
              <w:lang w:eastAsia="en-MY"/>
            </w:rPr>
          </w:pPr>
          <w:hyperlink w:anchor="_Toc27579806" w:history="1">
            <w:r w:rsidRPr="00B35E07">
              <w:rPr>
                <w:rStyle w:val="Hyperlink"/>
                <w:rFonts w:ascii="Arial" w:hAnsi="Arial" w:cs="Arial"/>
              </w:rPr>
              <w:t>4.1.7: Results for bank:     7</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_Toc27579806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35</w:t>
            </w:r>
            <w:r w:rsidRPr="00B35E07">
              <w:rPr>
                <w:rFonts w:ascii="Arial" w:hAnsi="Arial" w:cs="Arial"/>
                <w:webHidden/>
              </w:rPr>
              <w:fldChar w:fldCharType="end"/>
            </w:r>
          </w:hyperlink>
        </w:p>
        <w:p w14:paraId="7B28A285" w14:textId="3AC153CD" w:rsidR="0093511C" w:rsidRPr="00B35E07" w:rsidRDefault="0093511C">
          <w:pPr>
            <w:pStyle w:val="TOC3"/>
            <w:rPr>
              <w:rFonts w:ascii="Arial" w:eastAsiaTheme="minorEastAsia" w:hAnsi="Arial" w:cs="Arial"/>
              <w:lang w:eastAsia="en-MY"/>
            </w:rPr>
          </w:pPr>
          <w:hyperlink w:anchor="_Toc27579807" w:history="1">
            <w:r w:rsidRPr="00B35E07">
              <w:rPr>
                <w:rStyle w:val="Hyperlink"/>
                <w:rFonts w:ascii="Arial" w:hAnsi="Arial" w:cs="Arial"/>
              </w:rPr>
              <w:t>4.1.8: Results for bank:     8</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_Toc27579807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35</w:t>
            </w:r>
            <w:r w:rsidRPr="00B35E07">
              <w:rPr>
                <w:rFonts w:ascii="Arial" w:hAnsi="Arial" w:cs="Arial"/>
                <w:webHidden/>
              </w:rPr>
              <w:fldChar w:fldCharType="end"/>
            </w:r>
          </w:hyperlink>
        </w:p>
        <w:p w14:paraId="60EFCBAA" w14:textId="39C40E15" w:rsidR="0093511C" w:rsidRPr="00B35E07" w:rsidRDefault="0093511C">
          <w:pPr>
            <w:pStyle w:val="TOC3"/>
            <w:rPr>
              <w:rFonts w:ascii="Arial" w:eastAsiaTheme="minorEastAsia" w:hAnsi="Arial" w:cs="Arial"/>
              <w:lang w:eastAsia="en-MY"/>
            </w:rPr>
          </w:pPr>
          <w:hyperlink w:anchor="_Toc27579808" w:history="1">
            <w:r w:rsidRPr="00B35E07">
              <w:rPr>
                <w:rStyle w:val="Hyperlink"/>
                <w:rFonts w:ascii="Arial" w:hAnsi="Arial" w:cs="Arial"/>
              </w:rPr>
              <w:t>4.1.9: Results for bank:     9</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_Toc27579808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36</w:t>
            </w:r>
            <w:r w:rsidRPr="00B35E07">
              <w:rPr>
                <w:rFonts w:ascii="Arial" w:hAnsi="Arial" w:cs="Arial"/>
                <w:webHidden/>
              </w:rPr>
              <w:fldChar w:fldCharType="end"/>
            </w:r>
          </w:hyperlink>
        </w:p>
        <w:p w14:paraId="6A6522A1" w14:textId="58A649F1" w:rsidR="0093511C" w:rsidRPr="00B35E07" w:rsidRDefault="0093511C">
          <w:pPr>
            <w:pStyle w:val="TOC3"/>
            <w:rPr>
              <w:rFonts w:ascii="Arial" w:eastAsiaTheme="minorEastAsia" w:hAnsi="Arial" w:cs="Arial"/>
              <w:lang w:eastAsia="en-MY"/>
            </w:rPr>
          </w:pPr>
          <w:hyperlink w:anchor="_Toc27579809" w:history="1">
            <w:r w:rsidRPr="00B35E07">
              <w:rPr>
                <w:rStyle w:val="Hyperlink"/>
                <w:rFonts w:ascii="Arial" w:hAnsi="Arial" w:cs="Arial"/>
              </w:rPr>
              <w:t>4.1.10: Results for bank:     10</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_Toc27579809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37</w:t>
            </w:r>
            <w:r w:rsidRPr="00B35E07">
              <w:rPr>
                <w:rFonts w:ascii="Arial" w:hAnsi="Arial" w:cs="Arial"/>
                <w:webHidden/>
              </w:rPr>
              <w:fldChar w:fldCharType="end"/>
            </w:r>
          </w:hyperlink>
        </w:p>
        <w:p w14:paraId="44EE6D94" w14:textId="15E15B8E" w:rsidR="0093511C" w:rsidRPr="00B35E07" w:rsidRDefault="0093511C">
          <w:pPr>
            <w:pStyle w:val="TOC3"/>
            <w:rPr>
              <w:rFonts w:ascii="Arial" w:eastAsiaTheme="minorEastAsia" w:hAnsi="Arial" w:cs="Arial"/>
              <w:lang w:eastAsia="en-MY"/>
            </w:rPr>
          </w:pPr>
          <w:hyperlink w:anchor="_Toc27579810" w:history="1">
            <w:r w:rsidRPr="00B35E07">
              <w:rPr>
                <w:rStyle w:val="Hyperlink"/>
                <w:rFonts w:ascii="Arial" w:hAnsi="Arial" w:cs="Arial"/>
              </w:rPr>
              <w:t>4.1.11: Results for bank:     11</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_Toc27579810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38</w:t>
            </w:r>
            <w:r w:rsidRPr="00B35E07">
              <w:rPr>
                <w:rFonts w:ascii="Arial" w:hAnsi="Arial" w:cs="Arial"/>
                <w:webHidden/>
              </w:rPr>
              <w:fldChar w:fldCharType="end"/>
            </w:r>
          </w:hyperlink>
        </w:p>
        <w:p w14:paraId="09EEA09C" w14:textId="7666C6DC"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1" w:history="1">
            <w:r w:rsidRPr="00B35E07">
              <w:rPr>
                <w:rStyle w:val="Hyperlink"/>
                <w:rFonts w:ascii="Arial" w:hAnsi="Arial" w:cs="Arial"/>
                <w:b/>
                <w:bCs/>
                <w:noProof/>
                <w:sz w:val="24"/>
                <w:szCs w:val="24"/>
              </w:rPr>
              <w:t>4.2: Capital Management</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39</w:t>
            </w:r>
            <w:r w:rsidRPr="00B35E07">
              <w:rPr>
                <w:rFonts w:ascii="Arial" w:hAnsi="Arial" w:cs="Arial"/>
                <w:noProof/>
                <w:webHidden/>
                <w:sz w:val="24"/>
                <w:szCs w:val="24"/>
              </w:rPr>
              <w:fldChar w:fldCharType="end"/>
            </w:r>
          </w:hyperlink>
        </w:p>
        <w:p w14:paraId="22942BFC" w14:textId="5BB116B9"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2" w:history="1">
            <w:r w:rsidRPr="00B35E07">
              <w:rPr>
                <w:rStyle w:val="Hyperlink"/>
                <w:rFonts w:ascii="Arial" w:hAnsi="Arial" w:cs="Arial"/>
                <w:b/>
                <w:bCs/>
                <w:noProof/>
                <w:sz w:val="24"/>
                <w:szCs w:val="24"/>
              </w:rPr>
              <w:t>4.3: Earnings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_Toc27579812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40</w:t>
            </w:r>
            <w:r w:rsidRPr="00B35E07">
              <w:rPr>
                <w:rFonts w:ascii="Arial" w:hAnsi="Arial" w:cs="Arial"/>
                <w:noProof/>
                <w:webHidden/>
                <w:sz w:val="24"/>
                <w:szCs w:val="24"/>
              </w:rPr>
              <w:fldChar w:fldCharType="end"/>
            </w:r>
          </w:hyperlink>
        </w:p>
        <w:p w14:paraId="29681593" w14:textId="272AC566"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3" w:history="1">
            <w:r w:rsidRPr="00B35E07">
              <w:rPr>
                <w:rStyle w:val="Hyperlink"/>
                <w:rFonts w:ascii="Arial" w:hAnsi="Arial" w:cs="Arial"/>
                <w:b/>
                <w:bCs/>
                <w:noProof/>
                <w:sz w:val="24"/>
                <w:szCs w:val="24"/>
              </w:rPr>
              <w:t>4.4: Loan to Deposit Ratio</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_Toc27579813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41</w:t>
            </w:r>
            <w:r w:rsidRPr="00B35E07">
              <w:rPr>
                <w:rFonts w:ascii="Arial" w:hAnsi="Arial" w:cs="Arial"/>
                <w:noProof/>
                <w:webHidden/>
                <w:sz w:val="24"/>
                <w:szCs w:val="24"/>
              </w:rPr>
              <w:fldChar w:fldCharType="end"/>
            </w:r>
          </w:hyperlink>
        </w:p>
        <w:p w14:paraId="191076A1" w14:textId="6EE99BD6"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4" w:history="1">
            <w:r w:rsidRPr="00B35E07">
              <w:rPr>
                <w:rStyle w:val="Hyperlink"/>
                <w:rFonts w:ascii="Arial" w:hAnsi="Arial" w:cs="Arial"/>
                <w:b/>
                <w:bCs/>
                <w:noProof/>
                <w:sz w:val="24"/>
                <w:szCs w:val="24"/>
              </w:rPr>
              <w:t>4.5: Annual GDP Growth</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_Toc27579814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42</w:t>
            </w:r>
            <w:r w:rsidRPr="00B35E07">
              <w:rPr>
                <w:rFonts w:ascii="Arial" w:hAnsi="Arial" w:cs="Arial"/>
                <w:noProof/>
                <w:webHidden/>
                <w:sz w:val="24"/>
                <w:szCs w:val="24"/>
              </w:rPr>
              <w:fldChar w:fldCharType="end"/>
            </w:r>
          </w:hyperlink>
        </w:p>
        <w:p w14:paraId="27A3CA3E" w14:textId="5C7A1B09"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5" w:history="1">
            <w:r w:rsidRPr="00B35E07">
              <w:rPr>
                <w:rStyle w:val="Hyperlink"/>
                <w:rFonts w:ascii="Arial" w:hAnsi="Arial" w:cs="Arial"/>
                <w:b/>
                <w:bCs/>
                <w:noProof/>
                <w:sz w:val="24"/>
                <w:szCs w:val="24"/>
              </w:rPr>
              <w:t>4.6: Annual Average Inflation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43</w:t>
            </w:r>
            <w:r w:rsidRPr="00B35E07">
              <w:rPr>
                <w:rFonts w:ascii="Arial" w:hAnsi="Arial" w:cs="Arial"/>
                <w:noProof/>
                <w:webHidden/>
                <w:sz w:val="24"/>
                <w:szCs w:val="24"/>
              </w:rPr>
              <w:fldChar w:fldCharType="end"/>
            </w:r>
          </w:hyperlink>
        </w:p>
        <w:p w14:paraId="51927880" w14:textId="75F22BCB"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6" w:history="1">
            <w:r w:rsidRPr="00B35E07">
              <w:rPr>
                <w:rStyle w:val="Hyperlink"/>
                <w:rFonts w:ascii="Arial" w:hAnsi="Arial" w:cs="Arial"/>
                <w:b/>
                <w:bCs/>
                <w:noProof/>
                <w:sz w:val="24"/>
                <w:szCs w:val="24"/>
              </w:rPr>
              <w:t>4.7: Descriptive Statistics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_Toc27579816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44</w:t>
            </w:r>
            <w:r w:rsidRPr="00B35E07">
              <w:rPr>
                <w:rFonts w:ascii="Arial" w:hAnsi="Arial" w:cs="Arial"/>
                <w:noProof/>
                <w:webHidden/>
                <w:sz w:val="24"/>
                <w:szCs w:val="24"/>
              </w:rPr>
              <w:fldChar w:fldCharType="end"/>
            </w:r>
          </w:hyperlink>
        </w:p>
        <w:p w14:paraId="7B25A761" w14:textId="6260649E"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7" w:history="1">
            <w:r w:rsidRPr="00B35E07">
              <w:rPr>
                <w:rStyle w:val="Hyperlink"/>
                <w:rFonts w:ascii="Arial" w:hAnsi="Arial" w:cs="Arial"/>
                <w:b/>
                <w:bCs/>
                <w:noProof/>
                <w:sz w:val="24"/>
                <w:szCs w:val="24"/>
              </w:rPr>
              <w:t>4.8: Ordinary Linear Regression Analysis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_Toc27579817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45</w:t>
            </w:r>
            <w:r w:rsidRPr="00B35E07">
              <w:rPr>
                <w:rFonts w:ascii="Arial" w:hAnsi="Arial" w:cs="Arial"/>
                <w:noProof/>
                <w:webHidden/>
                <w:sz w:val="24"/>
                <w:szCs w:val="24"/>
              </w:rPr>
              <w:fldChar w:fldCharType="end"/>
            </w:r>
          </w:hyperlink>
        </w:p>
        <w:p w14:paraId="6E932F1E" w14:textId="67859DB8"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8" w:history="1">
            <w:r w:rsidRPr="00B35E07">
              <w:rPr>
                <w:rStyle w:val="Hyperlink"/>
                <w:rFonts w:ascii="Arial" w:hAnsi="Arial" w:cs="Arial"/>
                <w:b/>
                <w:bCs/>
                <w:noProof/>
                <w:sz w:val="24"/>
                <w:szCs w:val="24"/>
              </w:rPr>
              <w:t>4.9: Hierarchical Regression Analysis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_Toc27579818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47</w:t>
            </w:r>
            <w:r w:rsidRPr="00B35E07">
              <w:rPr>
                <w:rFonts w:ascii="Arial" w:hAnsi="Arial" w:cs="Arial"/>
                <w:noProof/>
                <w:webHidden/>
                <w:sz w:val="24"/>
                <w:szCs w:val="24"/>
              </w:rPr>
              <w:fldChar w:fldCharType="end"/>
            </w:r>
          </w:hyperlink>
        </w:p>
        <w:p w14:paraId="1F838DE8" w14:textId="092566F3"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19" w:history="1">
            <w:r w:rsidRPr="00B35E07">
              <w:rPr>
                <w:rStyle w:val="Hyperlink"/>
                <w:rFonts w:ascii="Arial" w:hAnsi="Arial" w:cs="Arial"/>
                <w:b/>
                <w:bCs/>
                <w:noProof/>
                <w:sz w:val="24"/>
                <w:szCs w:val="24"/>
              </w:rPr>
              <w:t>5.0: Pearson Correlation Analysis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_Toc27579819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48</w:t>
            </w:r>
            <w:r w:rsidRPr="00B35E07">
              <w:rPr>
                <w:rFonts w:ascii="Arial" w:hAnsi="Arial" w:cs="Arial"/>
                <w:noProof/>
                <w:webHidden/>
                <w:sz w:val="24"/>
                <w:szCs w:val="24"/>
              </w:rPr>
              <w:fldChar w:fldCharType="end"/>
            </w:r>
          </w:hyperlink>
        </w:p>
        <w:p w14:paraId="14E7C870" w14:textId="28961855"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0" w:history="1">
            <w:r w:rsidRPr="00B35E07">
              <w:rPr>
                <w:rStyle w:val="Hyperlink"/>
                <w:rFonts w:ascii="Arial" w:hAnsi="Arial" w:cs="Arial"/>
                <w:b/>
                <w:bCs/>
                <w:noProof/>
                <w:sz w:val="24"/>
                <w:szCs w:val="24"/>
              </w:rPr>
              <w:t>5.1: Discussions on Findings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_Toc27579820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50</w:t>
            </w:r>
            <w:r w:rsidRPr="00B35E07">
              <w:rPr>
                <w:rFonts w:ascii="Arial" w:hAnsi="Arial" w:cs="Arial"/>
                <w:noProof/>
                <w:webHidden/>
                <w:sz w:val="24"/>
                <w:szCs w:val="24"/>
              </w:rPr>
              <w:fldChar w:fldCharType="end"/>
            </w:r>
          </w:hyperlink>
        </w:p>
        <w:p w14:paraId="1B012B49" w14:textId="548B030D"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1" w:history="1">
            <w:r w:rsidRPr="00B35E07">
              <w:rPr>
                <w:rStyle w:val="Hyperlink"/>
                <w:rFonts w:ascii="Arial" w:hAnsi="Arial" w:cs="Arial"/>
                <w:b/>
                <w:bCs/>
                <w:noProof/>
                <w:sz w:val="24"/>
                <w:szCs w:val="24"/>
              </w:rPr>
              <w:t>5.2: Hypothesis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51</w:t>
            </w:r>
            <w:r w:rsidRPr="00B35E07">
              <w:rPr>
                <w:rFonts w:ascii="Arial" w:hAnsi="Arial" w:cs="Arial"/>
                <w:noProof/>
                <w:webHidden/>
                <w:sz w:val="24"/>
                <w:szCs w:val="24"/>
              </w:rPr>
              <w:fldChar w:fldCharType="end"/>
            </w:r>
          </w:hyperlink>
        </w:p>
        <w:p w14:paraId="16E644A6" w14:textId="6199D7CF" w:rsidR="0093511C" w:rsidRPr="00B35E07" w:rsidRDefault="0093511C">
          <w:pPr>
            <w:pStyle w:val="TOC1"/>
            <w:rPr>
              <w:rFonts w:ascii="Arial" w:eastAsiaTheme="minorEastAsia" w:hAnsi="Arial" w:cs="Arial"/>
              <w:b w:val="0"/>
              <w:bCs w:val="0"/>
              <w:lang w:eastAsia="en-MY"/>
            </w:rPr>
          </w:pPr>
          <w:hyperlink w:anchor="_Toc27579822" w:history="1">
            <w:r w:rsidRPr="00B35E07">
              <w:rPr>
                <w:rStyle w:val="Hyperlink"/>
                <w:rFonts w:ascii="Arial" w:hAnsi="Arial" w:cs="Arial"/>
              </w:rPr>
              <w:t>CHAPTER 5: Conclusion and Recommendations</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_Toc27579822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52</w:t>
            </w:r>
            <w:r w:rsidRPr="00B35E07">
              <w:rPr>
                <w:rFonts w:ascii="Arial" w:hAnsi="Arial" w:cs="Arial"/>
                <w:webHidden/>
              </w:rPr>
              <w:fldChar w:fldCharType="end"/>
            </w:r>
          </w:hyperlink>
        </w:p>
        <w:p w14:paraId="1AE43F77" w14:textId="1F9C7544"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3" w:history="1">
            <w:r w:rsidRPr="00B35E07">
              <w:rPr>
                <w:rStyle w:val="Hyperlink"/>
                <w:rFonts w:ascii="Arial" w:hAnsi="Arial" w:cs="Arial"/>
                <w:b/>
                <w:bCs/>
                <w:noProof/>
                <w:sz w:val="24"/>
                <w:szCs w:val="24"/>
              </w:rPr>
              <w:t>5.0: Introduction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_Toc27579823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52</w:t>
            </w:r>
            <w:r w:rsidRPr="00B35E07">
              <w:rPr>
                <w:rFonts w:ascii="Arial" w:hAnsi="Arial" w:cs="Arial"/>
                <w:noProof/>
                <w:webHidden/>
                <w:sz w:val="24"/>
                <w:szCs w:val="24"/>
              </w:rPr>
              <w:fldChar w:fldCharType="end"/>
            </w:r>
          </w:hyperlink>
        </w:p>
        <w:p w14:paraId="416383AF" w14:textId="7BBF75FA"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4" w:history="1">
            <w:r w:rsidRPr="00B35E07">
              <w:rPr>
                <w:rStyle w:val="Hyperlink"/>
                <w:rFonts w:ascii="Arial" w:hAnsi="Arial" w:cs="Arial"/>
                <w:b/>
                <w:bCs/>
                <w:noProof/>
                <w:sz w:val="24"/>
                <w:szCs w:val="24"/>
              </w:rPr>
              <w:t>5.1: Summary of Findings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_Toc27579824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52</w:t>
            </w:r>
            <w:r w:rsidRPr="00B35E07">
              <w:rPr>
                <w:rFonts w:ascii="Arial" w:hAnsi="Arial" w:cs="Arial"/>
                <w:noProof/>
                <w:webHidden/>
                <w:sz w:val="24"/>
                <w:szCs w:val="24"/>
              </w:rPr>
              <w:fldChar w:fldCharType="end"/>
            </w:r>
          </w:hyperlink>
        </w:p>
        <w:p w14:paraId="21BFA70B" w14:textId="477BD308"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5" w:history="1">
            <w:r w:rsidRPr="00B35E07">
              <w:rPr>
                <w:rStyle w:val="Hyperlink"/>
                <w:rFonts w:ascii="Arial" w:hAnsi="Arial" w:cs="Arial"/>
                <w:b/>
                <w:bCs/>
                <w:noProof/>
                <w:sz w:val="24"/>
                <w:szCs w:val="24"/>
              </w:rPr>
              <w:t>Hypothesis 1</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52</w:t>
            </w:r>
            <w:r w:rsidRPr="00B35E07">
              <w:rPr>
                <w:rFonts w:ascii="Arial" w:hAnsi="Arial" w:cs="Arial"/>
                <w:noProof/>
                <w:webHidden/>
                <w:sz w:val="24"/>
                <w:szCs w:val="24"/>
              </w:rPr>
              <w:fldChar w:fldCharType="end"/>
            </w:r>
          </w:hyperlink>
        </w:p>
        <w:p w14:paraId="50781C00" w14:textId="7B9B889C"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6" w:history="1">
            <w:r w:rsidRPr="00B35E07">
              <w:rPr>
                <w:rStyle w:val="Hyperlink"/>
                <w:rFonts w:ascii="Arial" w:hAnsi="Arial" w:cs="Arial"/>
                <w:b/>
                <w:bCs/>
                <w:noProof/>
                <w:sz w:val="24"/>
                <w:szCs w:val="24"/>
              </w:rPr>
              <w:t>Hypothesis 2</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_Toc27579826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52</w:t>
            </w:r>
            <w:r w:rsidRPr="00B35E07">
              <w:rPr>
                <w:rFonts w:ascii="Arial" w:hAnsi="Arial" w:cs="Arial"/>
                <w:noProof/>
                <w:webHidden/>
                <w:sz w:val="24"/>
                <w:szCs w:val="24"/>
              </w:rPr>
              <w:fldChar w:fldCharType="end"/>
            </w:r>
          </w:hyperlink>
        </w:p>
        <w:p w14:paraId="2AD6FF06" w14:textId="34AF9C32"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7" w:history="1">
            <w:r w:rsidRPr="00B35E07">
              <w:rPr>
                <w:rStyle w:val="Hyperlink"/>
                <w:rFonts w:ascii="Arial" w:hAnsi="Arial" w:cs="Arial"/>
                <w:b/>
                <w:bCs/>
                <w:noProof/>
                <w:sz w:val="24"/>
                <w:szCs w:val="24"/>
              </w:rPr>
              <w:t>Hypothesis 3</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_Toc27579827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53</w:t>
            </w:r>
            <w:r w:rsidRPr="00B35E07">
              <w:rPr>
                <w:rFonts w:ascii="Arial" w:hAnsi="Arial" w:cs="Arial"/>
                <w:noProof/>
                <w:webHidden/>
                <w:sz w:val="24"/>
                <w:szCs w:val="24"/>
              </w:rPr>
              <w:fldChar w:fldCharType="end"/>
            </w:r>
          </w:hyperlink>
        </w:p>
        <w:p w14:paraId="1502468D" w14:textId="5AD13719"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8" w:history="1">
            <w:r w:rsidRPr="00B35E07">
              <w:rPr>
                <w:rStyle w:val="Hyperlink"/>
                <w:rFonts w:ascii="Arial" w:hAnsi="Arial" w:cs="Arial"/>
                <w:b/>
                <w:bCs/>
                <w:noProof/>
                <w:sz w:val="24"/>
                <w:szCs w:val="24"/>
              </w:rPr>
              <w:t>Hypothesis 4</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_Toc27579828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53</w:t>
            </w:r>
            <w:r w:rsidRPr="00B35E07">
              <w:rPr>
                <w:rFonts w:ascii="Arial" w:hAnsi="Arial" w:cs="Arial"/>
                <w:noProof/>
                <w:webHidden/>
                <w:sz w:val="24"/>
                <w:szCs w:val="24"/>
              </w:rPr>
              <w:fldChar w:fldCharType="end"/>
            </w:r>
          </w:hyperlink>
        </w:p>
        <w:p w14:paraId="135939A3" w14:textId="3804C419"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29" w:history="1">
            <w:r w:rsidRPr="00B35E07">
              <w:rPr>
                <w:rStyle w:val="Hyperlink"/>
                <w:rFonts w:ascii="Arial" w:hAnsi="Arial" w:cs="Arial"/>
                <w:b/>
                <w:bCs/>
                <w:noProof/>
                <w:sz w:val="24"/>
                <w:szCs w:val="24"/>
              </w:rPr>
              <w:t>Hypothesis 5</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_Toc27579829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54</w:t>
            </w:r>
            <w:r w:rsidRPr="00B35E07">
              <w:rPr>
                <w:rFonts w:ascii="Arial" w:hAnsi="Arial" w:cs="Arial"/>
                <w:noProof/>
                <w:webHidden/>
                <w:sz w:val="24"/>
                <w:szCs w:val="24"/>
              </w:rPr>
              <w:fldChar w:fldCharType="end"/>
            </w:r>
          </w:hyperlink>
        </w:p>
        <w:p w14:paraId="6104CE59" w14:textId="24615E16"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0" w:history="1">
            <w:r w:rsidRPr="00B35E07">
              <w:rPr>
                <w:rStyle w:val="Hyperlink"/>
                <w:rFonts w:ascii="Arial" w:hAnsi="Arial" w:cs="Arial"/>
                <w:b/>
                <w:bCs/>
                <w:noProof/>
                <w:sz w:val="24"/>
                <w:szCs w:val="24"/>
              </w:rPr>
              <w:t>Hypothesis 6</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_Toc27579830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54</w:t>
            </w:r>
            <w:r w:rsidRPr="00B35E07">
              <w:rPr>
                <w:rFonts w:ascii="Arial" w:hAnsi="Arial" w:cs="Arial"/>
                <w:noProof/>
                <w:webHidden/>
                <w:sz w:val="24"/>
                <w:szCs w:val="24"/>
              </w:rPr>
              <w:fldChar w:fldCharType="end"/>
            </w:r>
          </w:hyperlink>
        </w:p>
        <w:p w14:paraId="106D05A6" w14:textId="69F0E118"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1" w:history="1">
            <w:r w:rsidRPr="00B35E07">
              <w:rPr>
                <w:rStyle w:val="Hyperlink"/>
                <w:rFonts w:ascii="Arial" w:hAnsi="Arial" w:cs="Arial"/>
                <w:b/>
                <w:bCs/>
                <w:noProof/>
                <w:sz w:val="24"/>
                <w:szCs w:val="24"/>
              </w:rPr>
              <w:t>Hypothesis 7</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55</w:t>
            </w:r>
            <w:r w:rsidRPr="00B35E07">
              <w:rPr>
                <w:rFonts w:ascii="Arial" w:hAnsi="Arial" w:cs="Arial"/>
                <w:noProof/>
                <w:webHidden/>
                <w:sz w:val="24"/>
                <w:szCs w:val="24"/>
              </w:rPr>
              <w:fldChar w:fldCharType="end"/>
            </w:r>
          </w:hyperlink>
        </w:p>
        <w:p w14:paraId="417E7890" w14:textId="454AE6DA"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2" w:history="1">
            <w:r w:rsidRPr="00B35E07">
              <w:rPr>
                <w:rStyle w:val="Hyperlink"/>
                <w:rFonts w:ascii="Arial" w:hAnsi="Arial" w:cs="Arial"/>
                <w:b/>
                <w:bCs/>
                <w:noProof/>
                <w:sz w:val="24"/>
                <w:szCs w:val="24"/>
              </w:rPr>
              <w:t>Impact of efficiency and probability of bank failure on the commercial banks listed on the NSE</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_Toc27579832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55</w:t>
            </w:r>
            <w:r w:rsidRPr="00B35E07">
              <w:rPr>
                <w:rFonts w:ascii="Arial" w:hAnsi="Arial" w:cs="Arial"/>
                <w:noProof/>
                <w:webHidden/>
                <w:sz w:val="24"/>
                <w:szCs w:val="24"/>
              </w:rPr>
              <w:fldChar w:fldCharType="end"/>
            </w:r>
          </w:hyperlink>
        </w:p>
        <w:p w14:paraId="2BE3FC30" w14:textId="0B2B63D9"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3" w:history="1">
            <w:r w:rsidRPr="00B35E07">
              <w:rPr>
                <w:rStyle w:val="Hyperlink"/>
                <w:rFonts w:ascii="Arial" w:hAnsi="Arial" w:cs="Arial"/>
                <w:b/>
                <w:bCs/>
                <w:noProof/>
                <w:sz w:val="24"/>
                <w:szCs w:val="24"/>
              </w:rPr>
              <w:t>5.2: Conclusion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_Toc27579833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56</w:t>
            </w:r>
            <w:r w:rsidRPr="00B35E07">
              <w:rPr>
                <w:rFonts w:ascii="Arial" w:hAnsi="Arial" w:cs="Arial"/>
                <w:noProof/>
                <w:webHidden/>
                <w:sz w:val="24"/>
                <w:szCs w:val="24"/>
              </w:rPr>
              <w:fldChar w:fldCharType="end"/>
            </w:r>
          </w:hyperlink>
        </w:p>
        <w:p w14:paraId="644E890A" w14:textId="5C98C8E0"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4" w:history="1">
            <w:r w:rsidRPr="00B35E07">
              <w:rPr>
                <w:rStyle w:val="Hyperlink"/>
                <w:rFonts w:ascii="Arial" w:hAnsi="Arial" w:cs="Arial"/>
                <w:b/>
                <w:bCs/>
                <w:noProof/>
                <w:sz w:val="24"/>
                <w:szCs w:val="24"/>
              </w:rPr>
              <w:t>5.3: Contributions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_Toc27579834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56</w:t>
            </w:r>
            <w:r w:rsidRPr="00B35E07">
              <w:rPr>
                <w:rFonts w:ascii="Arial" w:hAnsi="Arial" w:cs="Arial"/>
                <w:noProof/>
                <w:webHidden/>
                <w:sz w:val="24"/>
                <w:szCs w:val="24"/>
              </w:rPr>
              <w:fldChar w:fldCharType="end"/>
            </w:r>
          </w:hyperlink>
        </w:p>
        <w:p w14:paraId="33EC290A" w14:textId="1A0BAD24"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5" w:history="1">
            <w:r w:rsidRPr="00B35E07">
              <w:rPr>
                <w:rStyle w:val="Hyperlink"/>
                <w:rFonts w:ascii="Arial" w:hAnsi="Arial" w:cs="Arial"/>
                <w:b/>
                <w:bCs/>
                <w:noProof/>
                <w:sz w:val="24"/>
                <w:szCs w:val="24"/>
              </w:rPr>
              <w:t>5.4: Limitation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57</w:t>
            </w:r>
            <w:r w:rsidRPr="00B35E07">
              <w:rPr>
                <w:rFonts w:ascii="Arial" w:hAnsi="Arial" w:cs="Arial"/>
                <w:noProof/>
                <w:webHidden/>
                <w:sz w:val="24"/>
                <w:szCs w:val="24"/>
              </w:rPr>
              <w:fldChar w:fldCharType="end"/>
            </w:r>
          </w:hyperlink>
        </w:p>
        <w:p w14:paraId="05EF2766" w14:textId="481404A2"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6" w:history="1">
            <w:r w:rsidRPr="00B35E07">
              <w:rPr>
                <w:rStyle w:val="Hyperlink"/>
                <w:rFonts w:ascii="Arial" w:hAnsi="Arial" w:cs="Arial"/>
                <w:b/>
                <w:bCs/>
                <w:noProof/>
                <w:sz w:val="24"/>
                <w:szCs w:val="24"/>
              </w:rPr>
              <w:t>5.5: Recommendation for Future Research</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_Toc27579836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57</w:t>
            </w:r>
            <w:r w:rsidRPr="00B35E07">
              <w:rPr>
                <w:rFonts w:ascii="Arial" w:hAnsi="Arial" w:cs="Arial"/>
                <w:noProof/>
                <w:webHidden/>
                <w:sz w:val="24"/>
                <w:szCs w:val="24"/>
              </w:rPr>
              <w:fldChar w:fldCharType="end"/>
            </w:r>
          </w:hyperlink>
        </w:p>
        <w:p w14:paraId="42C72176" w14:textId="55655818"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37" w:history="1">
            <w:r w:rsidRPr="00B35E07">
              <w:rPr>
                <w:rStyle w:val="Hyperlink"/>
                <w:rFonts w:ascii="Arial" w:hAnsi="Arial" w:cs="Arial"/>
                <w:b/>
                <w:bCs/>
                <w:noProof/>
                <w:sz w:val="24"/>
                <w:szCs w:val="24"/>
              </w:rPr>
              <w:t>5.6: Personal Reflection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_Toc27579837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57</w:t>
            </w:r>
            <w:r w:rsidRPr="00B35E07">
              <w:rPr>
                <w:rFonts w:ascii="Arial" w:hAnsi="Arial" w:cs="Arial"/>
                <w:noProof/>
                <w:webHidden/>
                <w:sz w:val="24"/>
                <w:szCs w:val="24"/>
              </w:rPr>
              <w:fldChar w:fldCharType="end"/>
            </w:r>
          </w:hyperlink>
        </w:p>
        <w:p w14:paraId="6C5B888D" w14:textId="6638D123" w:rsidR="0093511C" w:rsidRPr="00B35E07" w:rsidRDefault="0093511C">
          <w:pPr>
            <w:pStyle w:val="TOC1"/>
            <w:rPr>
              <w:rFonts w:ascii="Arial" w:eastAsiaTheme="minorEastAsia" w:hAnsi="Arial" w:cs="Arial"/>
              <w:b w:val="0"/>
              <w:bCs w:val="0"/>
              <w:lang w:eastAsia="en-MY"/>
            </w:rPr>
          </w:pPr>
          <w:hyperlink w:anchor="_Toc27579838" w:history="1">
            <w:r w:rsidRPr="00B35E07">
              <w:rPr>
                <w:rStyle w:val="Hyperlink"/>
                <w:rFonts w:ascii="Arial" w:hAnsi="Arial" w:cs="Arial"/>
              </w:rPr>
              <w:t>6.0: REFERENCES</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_Toc27579838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59</w:t>
            </w:r>
            <w:r w:rsidRPr="00B35E07">
              <w:rPr>
                <w:rFonts w:ascii="Arial" w:hAnsi="Arial" w:cs="Arial"/>
                <w:webHidden/>
              </w:rPr>
              <w:fldChar w:fldCharType="end"/>
            </w:r>
          </w:hyperlink>
        </w:p>
        <w:p w14:paraId="0E927D84" w14:textId="493B7010" w:rsidR="0093511C" w:rsidRPr="00B35E07" w:rsidRDefault="0093511C">
          <w:pPr>
            <w:pStyle w:val="TOC1"/>
            <w:rPr>
              <w:rFonts w:ascii="Arial" w:eastAsiaTheme="minorEastAsia" w:hAnsi="Arial" w:cs="Arial"/>
              <w:b w:val="0"/>
              <w:bCs w:val="0"/>
              <w:lang w:eastAsia="en-MY"/>
            </w:rPr>
          </w:pPr>
          <w:hyperlink w:anchor="_Toc27579839" w:history="1">
            <w:r w:rsidRPr="00B35E07">
              <w:rPr>
                <w:rStyle w:val="Hyperlink"/>
                <w:rFonts w:ascii="Arial" w:hAnsi="Arial" w:cs="Arial"/>
              </w:rPr>
              <w:t>7.0: APPENDIX</w:t>
            </w:r>
            <w:r w:rsidRPr="00B35E07">
              <w:rPr>
                <w:rFonts w:ascii="Arial" w:hAnsi="Arial" w:cs="Arial"/>
                <w:webHidden/>
              </w:rPr>
              <w:tab/>
            </w:r>
            <w:r w:rsidRPr="00B35E07">
              <w:rPr>
                <w:rFonts w:ascii="Arial" w:hAnsi="Arial" w:cs="Arial"/>
                <w:webHidden/>
              </w:rPr>
              <w:fldChar w:fldCharType="begin"/>
            </w:r>
            <w:r w:rsidRPr="00B35E07">
              <w:rPr>
                <w:rFonts w:ascii="Arial" w:hAnsi="Arial" w:cs="Arial"/>
                <w:webHidden/>
              </w:rPr>
              <w:instrText xml:space="preserve"> PAGEREF _Toc27579839 \h </w:instrText>
            </w:r>
            <w:r w:rsidRPr="00B35E07">
              <w:rPr>
                <w:rFonts w:ascii="Arial" w:hAnsi="Arial" w:cs="Arial"/>
                <w:webHidden/>
              </w:rPr>
            </w:r>
            <w:r w:rsidRPr="00B35E07">
              <w:rPr>
                <w:rFonts w:ascii="Arial" w:hAnsi="Arial" w:cs="Arial"/>
                <w:webHidden/>
              </w:rPr>
              <w:fldChar w:fldCharType="separate"/>
            </w:r>
            <w:r w:rsidR="00EF509C" w:rsidRPr="00B35E07">
              <w:rPr>
                <w:rFonts w:ascii="Arial" w:hAnsi="Arial" w:cs="Arial"/>
                <w:webHidden/>
              </w:rPr>
              <w:t>71</w:t>
            </w:r>
            <w:r w:rsidRPr="00B35E07">
              <w:rPr>
                <w:rFonts w:ascii="Arial" w:hAnsi="Arial" w:cs="Arial"/>
                <w:webHidden/>
              </w:rPr>
              <w:fldChar w:fldCharType="end"/>
            </w:r>
          </w:hyperlink>
        </w:p>
        <w:p w14:paraId="24E5E0D6" w14:textId="225F429F"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40" w:history="1">
            <w:r w:rsidRPr="00B35E07">
              <w:rPr>
                <w:rStyle w:val="Hyperlink"/>
                <w:rFonts w:ascii="Arial" w:hAnsi="Arial" w:cs="Arial"/>
                <w:b/>
                <w:bCs/>
                <w:noProof/>
                <w:sz w:val="24"/>
                <w:szCs w:val="24"/>
              </w:rPr>
              <w:t>Appendix 1: Companies listed on the Nairobi Security Exchange</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_Toc27579840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71</w:t>
            </w:r>
            <w:r w:rsidRPr="00B35E07">
              <w:rPr>
                <w:rFonts w:ascii="Arial" w:hAnsi="Arial" w:cs="Arial"/>
                <w:noProof/>
                <w:webHidden/>
                <w:sz w:val="24"/>
                <w:szCs w:val="24"/>
              </w:rPr>
              <w:fldChar w:fldCharType="end"/>
            </w:r>
          </w:hyperlink>
        </w:p>
        <w:p w14:paraId="21EF27D8" w14:textId="73C6FD5C"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41" w:history="1">
            <w:r w:rsidRPr="00B35E07">
              <w:rPr>
                <w:rStyle w:val="Hyperlink"/>
                <w:rFonts w:ascii="Arial" w:hAnsi="Arial" w:cs="Arial"/>
                <w:b/>
                <w:noProof/>
                <w:sz w:val="24"/>
                <w:szCs w:val="24"/>
              </w:rPr>
              <w:t>Appendix 2: Initial Research Paper Proposal</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_Toc27579841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72</w:t>
            </w:r>
            <w:r w:rsidRPr="00B35E07">
              <w:rPr>
                <w:rFonts w:ascii="Arial" w:hAnsi="Arial" w:cs="Arial"/>
                <w:noProof/>
                <w:webHidden/>
                <w:sz w:val="24"/>
                <w:szCs w:val="24"/>
              </w:rPr>
              <w:fldChar w:fldCharType="end"/>
            </w:r>
          </w:hyperlink>
        </w:p>
        <w:p w14:paraId="797B9803" w14:textId="01A16B88"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43" w:history="1">
            <w:r w:rsidRPr="00B35E07">
              <w:rPr>
                <w:rStyle w:val="Hyperlink"/>
                <w:rFonts w:ascii="Arial" w:hAnsi="Arial" w:cs="Arial"/>
                <w:b/>
                <w:bCs/>
                <w:noProof/>
                <w:sz w:val="24"/>
                <w:szCs w:val="24"/>
              </w:rPr>
              <w:t xml:space="preserve">Appendix 3: </w:t>
            </w:r>
            <w:r w:rsidRPr="00B35E07">
              <w:rPr>
                <w:rStyle w:val="Hyperlink"/>
                <w:rFonts w:ascii="Arial" w:hAnsi="Arial" w:cs="Arial"/>
                <w:b/>
                <w:bCs/>
                <w:noProof/>
                <w:sz w:val="24"/>
                <w:szCs w:val="24"/>
                <w:lang w:val="en-GB"/>
              </w:rPr>
              <w:t>MBA Project Assessment Form</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_Toc27579843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75</w:t>
            </w:r>
            <w:r w:rsidRPr="00B35E07">
              <w:rPr>
                <w:rFonts w:ascii="Arial" w:hAnsi="Arial" w:cs="Arial"/>
                <w:noProof/>
                <w:webHidden/>
                <w:sz w:val="24"/>
                <w:szCs w:val="24"/>
              </w:rPr>
              <w:fldChar w:fldCharType="end"/>
            </w:r>
          </w:hyperlink>
        </w:p>
        <w:p w14:paraId="7788AB67" w14:textId="257732D7"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45" w:history="1">
            <w:r w:rsidRPr="00B35E07">
              <w:rPr>
                <w:rStyle w:val="Hyperlink"/>
                <w:rFonts w:ascii="Arial" w:hAnsi="Arial" w:cs="Arial"/>
                <w:b/>
                <w:bCs/>
                <w:noProof/>
                <w:snapToGrid w:val="0"/>
                <w:sz w:val="24"/>
                <w:szCs w:val="24"/>
              </w:rPr>
              <w:t xml:space="preserve">Appendix 4: </w:t>
            </w:r>
            <w:r w:rsidRPr="00B35E07">
              <w:rPr>
                <w:rStyle w:val="Hyperlink"/>
                <w:rFonts w:ascii="Arial" w:hAnsi="Arial" w:cs="Arial"/>
                <w:b/>
                <w:bCs/>
                <w:noProof/>
                <w:sz w:val="24"/>
                <w:szCs w:val="24"/>
              </w:rPr>
              <w:t>MBA Project Report Assessment Criteria Matrix</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_Toc27579845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77</w:t>
            </w:r>
            <w:r w:rsidRPr="00B35E07">
              <w:rPr>
                <w:rFonts w:ascii="Arial" w:hAnsi="Arial" w:cs="Arial"/>
                <w:noProof/>
                <w:webHidden/>
                <w:sz w:val="24"/>
                <w:szCs w:val="24"/>
              </w:rPr>
              <w:fldChar w:fldCharType="end"/>
            </w:r>
          </w:hyperlink>
        </w:p>
        <w:p w14:paraId="52C68077" w14:textId="6147CF29"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61" w:history="1">
            <w:r w:rsidRPr="00B35E07">
              <w:rPr>
                <w:rStyle w:val="Hyperlink"/>
                <w:rFonts w:ascii="Arial" w:hAnsi="Arial" w:cs="Arial"/>
                <w:b/>
                <w:bCs/>
                <w:noProof/>
                <w:snapToGrid w:val="0"/>
                <w:sz w:val="24"/>
                <w:szCs w:val="24"/>
              </w:rPr>
              <w:t>Appendix 5: Proposal Defence Presentation Slides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_Toc27579861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79</w:t>
            </w:r>
            <w:r w:rsidRPr="00B35E07">
              <w:rPr>
                <w:rFonts w:ascii="Arial" w:hAnsi="Arial" w:cs="Arial"/>
                <w:noProof/>
                <w:webHidden/>
                <w:sz w:val="24"/>
                <w:szCs w:val="24"/>
              </w:rPr>
              <w:fldChar w:fldCharType="end"/>
            </w:r>
          </w:hyperlink>
        </w:p>
        <w:p w14:paraId="243B3F1B" w14:textId="1C368599"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62" w:history="1">
            <w:r w:rsidRPr="00B35E07">
              <w:rPr>
                <w:rStyle w:val="Hyperlink"/>
                <w:rFonts w:ascii="Arial" w:hAnsi="Arial" w:cs="Arial"/>
                <w:b/>
                <w:bCs/>
                <w:noProof/>
                <w:snapToGrid w:val="0"/>
                <w:sz w:val="24"/>
                <w:szCs w:val="24"/>
              </w:rPr>
              <w:t>Appendix 6: VIVA Presentation Slides</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_Toc27579862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84</w:t>
            </w:r>
            <w:r w:rsidRPr="00B35E07">
              <w:rPr>
                <w:rFonts w:ascii="Arial" w:hAnsi="Arial" w:cs="Arial"/>
                <w:noProof/>
                <w:webHidden/>
                <w:sz w:val="24"/>
                <w:szCs w:val="24"/>
              </w:rPr>
              <w:fldChar w:fldCharType="end"/>
            </w:r>
          </w:hyperlink>
        </w:p>
        <w:p w14:paraId="0FF0BB8A" w14:textId="62929EDF"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63" w:history="1">
            <w:r w:rsidRPr="00B35E07">
              <w:rPr>
                <w:rStyle w:val="Hyperlink"/>
                <w:rFonts w:ascii="Arial" w:hAnsi="Arial" w:cs="Arial"/>
                <w:b/>
                <w:bCs/>
                <w:noProof/>
                <w:sz w:val="24"/>
                <w:szCs w:val="24"/>
              </w:rPr>
              <w:t>Appendix 7: project Log Book</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_Toc27579863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98</w:t>
            </w:r>
            <w:r w:rsidRPr="00B35E07">
              <w:rPr>
                <w:rFonts w:ascii="Arial" w:hAnsi="Arial" w:cs="Arial"/>
                <w:noProof/>
                <w:webHidden/>
                <w:sz w:val="24"/>
                <w:szCs w:val="24"/>
              </w:rPr>
              <w:fldChar w:fldCharType="end"/>
            </w:r>
          </w:hyperlink>
        </w:p>
        <w:p w14:paraId="2157509C" w14:textId="5F7377E2"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64" w:history="1">
            <w:r w:rsidRPr="00B35E07">
              <w:rPr>
                <w:rStyle w:val="Hyperlink"/>
                <w:rFonts w:ascii="Arial" w:hAnsi="Arial" w:cs="Arial"/>
                <w:b/>
                <w:bCs/>
                <w:noProof/>
                <w:sz w:val="24"/>
                <w:szCs w:val="24"/>
              </w:rPr>
              <w:t>Appendix 8: Gantt Chart</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_Toc27579864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103</w:t>
            </w:r>
            <w:r w:rsidRPr="00B35E07">
              <w:rPr>
                <w:rFonts w:ascii="Arial" w:hAnsi="Arial" w:cs="Arial"/>
                <w:noProof/>
                <w:webHidden/>
                <w:sz w:val="24"/>
                <w:szCs w:val="24"/>
              </w:rPr>
              <w:fldChar w:fldCharType="end"/>
            </w:r>
          </w:hyperlink>
        </w:p>
        <w:p w14:paraId="2DBC4258" w14:textId="64EACCCE"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65" w:history="1">
            <w:r w:rsidRPr="00B35E07">
              <w:rPr>
                <w:rStyle w:val="Hyperlink"/>
                <w:rFonts w:ascii="Arial" w:hAnsi="Arial" w:cs="Arial"/>
                <w:b/>
                <w:bCs/>
                <w:noProof/>
                <w:sz w:val="24"/>
                <w:szCs w:val="24"/>
              </w:rPr>
              <w:t>Appendix 9: Turnitin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_Toc27579865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103</w:t>
            </w:r>
            <w:r w:rsidRPr="00B35E07">
              <w:rPr>
                <w:rFonts w:ascii="Arial" w:hAnsi="Arial" w:cs="Arial"/>
                <w:noProof/>
                <w:webHidden/>
                <w:sz w:val="24"/>
                <w:szCs w:val="24"/>
              </w:rPr>
              <w:fldChar w:fldCharType="end"/>
            </w:r>
          </w:hyperlink>
        </w:p>
        <w:p w14:paraId="2A4A035C" w14:textId="44371584" w:rsidR="0093511C" w:rsidRPr="00B35E07" w:rsidRDefault="0093511C">
          <w:pPr>
            <w:pStyle w:val="TOC2"/>
            <w:tabs>
              <w:tab w:val="right" w:leader="dot" w:pos="9016"/>
            </w:tabs>
            <w:rPr>
              <w:rFonts w:ascii="Arial" w:eastAsiaTheme="minorEastAsia" w:hAnsi="Arial" w:cs="Arial"/>
              <w:noProof/>
              <w:sz w:val="24"/>
              <w:szCs w:val="24"/>
              <w:lang w:eastAsia="en-MY"/>
            </w:rPr>
          </w:pPr>
          <w:hyperlink w:anchor="_Toc27579866" w:history="1">
            <w:r w:rsidRPr="00B35E07">
              <w:rPr>
                <w:rStyle w:val="Hyperlink"/>
                <w:rFonts w:ascii="Arial" w:hAnsi="Arial" w:cs="Arial"/>
                <w:b/>
                <w:bCs/>
                <w:noProof/>
                <w:sz w:val="24"/>
                <w:szCs w:val="24"/>
              </w:rPr>
              <w:t>Appendix 10: Secondary Research Declaration</w:t>
            </w:r>
            <w:r w:rsidRPr="00B35E07">
              <w:rPr>
                <w:rFonts w:ascii="Arial" w:hAnsi="Arial" w:cs="Arial"/>
                <w:noProof/>
                <w:webHidden/>
                <w:sz w:val="24"/>
                <w:szCs w:val="24"/>
              </w:rPr>
              <w:tab/>
            </w:r>
            <w:r w:rsidRPr="00B35E07">
              <w:rPr>
                <w:rFonts w:ascii="Arial" w:hAnsi="Arial" w:cs="Arial"/>
                <w:noProof/>
                <w:webHidden/>
                <w:sz w:val="24"/>
                <w:szCs w:val="24"/>
              </w:rPr>
              <w:fldChar w:fldCharType="begin"/>
            </w:r>
            <w:r w:rsidRPr="00B35E07">
              <w:rPr>
                <w:rFonts w:ascii="Arial" w:hAnsi="Arial" w:cs="Arial"/>
                <w:noProof/>
                <w:webHidden/>
                <w:sz w:val="24"/>
                <w:szCs w:val="24"/>
              </w:rPr>
              <w:instrText xml:space="preserve"> PAGEREF _Toc27579866 \h </w:instrText>
            </w:r>
            <w:r w:rsidRPr="00B35E07">
              <w:rPr>
                <w:rFonts w:ascii="Arial" w:hAnsi="Arial" w:cs="Arial"/>
                <w:noProof/>
                <w:webHidden/>
                <w:sz w:val="24"/>
                <w:szCs w:val="24"/>
              </w:rPr>
            </w:r>
            <w:r w:rsidRPr="00B35E07">
              <w:rPr>
                <w:rFonts w:ascii="Arial" w:hAnsi="Arial" w:cs="Arial"/>
                <w:noProof/>
                <w:webHidden/>
                <w:sz w:val="24"/>
                <w:szCs w:val="24"/>
              </w:rPr>
              <w:fldChar w:fldCharType="separate"/>
            </w:r>
            <w:r w:rsidR="00EF509C" w:rsidRPr="00B35E07">
              <w:rPr>
                <w:rFonts w:ascii="Arial" w:hAnsi="Arial" w:cs="Arial"/>
                <w:noProof/>
                <w:webHidden/>
                <w:sz w:val="24"/>
                <w:szCs w:val="24"/>
              </w:rPr>
              <w:t>104</w:t>
            </w:r>
            <w:r w:rsidRPr="00B35E07">
              <w:rPr>
                <w:rFonts w:ascii="Arial" w:hAnsi="Arial" w:cs="Arial"/>
                <w:noProof/>
                <w:webHidden/>
                <w:sz w:val="24"/>
                <w:szCs w:val="24"/>
              </w:rPr>
              <w:fldChar w:fldCharType="end"/>
            </w:r>
          </w:hyperlink>
        </w:p>
        <w:p w14:paraId="06CFF353" w14:textId="746FAEA5" w:rsidR="006A0D42" w:rsidRPr="00B35E07" w:rsidRDefault="006A0D42" w:rsidP="006A0D42">
          <w:pPr>
            <w:spacing w:line="360" w:lineRule="auto"/>
            <w:rPr>
              <w:rFonts w:ascii="Arial" w:hAnsi="Arial" w:cs="Arial"/>
            </w:rPr>
          </w:pPr>
          <w:r w:rsidRPr="00B35E07">
            <w:rPr>
              <w:rFonts w:ascii="Arial" w:hAnsi="Arial" w:cs="Arial"/>
              <w:b/>
              <w:bCs/>
              <w:noProof/>
              <w:sz w:val="24"/>
              <w:szCs w:val="24"/>
            </w:rPr>
            <w:fldChar w:fldCharType="end"/>
          </w:r>
        </w:p>
      </w:sdtContent>
    </w:sdt>
    <w:p w14:paraId="506B0E5A" w14:textId="361268CA" w:rsidR="002907DA" w:rsidRPr="00B35E07" w:rsidRDefault="002907DA" w:rsidP="006A0D42">
      <w:pPr>
        <w:spacing w:line="360" w:lineRule="auto"/>
        <w:jc w:val="both"/>
        <w:rPr>
          <w:rFonts w:ascii="Arial" w:hAnsi="Arial" w:cs="Arial"/>
          <w:b/>
          <w:bCs/>
          <w:sz w:val="24"/>
          <w:szCs w:val="24"/>
        </w:rPr>
      </w:pPr>
    </w:p>
    <w:p w14:paraId="7B4ADBE8" w14:textId="01E33AE9" w:rsidR="002907DA" w:rsidRPr="00B35E07" w:rsidRDefault="002907DA" w:rsidP="00766F99">
      <w:pPr>
        <w:spacing w:line="480" w:lineRule="auto"/>
        <w:jc w:val="both"/>
        <w:rPr>
          <w:rFonts w:ascii="Arial" w:hAnsi="Arial" w:cs="Arial"/>
          <w:b/>
          <w:bCs/>
          <w:sz w:val="24"/>
          <w:szCs w:val="24"/>
        </w:rPr>
      </w:pPr>
    </w:p>
    <w:p w14:paraId="4547BF80" w14:textId="77777777" w:rsidR="00BC628B" w:rsidRPr="00B35E07" w:rsidRDefault="00BC628B" w:rsidP="00766F99">
      <w:pPr>
        <w:spacing w:line="480" w:lineRule="auto"/>
        <w:jc w:val="both"/>
        <w:rPr>
          <w:rFonts w:ascii="Arial" w:hAnsi="Arial" w:cs="Arial"/>
          <w:b/>
          <w:bCs/>
          <w:sz w:val="24"/>
          <w:szCs w:val="24"/>
        </w:rPr>
      </w:pPr>
    </w:p>
    <w:p w14:paraId="17FC5AFC" w14:textId="77777777" w:rsidR="00BC628B" w:rsidRPr="00B35E07" w:rsidRDefault="00BC628B" w:rsidP="00766F99">
      <w:pPr>
        <w:spacing w:line="480" w:lineRule="auto"/>
        <w:jc w:val="both"/>
        <w:rPr>
          <w:rFonts w:ascii="Arial" w:hAnsi="Arial" w:cs="Arial"/>
          <w:b/>
          <w:bCs/>
          <w:sz w:val="24"/>
          <w:szCs w:val="24"/>
        </w:rPr>
      </w:pPr>
    </w:p>
    <w:p w14:paraId="43961D5E" w14:textId="77777777" w:rsidR="00BC628B" w:rsidRPr="00B35E07" w:rsidRDefault="00BC628B" w:rsidP="00766F99">
      <w:pPr>
        <w:spacing w:line="480" w:lineRule="auto"/>
        <w:jc w:val="both"/>
        <w:rPr>
          <w:rFonts w:ascii="Arial" w:hAnsi="Arial" w:cs="Arial"/>
          <w:b/>
          <w:bCs/>
          <w:sz w:val="24"/>
          <w:szCs w:val="24"/>
        </w:rPr>
      </w:pPr>
    </w:p>
    <w:p w14:paraId="2E7B1B19" w14:textId="77777777" w:rsidR="00BC628B" w:rsidRPr="00B35E07" w:rsidRDefault="00BC628B" w:rsidP="00766F99">
      <w:pPr>
        <w:spacing w:line="480" w:lineRule="auto"/>
        <w:jc w:val="both"/>
        <w:rPr>
          <w:rFonts w:ascii="Arial" w:hAnsi="Arial" w:cs="Arial"/>
          <w:b/>
          <w:bCs/>
          <w:sz w:val="24"/>
          <w:szCs w:val="24"/>
        </w:rPr>
      </w:pPr>
    </w:p>
    <w:p w14:paraId="5E0B56F5" w14:textId="77777777" w:rsidR="0024716D" w:rsidRPr="00B35E07" w:rsidRDefault="0024716D" w:rsidP="00766F99">
      <w:pPr>
        <w:spacing w:line="480" w:lineRule="auto"/>
        <w:jc w:val="both"/>
        <w:rPr>
          <w:rFonts w:ascii="Arial" w:hAnsi="Arial" w:cs="Arial"/>
          <w:b/>
          <w:bCs/>
          <w:sz w:val="24"/>
          <w:szCs w:val="24"/>
        </w:rPr>
      </w:pPr>
    </w:p>
    <w:p w14:paraId="0557B837" w14:textId="268882B6" w:rsidR="002907DA" w:rsidRPr="00B35E07" w:rsidRDefault="000F6DAD" w:rsidP="00766F99">
      <w:pPr>
        <w:spacing w:line="480" w:lineRule="auto"/>
        <w:jc w:val="both"/>
        <w:rPr>
          <w:rFonts w:ascii="Arial" w:hAnsi="Arial" w:cs="Arial"/>
          <w:b/>
          <w:bCs/>
          <w:sz w:val="24"/>
          <w:szCs w:val="24"/>
        </w:rPr>
      </w:pPr>
      <w:r w:rsidRPr="00B35E07">
        <w:rPr>
          <w:rFonts w:ascii="Arial" w:hAnsi="Arial" w:cs="Arial"/>
          <w:b/>
          <w:bCs/>
          <w:sz w:val="24"/>
          <w:szCs w:val="24"/>
        </w:rPr>
        <w:lastRenderedPageBreak/>
        <w:t>LIST OF TABLES</w:t>
      </w:r>
    </w:p>
    <w:p w14:paraId="22D6F488" w14:textId="1F992E6F" w:rsidR="0007788F" w:rsidRPr="00B35E07" w:rsidRDefault="004348BD" w:rsidP="0007788F">
      <w:pPr>
        <w:pStyle w:val="TableofFigures"/>
        <w:tabs>
          <w:tab w:val="right" w:leader="dot" w:pos="9016"/>
        </w:tabs>
        <w:spacing w:line="360" w:lineRule="auto"/>
        <w:rPr>
          <w:rFonts w:ascii="Arial" w:eastAsiaTheme="minorEastAsia" w:hAnsi="Arial" w:cs="Arial"/>
          <w:b w:val="0"/>
          <w:noProof/>
          <w:sz w:val="22"/>
          <w:lang w:eastAsia="en-MY"/>
        </w:rPr>
      </w:pPr>
      <w:r w:rsidRPr="00B35E07">
        <w:rPr>
          <w:rFonts w:ascii="Arial" w:hAnsi="Arial" w:cs="Arial"/>
          <w:b w:val="0"/>
          <w:bCs/>
          <w:szCs w:val="24"/>
        </w:rPr>
        <w:fldChar w:fldCharType="begin"/>
      </w:r>
      <w:r w:rsidRPr="00B35E07">
        <w:rPr>
          <w:rFonts w:ascii="Arial" w:hAnsi="Arial" w:cs="Arial"/>
          <w:b w:val="0"/>
          <w:bCs/>
          <w:szCs w:val="24"/>
        </w:rPr>
        <w:instrText xml:space="preserve"> TOC \h \z \c "Table" </w:instrText>
      </w:r>
      <w:r w:rsidRPr="00B35E07">
        <w:rPr>
          <w:rFonts w:ascii="Arial" w:hAnsi="Arial" w:cs="Arial"/>
          <w:b w:val="0"/>
          <w:bCs/>
          <w:szCs w:val="24"/>
        </w:rPr>
        <w:fldChar w:fldCharType="separate"/>
      </w:r>
      <w:hyperlink w:anchor="_Toc27427408" w:history="1">
        <w:r w:rsidR="0007788F" w:rsidRPr="00B35E07">
          <w:rPr>
            <w:rStyle w:val="Hyperlink"/>
            <w:rFonts w:ascii="Arial" w:hAnsi="Arial" w:cs="Arial"/>
            <w:noProof/>
          </w:rPr>
          <w:t>Table 1: Efficiency Summary</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_Toc27427408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37</w:t>
        </w:r>
        <w:r w:rsidR="0007788F" w:rsidRPr="00B35E07">
          <w:rPr>
            <w:rFonts w:ascii="Arial" w:hAnsi="Arial" w:cs="Arial"/>
            <w:noProof/>
            <w:webHidden/>
          </w:rPr>
          <w:fldChar w:fldCharType="end"/>
        </w:r>
      </w:hyperlink>
    </w:p>
    <w:p w14:paraId="2B6FCC11" w14:textId="61A52384"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09" w:history="1">
        <w:r w:rsidR="0007788F" w:rsidRPr="00B35E07">
          <w:rPr>
            <w:rStyle w:val="Hyperlink"/>
            <w:rFonts w:ascii="Arial" w:hAnsi="Arial" w:cs="Arial"/>
            <w:noProof/>
          </w:rPr>
          <w:t>Table 2: Efficiency of bank 1</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_Toc27427409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38</w:t>
        </w:r>
        <w:r w:rsidR="0007788F" w:rsidRPr="00B35E07">
          <w:rPr>
            <w:rFonts w:ascii="Arial" w:hAnsi="Arial" w:cs="Arial"/>
            <w:noProof/>
            <w:webHidden/>
          </w:rPr>
          <w:fldChar w:fldCharType="end"/>
        </w:r>
      </w:hyperlink>
    </w:p>
    <w:p w14:paraId="7AF466AA" w14:textId="1FCD1B84"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0" w:history="1">
        <w:r w:rsidR="0007788F" w:rsidRPr="00B35E07">
          <w:rPr>
            <w:rStyle w:val="Hyperlink"/>
            <w:rFonts w:ascii="Arial" w:hAnsi="Arial" w:cs="Arial"/>
            <w:noProof/>
          </w:rPr>
          <w:t>Table 3: Efficiency of bank 2</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_Toc27427410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38</w:t>
        </w:r>
        <w:r w:rsidR="0007788F" w:rsidRPr="00B35E07">
          <w:rPr>
            <w:rFonts w:ascii="Arial" w:hAnsi="Arial" w:cs="Arial"/>
            <w:noProof/>
            <w:webHidden/>
          </w:rPr>
          <w:fldChar w:fldCharType="end"/>
        </w:r>
      </w:hyperlink>
    </w:p>
    <w:p w14:paraId="0D137455" w14:textId="424DF445"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1" w:history="1">
        <w:r w:rsidR="0007788F" w:rsidRPr="00B35E07">
          <w:rPr>
            <w:rStyle w:val="Hyperlink"/>
            <w:rFonts w:ascii="Arial" w:hAnsi="Arial" w:cs="Arial"/>
            <w:noProof/>
          </w:rPr>
          <w:t>Table 4: Efficiency of bank 3</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_Toc27427411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39</w:t>
        </w:r>
        <w:r w:rsidR="0007788F" w:rsidRPr="00B35E07">
          <w:rPr>
            <w:rFonts w:ascii="Arial" w:hAnsi="Arial" w:cs="Arial"/>
            <w:noProof/>
            <w:webHidden/>
          </w:rPr>
          <w:fldChar w:fldCharType="end"/>
        </w:r>
      </w:hyperlink>
    </w:p>
    <w:p w14:paraId="3E629BFF" w14:textId="11949146"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2" w:history="1">
        <w:r w:rsidR="0007788F" w:rsidRPr="00B35E07">
          <w:rPr>
            <w:rStyle w:val="Hyperlink"/>
            <w:rFonts w:ascii="Arial" w:hAnsi="Arial" w:cs="Arial"/>
            <w:noProof/>
          </w:rPr>
          <w:t>Table 5: Efficiency of bank 4</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_Toc27427412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40</w:t>
        </w:r>
        <w:r w:rsidR="0007788F" w:rsidRPr="00B35E07">
          <w:rPr>
            <w:rFonts w:ascii="Arial" w:hAnsi="Arial" w:cs="Arial"/>
            <w:noProof/>
            <w:webHidden/>
          </w:rPr>
          <w:fldChar w:fldCharType="end"/>
        </w:r>
      </w:hyperlink>
    </w:p>
    <w:p w14:paraId="68076B89" w14:textId="559B9583"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3" w:history="1">
        <w:r w:rsidR="0007788F" w:rsidRPr="00B35E07">
          <w:rPr>
            <w:rStyle w:val="Hyperlink"/>
            <w:rFonts w:ascii="Arial" w:hAnsi="Arial" w:cs="Arial"/>
            <w:noProof/>
          </w:rPr>
          <w:t>Table 6: Efficiency of bank 5</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_Toc27427413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41</w:t>
        </w:r>
        <w:r w:rsidR="0007788F" w:rsidRPr="00B35E07">
          <w:rPr>
            <w:rFonts w:ascii="Arial" w:hAnsi="Arial" w:cs="Arial"/>
            <w:noProof/>
            <w:webHidden/>
          </w:rPr>
          <w:fldChar w:fldCharType="end"/>
        </w:r>
      </w:hyperlink>
    </w:p>
    <w:p w14:paraId="7FB5682B" w14:textId="2FCF6467"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4" w:history="1">
        <w:r w:rsidR="0007788F" w:rsidRPr="00B35E07">
          <w:rPr>
            <w:rStyle w:val="Hyperlink"/>
            <w:rFonts w:ascii="Arial" w:hAnsi="Arial" w:cs="Arial"/>
            <w:noProof/>
          </w:rPr>
          <w:t>Table 7: Efficiency of bank 6</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_Toc27427414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41</w:t>
        </w:r>
        <w:r w:rsidR="0007788F" w:rsidRPr="00B35E07">
          <w:rPr>
            <w:rFonts w:ascii="Arial" w:hAnsi="Arial" w:cs="Arial"/>
            <w:noProof/>
            <w:webHidden/>
          </w:rPr>
          <w:fldChar w:fldCharType="end"/>
        </w:r>
      </w:hyperlink>
    </w:p>
    <w:p w14:paraId="6D6A2E0F" w14:textId="4F465AC3"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5" w:history="1">
        <w:r w:rsidR="0007788F" w:rsidRPr="00B35E07">
          <w:rPr>
            <w:rStyle w:val="Hyperlink"/>
            <w:rFonts w:ascii="Arial" w:hAnsi="Arial" w:cs="Arial"/>
            <w:noProof/>
          </w:rPr>
          <w:t>Table 8: Efficiency of bank 7</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_Toc27427415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42</w:t>
        </w:r>
        <w:r w:rsidR="0007788F" w:rsidRPr="00B35E07">
          <w:rPr>
            <w:rFonts w:ascii="Arial" w:hAnsi="Arial" w:cs="Arial"/>
            <w:noProof/>
            <w:webHidden/>
          </w:rPr>
          <w:fldChar w:fldCharType="end"/>
        </w:r>
      </w:hyperlink>
    </w:p>
    <w:p w14:paraId="1D75D9C8" w14:textId="3D481CD2"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6" w:history="1">
        <w:r w:rsidR="0007788F" w:rsidRPr="00B35E07">
          <w:rPr>
            <w:rStyle w:val="Hyperlink"/>
            <w:rFonts w:ascii="Arial" w:hAnsi="Arial" w:cs="Arial"/>
            <w:noProof/>
          </w:rPr>
          <w:t>Table 9: Efficiency of bank 8</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_Toc27427416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43</w:t>
        </w:r>
        <w:r w:rsidR="0007788F" w:rsidRPr="00B35E07">
          <w:rPr>
            <w:rFonts w:ascii="Arial" w:hAnsi="Arial" w:cs="Arial"/>
            <w:noProof/>
            <w:webHidden/>
          </w:rPr>
          <w:fldChar w:fldCharType="end"/>
        </w:r>
      </w:hyperlink>
    </w:p>
    <w:p w14:paraId="4D308986" w14:textId="5F7318BC"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7" w:history="1">
        <w:r w:rsidR="0007788F" w:rsidRPr="00B35E07">
          <w:rPr>
            <w:rStyle w:val="Hyperlink"/>
            <w:rFonts w:ascii="Arial" w:hAnsi="Arial" w:cs="Arial"/>
            <w:noProof/>
          </w:rPr>
          <w:t>Table 10: Efficiency of bank 9</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_Toc27427417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44</w:t>
        </w:r>
        <w:r w:rsidR="0007788F" w:rsidRPr="00B35E07">
          <w:rPr>
            <w:rFonts w:ascii="Arial" w:hAnsi="Arial" w:cs="Arial"/>
            <w:noProof/>
            <w:webHidden/>
          </w:rPr>
          <w:fldChar w:fldCharType="end"/>
        </w:r>
      </w:hyperlink>
    </w:p>
    <w:p w14:paraId="5A18B88A" w14:textId="341BBB2F"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8" w:history="1">
        <w:r w:rsidR="0007788F" w:rsidRPr="00B35E07">
          <w:rPr>
            <w:rStyle w:val="Hyperlink"/>
            <w:rFonts w:ascii="Arial" w:hAnsi="Arial" w:cs="Arial"/>
            <w:noProof/>
          </w:rPr>
          <w:t>Table 11: Efficiency of bank 10</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_Toc27427418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45</w:t>
        </w:r>
        <w:r w:rsidR="0007788F" w:rsidRPr="00B35E07">
          <w:rPr>
            <w:rFonts w:ascii="Arial" w:hAnsi="Arial" w:cs="Arial"/>
            <w:noProof/>
            <w:webHidden/>
          </w:rPr>
          <w:fldChar w:fldCharType="end"/>
        </w:r>
      </w:hyperlink>
    </w:p>
    <w:p w14:paraId="016C5E54" w14:textId="46B50057"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19" w:history="1">
        <w:r w:rsidR="0007788F" w:rsidRPr="00B35E07">
          <w:rPr>
            <w:rStyle w:val="Hyperlink"/>
            <w:rFonts w:ascii="Arial" w:hAnsi="Arial" w:cs="Arial"/>
            <w:noProof/>
          </w:rPr>
          <w:t>Table 12: Efficiency of bank 11</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_Toc27427419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46</w:t>
        </w:r>
        <w:r w:rsidR="0007788F" w:rsidRPr="00B35E07">
          <w:rPr>
            <w:rFonts w:ascii="Arial" w:hAnsi="Arial" w:cs="Arial"/>
            <w:noProof/>
            <w:webHidden/>
          </w:rPr>
          <w:fldChar w:fldCharType="end"/>
        </w:r>
      </w:hyperlink>
    </w:p>
    <w:p w14:paraId="356B67FA" w14:textId="2C49122B"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20" w:history="1">
        <w:r w:rsidR="0007788F" w:rsidRPr="00B35E07">
          <w:rPr>
            <w:rStyle w:val="Hyperlink"/>
            <w:rFonts w:ascii="Arial" w:hAnsi="Arial" w:cs="Arial"/>
            <w:noProof/>
          </w:rPr>
          <w:t>Table 13: Descriptive Statistics</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_Toc27427420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52</w:t>
        </w:r>
        <w:r w:rsidR="0007788F" w:rsidRPr="00B35E07">
          <w:rPr>
            <w:rFonts w:ascii="Arial" w:hAnsi="Arial" w:cs="Arial"/>
            <w:noProof/>
            <w:webHidden/>
          </w:rPr>
          <w:fldChar w:fldCharType="end"/>
        </w:r>
      </w:hyperlink>
    </w:p>
    <w:p w14:paraId="7480A2C8" w14:textId="3642E92D"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21" w:history="1">
        <w:r w:rsidR="0007788F" w:rsidRPr="00B35E07">
          <w:rPr>
            <w:rStyle w:val="Hyperlink"/>
            <w:rFonts w:ascii="Arial" w:hAnsi="Arial" w:cs="Arial"/>
            <w:noProof/>
          </w:rPr>
          <w:t>Table 14: Pool Ordinary Least Square Method, OLS Results</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_Toc27427421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53</w:t>
        </w:r>
        <w:r w:rsidR="0007788F" w:rsidRPr="00B35E07">
          <w:rPr>
            <w:rFonts w:ascii="Arial" w:hAnsi="Arial" w:cs="Arial"/>
            <w:noProof/>
            <w:webHidden/>
          </w:rPr>
          <w:fldChar w:fldCharType="end"/>
        </w:r>
      </w:hyperlink>
    </w:p>
    <w:p w14:paraId="05F1CA78" w14:textId="4F384E16"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22" w:history="1">
        <w:r w:rsidR="0007788F" w:rsidRPr="00B35E07">
          <w:rPr>
            <w:rStyle w:val="Hyperlink"/>
            <w:rFonts w:ascii="Arial" w:hAnsi="Arial" w:cs="Arial"/>
            <w:noProof/>
          </w:rPr>
          <w:t>Table 15: Results of the moderation Test</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_Toc27427422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55</w:t>
        </w:r>
        <w:r w:rsidR="0007788F" w:rsidRPr="00B35E07">
          <w:rPr>
            <w:rFonts w:ascii="Arial" w:hAnsi="Arial" w:cs="Arial"/>
            <w:noProof/>
            <w:webHidden/>
          </w:rPr>
          <w:fldChar w:fldCharType="end"/>
        </w:r>
      </w:hyperlink>
    </w:p>
    <w:p w14:paraId="27F12228" w14:textId="30C5B643"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23" w:history="1">
        <w:r w:rsidR="0007788F" w:rsidRPr="00B35E07">
          <w:rPr>
            <w:rStyle w:val="Hyperlink"/>
            <w:rFonts w:ascii="Arial" w:hAnsi="Arial" w:cs="Arial"/>
            <w:noProof/>
          </w:rPr>
          <w:t>Table 16: Results for the moderation Coefficients</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_Toc27427423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55</w:t>
        </w:r>
        <w:r w:rsidR="0007788F" w:rsidRPr="00B35E07">
          <w:rPr>
            <w:rFonts w:ascii="Arial" w:hAnsi="Arial" w:cs="Arial"/>
            <w:noProof/>
            <w:webHidden/>
          </w:rPr>
          <w:fldChar w:fldCharType="end"/>
        </w:r>
      </w:hyperlink>
    </w:p>
    <w:p w14:paraId="68B813B9" w14:textId="71B1769C"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24" w:history="1">
        <w:r w:rsidR="0007788F" w:rsidRPr="00B35E07">
          <w:rPr>
            <w:rStyle w:val="Hyperlink"/>
            <w:rFonts w:ascii="Arial" w:hAnsi="Arial" w:cs="Arial"/>
            <w:noProof/>
          </w:rPr>
          <w:t>Table 17: Pearson Correlation Analysis</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_Toc27427424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56</w:t>
        </w:r>
        <w:r w:rsidR="0007788F" w:rsidRPr="00B35E07">
          <w:rPr>
            <w:rFonts w:ascii="Arial" w:hAnsi="Arial" w:cs="Arial"/>
            <w:noProof/>
            <w:webHidden/>
          </w:rPr>
          <w:fldChar w:fldCharType="end"/>
        </w:r>
      </w:hyperlink>
    </w:p>
    <w:p w14:paraId="78D98D13" w14:textId="73452FF1"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25" w:history="1">
        <w:r w:rsidR="0007788F" w:rsidRPr="00B35E07">
          <w:rPr>
            <w:rStyle w:val="Hyperlink"/>
            <w:rFonts w:ascii="Arial" w:hAnsi="Arial" w:cs="Arial"/>
            <w:noProof/>
          </w:rPr>
          <w:t>Table 18: Hypothesis Testing results</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_Toc27427425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58</w:t>
        </w:r>
        <w:r w:rsidR="0007788F" w:rsidRPr="00B35E07">
          <w:rPr>
            <w:rFonts w:ascii="Arial" w:hAnsi="Arial" w:cs="Arial"/>
            <w:noProof/>
            <w:webHidden/>
          </w:rPr>
          <w:fldChar w:fldCharType="end"/>
        </w:r>
      </w:hyperlink>
    </w:p>
    <w:p w14:paraId="082DB059" w14:textId="4D060F2F" w:rsidR="000F6DAD" w:rsidRPr="00B35E07" w:rsidRDefault="004348BD" w:rsidP="00766F99">
      <w:pPr>
        <w:spacing w:line="480" w:lineRule="auto"/>
        <w:jc w:val="both"/>
        <w:rPr>
          <w:rFonts w:ascii="Arial" w:hAnsi="Arial" w:cs="Arial"/>
          <w:b/>
          <w:bCs/>
          <w:sz w:val="24"/>
          <w:szCs w:val="24"/>
        </w:rPr>
      </w:pPr>
      <w:r w:rsidRPr="00B35E07">
        <w:rPr>
          <w:rFonts w:ascii="Arial" w:hAnsi="Arial" w:cs="Arial"/>
          <w:b/>
          <w:bCs/>
          <w:sz w:val="24"/>
          <w:szCs w:val="24"/>
        </w:rPr>
        <w:fldChar w:fldCharType="end"/>
      </w:r>
    </w:p>
    <w:p w14:paraId="4C8A7B66" w14:textId="77ACD66C" w:rsidR="002907DA" w:rsidRPr="00B35E07" w:rsidRDefault="002907DA" w:rsidP="00766F99">
      <w:pPr>
        <w:spacing w:line="480" w:lineRule="auto"/>
        <w:jc w:val="both"/>
        <w:rPr>
          <w:rFonts w:ascii="Arial" w:hAnsi="Arial" w:cs="Arial"/>
          <w:b/>
          <w:bCs/>
          <w:sz w:val="24"/>
          <w:szCs w:val="24"/>
        </w:rPr>
      </w:pPr>
    </w:p>
    <w:p w14:paraId="3CAAF801" w14:textId="05F90121" w:rsidR="002907DA" w:rsidRPr="00B35E07" w:rsidRDefault="002907DA" w:rsidP="00766F99">
      <w:pPr>
        <w:spacing w:line="480" w:lineRule="auto"/>
        <w:jc w:val="both"/>
        <w:rPr>
          <w:rFonts w:ascii="Arial" w:hAnsi="Arial" w:cs="Arial"/>
          <w:b/>
          <w:bCs/>
          <w:sz w:val="24"/>
          <w:szCs w:val="24"/>
        </w:rPr>
      </w:pPr>
    </w:p>
    <w:p w14:paraId="3CACFC65" w14:textId="535B8B60" w:rsidR="002907DA" w:rsidRPr="00B35E07" w:rsidRDefault="002907DA" w:rsidP="00766F99">
      <w:pPr>
        <w:spacing w:line="480" w:lineRule="auto"/>
        <w:jc w:val="both"/>
        <w:rPr>
          <w:rFonts w:ascii="Arial" w:hAnsi="Arial" w:cs="Arial"/>
          <w:b/>
          <w:bCs/>
          <w:sz w:val="24"/>
          <w:szCs w:val="24"/>
        </w:rPr>
      </w:pPr>
    </w:p>
    <w:p w14:paraId="79FED629" w14:textId="406ADF80" w:rsidR="002907DA" w:rsidRPr="00B35E07" w:rsidRDefault="002907DA" w:rsidP="00766F99">
      <w:pPr>
        <w:spacing w:line="480" w:lineRule="auto"/>
        <w:jc w:val="both"/>
        <w:rPr>
          <w:rFonts w:ascii="Arial" w:hAnsi="Arial" w:cs="Arial"/>
          <w:b/>
          <w:bCs/>
          <w:sz w:val="24"/>
          <w:szCs w:val="24"/>
        </w:rPr>
      </w:pPr>
    </w:p>
    <w:p w14:paraId="5F0D0E09" w14:textId="12E055A0" w:rsidR="002907DA" w:rsidRPr="00B35E07" w:rsidRDefault="002907DA" w:rsidP="00766F99">
      <w:pPr>
        <w:spacing w:line="480" w:lineRule="auto"/>
        <w:jc w:val="both"/>
        <w:rPr>
          <w:rFonts w:ascii="Arial" w:hAnsi="Arial" w:cs="Arial"/>
          <w:b/>
          <w:bCs/>
          <w:sz w:val="24"/>
          <w:szCs w:val="24"/>
        </w:rPr>
      </w:pPr>
    </w:p>
    <w:p w14:paraId="4341933F" w14:textId="45BAB399" w:rsidR="002907DA" w:rsidRPr="00B35E07" w:rsidRDefault="002907DA" w:rsidP="00766F99">
      <w:pPr>
        <w:spacing w:line="480" w:lineRule="auto"/>
        <w:jc w:val="both"/>
        <w:rPr>
          <w:rFonts w:ascii="Arial" w:hAnsi="Arial" w:cs="Arial"/>
          <w:b/>
          <w:bCs/>
          <w:sz w:val="24"/>
          <w:szCs w:val="24"/>
        </w:rPr>
      </w:pPr>
    </w:p>
    <w:p w14:paraId="2688DB03" w14:textId="6B46C12D" w:rsidR="002907DA" w:rsidRPr="00B35E07" w:rsidRDefault="002907DA" w:rsidP="00766F99">
      <w:pPr>
        <w:spacing w:line="480" w:lineRule="auto"/>
        <w:jc w:val="both"/>
        <w:rPr>
          <w:rFonts w:ascii="Arial" w:hAnsi="Arial" w:cs="Arial"/>
          <w:b/>
          <w:bCs/>
          <w:sz w:val="24"/>
          <w:szCs w:val="24"/>
        </w:rPr>
      </w:pPr>
    </w:p>
    <w:p w14:paraId="146DD94E" w14:textId="5802C12E" w:rsidR="002907DA" w:rsidRPr="00B35E07" w:rsidRDefault="004348BD" w:rsidP="00766F99">
      <w:pPr>
        <w:spacing w:line="480" w:lineRule="auto"/>
        <w:jc w:val="both"/>
        <w:rPr>
          <w:rFonts w:ascii="Arial" w:hAnsi="Arial" w:cs="Arial"/>
          <w:b/>
          <w:bCs/>
          <w:sz w:val="24"/>
          <w:szCs w:val="24"/>
        </w:rPr>
      </w:pPr>
      <w:r w:rsidRPr="00B35E07">
        <w:rPr>
          <w:rFonts w:ascii="Arial" w:hAnsi="Arial" w:cs="Arial"/>
          <w:b/>
          <w:bCs/>
          <w:sz w:val="24"/>
          <w:szCs w:val="24"/>
        </w:rPr>
        <w:lastRenderedPageBreak/>
        <w:t>LIST OF FIGURES</w:t>
      </w:r>
    </w:p>
    <w:p w14:paraId="20286C73" w14:textId="7CEF1975" w:rsidR="0007788F" w:rsidRPr="00B35E07" w:rsidRDefault="00E22384" w:rsidP="0007788F">
      <w:pPr>
        <w:pStyle w:val="TableofFigures"/>
        <w:tabs>
          <w:tab w:val="right" w:leader="dot" w:pos="9016"/>
        </w:tabs>
        <w:spacing w:line="360" w:lineRule="auto"/>
        <w:rPr>
          <w:rFonts w:ascii="Arial" w:eastAsiaTheme="minorEastAsia" w:hAnsi="Arial" w:cs="Arial"/>
          <w:b w:val="0"/>
          <w:noProof/>
          <w:sz w:val="22"/>
          <w:lang w:eastAsia="en-MY"/>
        </w:rPr>
      </w:pPr>
      <w:r w:rsidRPr="00B35E07">
        <w:rPr>
          <w:rFonts w:ascii="Arial" w:hAnsi="Arial" w:cs="Arial"/>
          <w:b w:val="0"/>
          <w:bCs/>
          <w:szCs w:val="24"/>
        </w:rPr>
        <w:fldChar w:fldCharType="begin"/>
      </w:r>
      <w:r w:rsidRPr="00B35E07">
        <w:rPr>
          <w:rFonts w:ascii="Arial" w:hAnsi="Arial" w:cs="Arial"/>
          <w:b w:val="0"/>
          <w:bCs/>
          <w:szCs w:val="24"/>
        </w:rPr>
        <w:instrText xml:space="preserve"> TOC \h \z \c "Figure" </w:instrText>
      </w:r>
      <w:r w:rsidRPr="00B35E07">
        <w:rPr>
          <w:rFonts w:ascii="Arial" w:hAnsi="Arial" w:cs="Arial"/>
          <w:b w:val="0"/>
          <w:bCs/>
          <w:szCs w:val="24"/>
        </w:rPr>
        <w:fldChar w:fldCharType="separate"/>
      </w:r>
      <w:hyperlink w:anchor="_Toc27427459" w:history="1">
        <w:r w:rsidR="0007788F" w:rsidRPr="00B35E07">
          <w:rPr>
            <w:rStyle w:val="Hyperlink"/>
            <w:rFonts w:ascii="Arial" w:hAnsi="Arial" w:cs="Arial"/>
            <w:noProof/>
          </w:rPr>
          <w:t>Figure 1: Conceptual Framework</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_Toc27427459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34</w:t>
        </w:r>
        <w:r w:rsidR="0007788F" w:rsidRPr="00B35E07">
          <w:rPr>
            <w:rFonts w:ascii="Arial" w:hAnsi="Arial" w:cs="Arial"/>
            <w:noProof/>
            <w:webHidden/>
          </w:rPr>
          <w:fldChar w:fldCharType="end"/>
        </w:r>
      </w:hyperlink>
    </w:p>
    <w:p w14:paraId="49D54D6C" w14:textId="59D0C0B5"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60" w:history="1">
        <w:r w:rsidR="0007788F" w:rsidRPr="00B35E07">
          <w:rPr>
            <w:rStyle w:val="Hyperlink"/>
            <w:rFonts w:ascii="Arial" w:hAnsi="Arial" w:cs="Arial"/>
            <w:noProof/>
          </w:rPr>
          <w:t>Figure 2: Capital Adequacy Ratio</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_Toc27427460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47</w:t>
        </w:r>
        <w:r w:rsidR="0007788F" w:rsidRPr="00B35E07">
          <w:rPr>
            <w:rFonts w:ascii="Arial" w:hAnsi="Arial" w:cs="Arial"/>
            <w:noProof/>
            <w:webHidden/>
          </w:rPr>
          <w:fldChar w:fldCharType="end"/>
        </w:r>
      </w:hyperlink>
    </w:p>
    <w:p w14:paraId="1707F351" w14:textId="0F381D82"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61" w:history="1">
        <w:r w:rsidR="0007788F" w:rsidRPr="00B35E07">
          <w:rPr>
            <w:rStyle w:val="Hyperlink"/>
            <w:rFonts w:ascii="Arial" w:hAnsi="Arial" w:cs="Arial"/>
            <w:noProof/>
          </w:rPr>
          <w:t>Figure 3: Cost to Income Ratio</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_Toc27427461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48</w:t>
        </w:r>
        <w:r w:rsidR="0007788F" w:rsidRPr="00B35E07">
          <w:rPr>
            <w:rFonts w:ascii="Arial" w:hAnsi="Arial" w:cs="Arial"/>
            <w:noProof/>
            <w:webHidden/>
          </w:rPr>
          <w:fldChar w:fldCharType="end"/>
        </w:r>
      </w:hyperlink>
    </w:p>
    <w:p w14:paraId="270E1E0E" w14:textId="37652391"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62" w:history="1">
        <w:r w:rsidR="0007788F" w:rsidRPr="00B35E07">
          <w:rPr>
            <w:rStyle w:val="Hyperlink"/>
            <w:rFonts w:ascii="Arial" w:hAnsi="Arial" w:cs="Arial"/>
            <w:noProof/>
          </w:rPr>
          <w:t>Figure 4: Loan to Deposit Ratio</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_Toc27427462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49</w:t>
        </w:r>
        <w:r w:rsidR="0007788F" w:rsidRPr="00B35E07">
          <w:rPr>
            <w:rFonts w:ascii="Arial" w:hAnsi="Arial" w:cs="Arial"/>
            <w:noProof/>
            <w:webHidden/>
          </w:rPr>
          <w:fldChar w:fldCharType="end"/>
        </w:r>
      </w:hyperlink>
    </w:p>
    <w:p w14:paraId="63A3B854" w14:textId="30157F4B"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63" w:history="1">
        <w:r w:rsidR="0007788F" w:rsidRPr="00B35E07">
          <w:rPr>
            <w:rStyle w:val="Hyperlink"/>
            <w:rFonts w:ascii="Arial" w:hAnsi="Arial" w:cs="Arial"/>
            <w:noProof/>
          </w:rPr>
          <w:t>Figure 5: Annual GDP Growth</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_Toc27427463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50</w:t>
        </w:r>
        <w:r w:rsidR="0007788F" w:rsidRPr="00B35E07">
          <w:rPr>
            <w:rFonts w:ascii="Arial" w:hAnsi="Arial" w:cs="Arial"/>
            <w:noProof/>
            <w:webHidden/>
          </w:rPr>
          <w:fldChar w:fldCharType="end"/>
        </w:r>
      </w:hyperlink>
    </w:p>
    <w:p w14:paraId="1AE36607" w14:textId="6EDD05A9"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64" w:history="1">
        <w:r w:rsidR="0007788F" w:rsidRPr="00B35E07">
          <w:rPr>
            <w:rStyle w:val="Hyperlink"/>
            <w:rFonts w:ascii="Arial" w:hAnsi="Arial" w:cs="Arial"/>
            <w:noProof/>
          </w:rPr>
          <w:t>Figure 6: Annual Average Inflation</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_Toc27427464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51</w:t>
        </w:r>
        <w:r w:rsidR="0007788F" w:rsidRPr="00B35E07">
          <w:rPr>
            <w:rFonts w:ascii="Arial" w:hAnsi="Arial" w:cs="Arial"/>
            <w:noProof/>
            <w:webHidden/>
          </w:rPr>
          <w:fldChar w:fldCharType="end"/>
        </w:r>
      </w:hyperlink>
    </w:p>
    <w:p w14:paraId="20CDE985" w14:textId="5D1551A4" w:rsidR="0007788F" w:rsidRPr="00B35E07" w:rsidRDefault="00B82F07" w:rsidP="0007788F">
      <w:pPr>
        <w:pStyle w:val="TableofFigures"/>
        <w:tabs>
          <w:tab w:val="right" w:leader="dot" w:pos="9016"/>
        </w:tabs>
        <w:spacing w:line="360" w:lineRule="auto"/>
        <w:rPr>
          <w:rFonts w:ascii="Arial" w:eastAsiaTheme="minorEastAsia" w:hAnsi="Arial" w:cs="Arial"/>
          <w:b w:val="0"/>
          <w:noProof/>
          <w:sz w:val="22"/>
          <w:lang w:eastAsia="en-MY"/>
        </w:rPr>
      </w:pPr>
      <w:hyperlink w:anchor="_Toc27427465" w:history="1">
        <w:r w:rsidR="0007788F" w:rsidRPr="00B35E07">
          <w:rPr>
            <w:rStyle w:val="Hyperlink"/>
            <w:rFonts w:ascii="Arial" w:hAnsi="Arial" w:cs="Arial"/>
            <w:noProof/>
          </w:rPr>
          <w:t>Figure 7: Pearson Correlation Scatter Plot</w:t>
        </w:r>
        <w:r w:rsidR="0007788F" w:rsidRPr="00B35E07">
          <w:rPr>
            <w:rFonts w:ascii="Arial" w:hAnsi="Arial" w:cs="Arial"/>
            <w:noProof/>
            <w:webHidden/>
          </w:rPr>
          <w:tab/>
        </w:r>
        <w:r w:rsidR="0007788F" w:rsidRPr="00B35E07">
          <w:rPr>
            <w:rFonts w:ascii="Arial" w:hAnsi="Arial" w:cs="Arial"/>
            <w:noProof/>
            <w:webHidden/>
          </w:rPr>
          <w:fldChar w:fldCharType="begin"/>
        </w:r>
        <w:r w:rsidR="0007788F" w:rsidRPr="00B35E07">
          <w:rPr>
            <w:rFonts w:ascii="Arial" w:hAnsi="Arial" w:cs="Arial"/>
            <w:noProof/>
            <w:webHidden/>
          </w:rPr>
          <w:instrText xml:space="preserve"> PAGEREF _Toc27427465 \h </w:instrText>
        </w:r>
        <w:r w:rsidR="0007788F" w:rsidRPr="00B35E07">
          <w:rPr>
            <w:rFonts w:ascii="Arial" w:hAnsi="Arial" w:cs="Arial"/>
            <w:noProof/>
            <w:webHidden/>
          </w:rPr>
        </w:r>
        <w:r w:rsidR="0007788F" w:rsidRPr="00B35E07">
          <w:rPr>
            <w:rFonts w:ascii="Arial" w:hAnsi="Arial" w:cs="Arial"/>
            <w:noProof/>
            <w:webHidden/>
          </w:rPr>
          <w:fldChar w:fldCharType="separate"/>
        </w:r>
        <w:r w:rsidR="0007788F" w:rsidRPr="00B35E07">
          <w:rPr>
            <w:rFonts w:ascii="Arial" w:hAnsi="Arial" w:cs="Arial"/>
            <w:noProof/>
            <w:webHidden/>
          </w:rPr>
          <w:t>56</w:t>
        </w:r>
        <w:r w:rsidR="0007788F" w:rsidRPr="00B35E07">
          <w:rPr>
            <w:rFonts w:ascii="Arial" w:hAnsi="Arial" w:cs="Arial"/>
            <w:noProof/>
            <w:webHidden/>
          </w:rPr>
          <w:fldChar w:fldCharType="end"/>
        </w:r>
      </w:hyperlink>
    </w:p>
    <w:p w14:paraId="7CB9E703" w14:textId="16845807" w:rsidR="004348BD" w:rsidRPr="00B35E07" w:rsidRDefault="00E22384" w:rsidP="00766F99">
      <w:pPr>
        <w:spacing w:line="480" w:lineRule="auto"/>
        <w:jc w:val="both"/>
        <w:rPr>
          <w:rFonts w:ascii="Arial" w:hAnsi="Arial" w:cs="Arial"/>
          <w:b/>
          <w:bCs/>
          <w:sz w:val="24"/>
          <w:szCs w:val="24"/>
        </w:rPr>
      </w:pPr>
      <w:r w:rsidRPr="00B35E07">
        <w:rPr>
          <w:rFonts w:ascii="Arial" w:hAnsi="Arial" w:cs="Arial"/>
          <w:b/>
          <w:bCs/>
          <w:sz w:val="24"/>
          <w:szCs w:val="24"/>
        </w:rPr>
        <w:fldChar w:fldCharType="end"/>
      </w:r>
    </w:p>
    <w:p w14:paraId="1E227EBC" w14:textId="2C64B12A" w:rsidR="002907DA" w:rsidRPr="00B35E07" w:rsidRDefault="002907DA" w:rsidP="00766F99">
      <w:pPr>
        <w:spacing w:line="480" w:lineRule="auto"/>
        <w:jc w:val="both"/>
        <w:rPr>
          <w:rFonts w:ascii="Arial" w:hAnsi="Arial" w:cs="Arial"/>
          <w:b/>
          <w:bCs/>
          <w:sz w:val="24"/>
          <w:szCs w:val="24"/>
        </w:rPr>
      </w:pPr>
    </w:p>
    <w:p w14:paraId="2DED5AF2" w14:textId="05C6C2B8" w:rsidR="002907DA" w:rsidRPr="00B35E07" w:rsidRDefault="002907DA" w:rsidP="00766F99">
      <w:pPr>
        <w:spacing w:line="480" w:lineRule="auto"/>
        <w:jc w:val="both"/>
        <w:rPr>
          <w:rFonts w:ascii="Arial" w:hAnsi="Arial" w:cs="Arial"/>
          <w:b/>
          <w:bCs/>
          <w:sz w:val="24"/>
          <w:szCs w:val="24"/>
        </w:rPr>
      </w:pPr>
    </w:p>
    <w:p w14:paraId="4F928F16" w14:textId="4406CA62" w:rsidR="002907DA" w:rsidRPr="00B35E07" w:rsidRDefault="002907DA" w:rsidP="00766F99">
      <w:pPr>
        <w:spacing w:line="480" w:lineRule="auto"/>
        <w:jc w:val="both"/>
        <w:rPr>
          <w:rFonts w:ascii="Arial" w:hAnsi="Arial" w:cs="Arial"/>
          <w:b/>
          <w:bCs/>
          <w:sz w:val="24"/>
          <w:szCs w:val="24"/>
        </w:rPr>
      </w:pPr>
    </w:p>
    <w:p w14:paraId="538EDBDB" w14:textId="2A953AA0" w:rsidR="00460740" w:rsidRPr="00B35E07" w:rsidRDefault="00460740" w:rsidP="00766F99">
      <w:pPr>
        <w:spacing w:line="480" w:lineRule="auto"/>
        <w:jc w:val="both"/>
        <w:rPr>
          <w:rFonts w:ascii="Arial" w:hAnsi="Arial" w:cs="Arial"/>
          <w:b/>
          <w:bCs/>
          <w:sz w:val="24"/>
          <w:szCs w:val="24"/>
        </w:rPr>
      </w:pPr>
    </w:p>
    <w:p w14:paraId="39F6CC57" w14:textId="4C09F2A2" w:rsidR="00460740" w:rsidRPr="00B35E07" w:rsidRDefault="00460740" w:rsidP="00766F99">
      <w:pPr>
        <w:spacing w:line="480" w:lineRule="auto"/>
        <w:jc w:val="both"/>
        <w:rPr>
          <w:rFonts w:ascii="Arial" w:hAnsi="Arial" w:cs="Arial"/>
          <w:b/>
          <w:bCs/>
          <w:sz w:val="24"/>
          <w:szCs w:val="24"/>
        </w:rPr>
      </w:pPr>
    </w:p>
    <w:p w14:paraId="34AE0034" w14:textId="124A8C15" w:rsidR="00460740" w:rsidRPr="00B35E07" w:rsidRDefault="00460740" w:rsidP="00766F99">
      <w:pPr>
        <w:spacing w:line="480" w:lineRule="auto"/>
        <w:jc w:val="both"/>
        <w:rPr>
          <w:rFonts w:ascii="Arial" w:hAnsi="Arial" w:cs="Arial"/>
          <w:b/>
          <w:bCs/>
          <w:sz w:val="24"/>
          <w:szCs w:val="24"/>
        </w:rPr>
      </w:pPr>
    </w:p>
    <w:p w14:paraId="50ECB627" w14:textId="2414DCAC" w:rsidR="00460740" w:rsidRPr="00B35E07" w:rsidRDefault="00460740" w:rsidP="00766F99">
      <w:pPr>
        <w:spacing w:line="480" w:lineRule="auto"/>
        <w:jc w:val="both"/>
        <w:rPr>
          <w:rFonts w:ascii="Arial" w:hAnsi="Arial" w:cs="Arial"/>
          <w:b/>
          <w:bCs/>
          <w:sz w:val="24"/>
          <w:szCs w:val="24"/>
        </w:rPr>
      </w:pPr>
    </w:p>
    <w:p w14:paraId="4F62788B" w14:textId="77777777" w:rsidR="00460740" w:rsidRPr="00B35E07" w:rsidRDefault="00460740" w:rsidP="00766F99">
      <w:pPr>
        <w:spacing w:line="480" w:lineRule="auto"/>
        <w:jc w:val="both"/>
        <w:rPr>
          <w:rFonts w:ascii="Arial" w:hAnsi="Arial" w:cs="Arial"/>
          <w:b/>
          <w:bCs/>
          <w:sz w:val="24"/>
          <w:szCs w:val="24"/>
        </w:rPr>
      </w:pPr>
    </w:p>
    <w:p w14:paraId="606F9AED" w14:textId="77777777" w:rsidR="0099015D" w:rsidRPr="00B35E07" w:rsidRDefault="0099015D" w:rsidP="00766F99">
      <w:pPr>
        <w:spacing w:line="480" w:lineRule="auto"/>
        <w:jc w:val="both"/>
        <w:rPr>
          <w:rFonts w:ascii="Arial" w:hAnsi="Arial" w:cs="Arial"/>
          <w:b/>
          <w:bCs/>
          <w:sz w:val="24"/>
          <w:szCs w:val="24"/>
        </w:rPr>
      </w:pPr>
    </w:p>
    <w:p w14:paraId="692AF231" w14:textId="77777777" w:rsidR="000F6DAD" w:rsidRPr="00B35E07" w:rsidRDefault="000F6DAD" w:rsidP="00766F99">
      <w:pPr>
        <w:spacing w:line="480" w:lineRule="auto"/>
        <w:jc w:val="both"/>
        <w:rPr>
          <w:rFonts w:ascii="Arial" w:hAnsi="Arial" w:cs="Arial"/>
          <w:b/>
          <w:bCs/>
          <w:sz w:val="24"/>
          <w:szCs w:val="24"/>
        </w:rPr>
      </w:pPr>
    </w:p>
    <w:p w14:paraId="46CCCC9F" w14:textId="77777777" w:rsidR="000F6DAD" w:rsidRPr="00B35E07" w:rsidRDefault="000F6DAD" w:rsidP="00766F99">
      <w:pPr>
        <w:spacing w:line="480" w:lineRule="auto"/>
        <w:jc w:val="both"/>
        <w:rPr>
          <w:rFonts w:ascii="Arial" w:hAnsi="Arial" w:cs="Arial"/>
          <w:b/>
          <w:bCs/>
          <w:sz w:val="24"/>
          <w:szCs w:val="24"/>
        </w:rPr>
      </w:pPr>
    </w:p>
    <w:p w14:paraId="722150ED" w14:textId="77777777" w:rsidR="004348BD" w:rsidRPr="00B35E07" w:rsidRDefault="004348BD" w:rsidP="00766F99">
      <w:pPr>
        <w:spacing w:line="480" w:lineRule="auto"/>
        <w:jc w:val="both"/>
        <w:rPr>
          <w:rFonts w:ascii="Arial" w:hAnsi="Arial" w:cs="Arial"/>
          <w:b/>
          <w:bCs/>
          <w:sz w:val="24"/>
          <w:szCs w:val="24"/>
        </w:rPr>
      </w:pPr>
    </w:p>
    <w:p w14:paraId="7A679953" w14:textId="77777777" w:rsidR="004348BD" w:rsidRPr="00B35E07" w:rsidRDefault="004348BD" w:rsidP="00766F99">
      <w:pPr>
        <w:spacing w:line="480" w:lineRule="auto"/>
        <w:jc w:val="both"/>
        <w:rPr>
          <w:rFonts w:ascii="Arial" w:hAnsi="Arial" w:cs="Arial"/>
          <w:b/>
          <w:bCs/>
          <w:sz w:val="24"/>
          <w:szCs w:val="24"/>
        </w:rPr>
      </w:pPr>
    </w:p>
    <w:p w14:paraId="6B509212" w14:textId="77777777" w:rsidR="00BC628B" w:rsidRPr="00B35E07" w:rsidRDefault="00BC628B" w:rsidP="00766F99">
      <w:pPr>
        <w:spacing w:line="480" w:lineRule="auto"/>
        <w:jc w:val="both"/>
        <w:rPr>
          <w:rFonts w:ascii="Arial" w:hAnsi="Arial" w:cs="Arial"/>
          <w:b/>
          <w:bCs/>
          <w:sz w:val="24"/>
          <w:szCs w:val="24"/>
        </w:rPr>
      </w:pPr>
    </w:p>
    <w:p w14:paraId="37AE4CB4" w14:textId="43CB5A36" w:rsidR="002907DA" w:rsidRPr="00B35E07" w:rsidRDefault="00D21551" w:rsidP="00766F99">
      <w:pPr>
        <w:spacing w:line="480" w:lineRule="auto"/>
        <w:jc w:val="both"/>
        <w:rPr>
          <w:rFonts w:ascii="Arial" w:hAnsi="Arial" w:cs="Arial"/>
          <w:b/>
          <w:bCs/>
          <w:sz w:val="24"/>
          <w:szCs w:val="24"/>
        </w:rPr>
      </w:pPr>
      <w:r w:rsidRPr="00B35E07">
        <w:rPr>
          <w:rFonts w:ascii="Arial" w:hAnsi="Arial" w:cs="Arial"/>
          <w:b/>
          <w:bCs/>
          <w:sz w:val="24"/>
          <w:szCs w:val="24"/>
        </w:rPr>
        <w:t>LIST OF ABBREVIATIONS</w:t>
      </w:r>
    </w:p>
    <w:p w14:paraId="236A4DEA"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 xml:space="preserve">CBK – </w:t>
      </w:r>
      <w:r w:rsidRPr="00B35E07">
        <w:rPr>
          <w:rFonts w:ascii="Arial" w:hAnsi="Arial" w:cs="Arial"/>
          <w:sz w:val="24"/>
          <w:szCs w:val="24"/>
        </w:rPr>
        <w:t>Central Bank of Kenya</w:t>
      </w:r>
    </w:p>
    <w:p w14:paraId="403BD3F6"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CPI –</w:t>
      </w:r>
      <w:r w:rsidRPr="00B35E07">
        <w:rPr>
          <w:rFonts w:ascii="Arial" w:hAnsi="Arial" w:cs="Arial"/>
          <w:sz w:val="24"/>
          <w:szCs w:val="24"/>
        </w:rPr>
        <w:t xml:space="preserve"> Consumer Price Index</w:t>
      </w:r>
    </w:p>
    <w:p w14:paraId="523F68EC"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 xml:space="preserve">DEA – </w:t>
      </w:r>
      <w:r w:rsidRPr="00B35E07">
        <w:rPr>
          <w:rFonts w:ascii="Arial" w:hAnsi="Arial" w:cs="Arial"/>
          <w:sz w:val="24"/>
          <w:szCs w:val="24"/>
        </w:rPr>
        <w:t>Data Envelopment Analysis</w:t>
      </w:r>
    </w:p>
    <w:p w14:paraId="65A8F66E"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 xml:space="preserve">GDP – </w:t>
      </w:r>
      <w:r w:rsidRPr="00B35E07">
        <w:rPr>
          <w:rFonts w:ascii="Arial" w:hAnsi="Arial" w:cs="Arial"/>
          <w:sz w:val="24"/>
          <w:szCs w:val="24"/>
        </w:rPr>
        <w:t>Gross Domestic Product</w:t>
      </w:r>
    </w:p>
    <w:p w14:paraId="1E02CBDB"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 xml:space="preserve">KES – </w:t>
      </w:r>
      <w:r w:rsidRPr="00B35E07">
        <w:rPr>
          <w:rFonts w:ascii="Arial" w:hAnsi="Arial" w:cs="Arial"/>
          <w:sz w:val="24"/>
          <w:szCs w:val="24"/>
        </w:rPr>
        <w:t>Kenyan Shilling</w:t>
      </w:r>
    </w:p>
    <w:p w14:paraId="6C5347A1"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 xml:space="preserve">LLP – </w:t>
      </w:r>
      <w:r w:rsidRPr="00B35E07">
        <w:rPr>
          <w:rFonts w:ascii="Arial" w:hAnsi="Arial" w:cs="Arial"/>
          <w:sz w:val="24"/>
          <w:szCs w:val="24"/>
        </w:rPr>
        <w:t>Loan Loss Provision</w:t>
      </w:r>
    </w:p>
    <w:p w14:paraId="51EFD8BC" w14:textId="77777777" w:rsidR="00C17A87" w:rsidRPr="00B35E07" w:rsidRDefault="00C17A87" w:rsidP="004962B4">
      <w:pPr>
        <w:pStyle w:val="ListParagraph"/>
        <w:numPr>
          <w:ilvl w:val="0"/>
          <w:numId w:val="3"/>
        </w:numPr>
        <w:spacing w:line="480" w:lineRule="auto"/>
        <w:rPr>
          <w:rFonts w:ascii="Arial" w:hAnsi="Arial" w:cs="Arial"/>
          <w:b/>
          <w:bCs/>
          <w:sz w:val="24"/>
          <w:szCs w:val="24"/>
        </w:rPr>
      </w:pPr>
      <w:r w:rsidRPr="00B35E07">
        <w:rPr>
          <w:rFonts w:ascii="Arial" w:hAnsi="Arial" w:cs="Arial"/>
          <w:b/>
          <w:bCs/>
          <w:sz w:val="24"/>
          <w:szCs w:val="24"/>
        </w:rPr>
        <w:t xml:space="preserve">NSE – </w:t>
      </w:r>
      <w:r w:rsidRPr="00B35E07">
        <w:rPr>
          <w:rFonts w:ascii="Arial" w:hAnsi="Arial" w:cs="Arial"/>
          <w:sz w:val="24"/>
          <w:szCs w:val="24"/>
        </w:rPr>
        <w:t>Nairobi Security Exchange</w:t>
      </w:r>
    </w:p>
    <w:p w14:paraId="795A77D7"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 xml:space="preserve">ROA – </w:t>
      </w:r>
      <w:r w:rsidRPr="00B35E07">
        <w:rPr>
          <w:rFonts w:ascii="Arial" w:hAnsi="Arial" w:cs="Arial"/>
          <w:sz w:val="24"/>
          <w:szCs w:val="24"/>
        </w:rPr>
        <w:t>Return on Asset</w:t>
      </w:r>
    </w:p>
    <w:p w14:paraId="1EB46141" w14:textId="77777777" w:rsidR="00C17A87" w:rsidRPr="00B35E07" w:rsidRDefault="00C17A87" w:rsidP="004962B4">
      <w:pPr>
        <w:pStyle w:val="ListParagraph"/>
        <w:numPr>
          <w:ilvl w:val="0"/>
          <w:numId w:val="3"/>
        </w:numPr>
        <w:spacing w:line="480" w:lineRule="auto"/>
        <w:rPr>
          <w:rFonts w:ascii="Arial" w:hAnsi="Arial" w:cs="Arial"/>
          <w:sz w:val="24"/>
          <w:szCs w:val="24"/>
        </w:rPr>
      </w:pPr>
      <w:r w:rsidRPr="00B35E07">
        <w:rPr>
          <w:rFonts w:ascii="Arial" w:hAnsi="Arial" w:cs="Arial"/>
          <w:b/>
          <w:bCs/>
          <w:sz w:val="24"/>
          <w:szCs w:val="24"/>
        </w:rPr>
        <w:t xml:space="preserve">ROE – </w:t>
      </w:r>
      <w:r w:rsidRPr="00B35E07">
        <w:rPr>
          <w:rFonts w:ascii="Arial" w:hAnsi="Arial" w:cs="Arial"/>
          <w:sz w:val="24"/>
          <w:szCs w:val="24"/>
        </w:rPr>
        <w:t>Return on Equity</w:t>
      </w:r>
    </w:p>
    <w:p w14:paraId="78CCDF05" w14:textId="6694C2B8" w:rsidR="002907DA" w:rsidRPr="00B35E07" w:rsidRDefault="002907DA" w:rsidP="00766F99">
      <w:pPr>
        <w:spacing w:line="480" w:lineRule="auto"/>
        <w:jc w:val="both"/>
        <w:rPr>
          <w:rFonts w:ascii="Arial" w:hAnsi="Arial" w:cs="Arial"/>
          <w:b/>
          <w:bCs/>
          <w:sz w:val="24"/>
          <w:szCs w:val="24"/>
        </w:rPr>
      </w:pPr>
    </w:p>
    <w:p w14:paraId="73FEE914" w14:textId="1540951C" w:rsidR="002907DA" w:rsidRPr="00B35E07" w:rsidRDefault="002907DA" w:rsidP="00766F99">
      <w:pPr>
        <w:spacing w:line="480" w:lineRule="auto"/>
        <w:jc w:val="both"/>
        <w:rPr>
          <w:rFonts w:ascii="Arial" w:hAnsi="Arial" w:cs="Arial"/>
          <w:b/>
          <w:bCs/>
          <w:sz w:val="24"/>
          <w:szCs w:val="24"/>
        </w:rPr>
      </w:pPr>
    </w:p>
    <w:p w14:paraId="69A51BED" w14:textId="7E2D3B3F" w:rsidR="002907DA" w:rsidRPr="00B35E07" w:rsidRDefault="002907DA" w:rsidP="00766F99">
      <w:pPr>
        <w:spacing w:line="480" w:lineRule="auto"/>
        <w:jc w:val="both"/>
        <w:rPr>
          <w:rFonts w:ascii="Arial" w:hAnsi="Arial" w:cs="Arial"/>
          <w:b/>
          <w:bCs/>
          <w:sz w:val="24"/>
          <w:szCs w:val="24"/>
        </w:rPr>
      </w:pPr>
    </w:p>
    <w:p w14:paraId="2846CC29" w14:textId="3F130681" w:rsidR="002907DA" w:rsidRPr="00B35E07" w:rsidRDefault="002907DA" w:rsidP="00766F99">
      <w:pPr>
        <w:spacing w:line="480" w:lineRule="auto"/>
        <w:jc w:val="both"/>
        <w:rPr>
          <w:rFonts w:ascii="Arial" w:hAnsi="Arial" w:cs="Arial"/>
          <w:b/>
          <w:bCs/>
          <w:sz w:val="24"/>
          <w:szCs w:val="24"/>
        </w:rPr>
      </w:pPr>
    </w:p>
    <w:p w14:paraId="57ED52E3" w14:textId="4691A801" w:rsidR="002907DA" w:rsidRPr="00B35E07" w:rsidRDefault="002907DA" w:rsidP="00766F99">
      <w:pPr>
        <w:spacing w:line="480" w:lineRule="auto"/>
        <w:jc w:val="both"/>
        <w:rPr>
          <w:rFonts w:ascii="Arial" w:hAnsi="Arial" w:cs="Arial"/>
          <w:b/>
          <w:bCs/>
          <w:sz w:val="24"/>
          <w:szCs w:val="24"/>
        </w:rPr>
      </w:pPr>
    </w:p>
    <w:p w14:paraId="5CE70A86" w14:textId="268BA08E" w:rsidR="002907DA" w:rsidRPr="00B35E07" w:rsidRDefault="002907DA" w:rsidP="00766F99">
      <w:pPr>
        <w:spacing w:line="480" w:lineRule="auto"/>
        <w:jc w:val="both"/>
        <w:rPr>
          <w:rFonts w:ascii="Arial" w:hAnsi="Arial" w:cs="Arial"/>
          <w:b/>
          <w:bCs/>
          <w:sz w:val="24"/>
          <w:szCs w:val="24"/>
        </w:rPr>
      </w:pPr>
    </w:p>
    <w:p w14:paraId="559B3450" w14:textId="3E32BAE7" w:rsidR="002907DA" w:rsidRPr="00B35E07" w:rsidRDefault="002907DA" w:rsidP="00766F99">
      <w:pPr>
        <w:spacing w:line="480" w:lineRule="auto"/>
        <w:jc w:val="both"/>
        <w:rPr>
          <w:rFonts w:ascii="Arial" w:hAnsi="Arial" w:cs="Arial"/>
          <w:b/>
          <w:bCs/>
          <w:sz w:val="24"/>
          <w:szCs w:val="24"/>
        </w:rPr>
      </w:pPr>
    </w:p>
    <w:p w14:paraId="3B390197" w14:textId="14FED73F" w:rsidR="002907DA" w:rsidRPr="00B35E07" w:rsidRDefault="002907DA" w:rsidP="00766F99">
      <w:pPr>
        <w:spacing w:line="480" w:lineRule="auto"/>
        <w:jc w:val="both"/>
        <w:rPr>
          <w:rFonts w:ascii="Arial" w:hAnsi="Arial" w:cs="Arial"/>
          <w:b/>
          <w:bCs/>
          <w:sz w:val="24"/>
          <w:szCs w:val="24"/>
        </w:rPr>
      </w:pPr>
    </w:p>
    <w:p w14:paraId="0F945A1D" w14:textId="4951D64A" w:rsidR="002907DA" w:rsidRPr="00B35E07" w:rsidRDefault="002907DA" w:rsidP="00766F99">
      <w:pPr>
        <w:spacing w:line="480" w:lineRule="auto"/>
        <w:jc w:val="both"/>
        <w:rPr>
          <w:rFonts w:ascii="Arial" w:hAnsi="Arial" w:cs="Arial"/>
          <w:b/>
          <w:bCs/>
          <w:sz w:val="24"/>
          <w:szCs w:val="24"/>
        </w:rPr>
      </w:pPr>
    </w:p>
    <w:p w14:paraId="053C553F" w14:textId="77777777" w:rsidR="00E92220" w:rsidRPr="00B35E07" w:rsidRDefault="00E92220" w:rsidP="00D21551">
      <w:pPr>
        <w:rPr>
          <w:rFonts w:ascii="Arial" w:hAnsi="Arial" w:cs="Arial"/>
          <w:lang w:val="en-US"/>
        </w:rPr>
        <w:sectPr w:rsidR="00E92220" w:rsidRPr="00B35E07" w:rsidSect="00157BDF">
          <w:headerReference w:type="default" r:id="rId9"/>
          <w:footerReference w:type="default" r:id="rId10"/>
          <w:pgSz w:w="11906" w:h="16838"/>
          <w:pgMar w:top="1134" w:right="1418" w:bottom="1985" w:left="1985" w:header="708" w:footer="708" w:gutter="0"/>
          <w:pgNumType w:fmt="lowerRoman" w:start="1"/>
          <w:cols w:space="708"/>
          <w:docGrid w:linePitch="360"/>
        </w:sectPr>
      </w:pPr>
    </w:p>
    <w:p w14:paraId="0538779F" w14:textId="77777777" w:rsidR="00726370" w:rsidRPr="00B35E07" w:rsidRDefault="00726370" w:rsidP="00CD45C8">
      <w:pPr>
        <w:pStyle w:val="Heading1"/>
        <w:spacing w:line="480" w:lineRule="auto"/>
        <w:jc w:val="center"/>
        <w:rPr>
          <w:rFonts w:ascii="Arial" w:hAnsi="Arial" w:cs="Arial"/>
          <w:color w:val="auto"/>
          <w:sz w:val="24"/>
          <w:szCs w:val="24"/>
        </w:rPr>
      </w:pPr>
      <w:bookmarkStart w:id="1" w:name="_Toc23802009"/>
      <w:bookmarkStart w:id="2" w:name="_Toc27579764"/>
      <w:r w:rsidRPr="00B35E07">
        <w:rPr>
          <w:rFonts w:ascii="Arial" w:hAnsi="Arial" w:cs="Arial"/>
          <w:color w:val="auto"/>
          <w:sz w:val="24"/>
          <w:szCs w:val="24"/>
        </w:rPr>
        <w:lastRenderedPageBreak/>
        <w:t>CHAPTER 1: INTRODUCTION</w:t>
      </w:r>
      <w:bookmarkEnd w:id="1"/>
      <w:bookmarkEnd w:id="2"/>
    </w:p>
    <w:p w14:paraId="6251CA07" w14:textId="77777777" w:rsidR="00726370" w:rsidRPr="00B35E07" w:rsidRDefault="00726370" w:rsidP="00CD45C8">
      <w:pPr>
        <w:pStyle w:val="Heading2"/>
        <w:spacing w:line="480" w:lineRule="auto"/>
        <w:rPr>
          <w:rFonts w:ascii="Arial" w:hAnsi="Arial" w:cs="Arial"/>
          <w:b/>
          <w:bCs/>
          <w:color w:val="auto"/>
          <w:sz w:val="24"/>
          <w:szCs w:val="24"/>
        </w:rPr>
      </w:pPr>
      <w:bookmarkStart w:id="3" w:name="_Toc23802010"/>
      <w:bookmarkStart w:id="4" w:name="_Toc27579765"/>
      <w:r w:rsidRPr="00B35E07">
        <w:rPr>
          <w:rFonts w:ascii="Arial" w:hAnsi="Arial" w:cs="Arial"/>
          <w:b/>
          <w:bCs/>
          <w:color w:val="auto"/>
          <w:sz w:val="24"/>
          <w:szCs w:val="24"/>
        </w:rPr>
        <w:t>1.1: Background of the study</w:t>
      </w:r>
      <w:bookmarkEnd w:id="3"/>
      <w:bookmarkEnd w:id="4"/>
    </w:p>
    <w:p w14:paraId="76C06261" w14:textId="77777777" w:rsidR="00726370" w:rsidRPr="00B35E07" w:rsidRDefault="00726370" w:rsidP="00CD45C8">
      <w:pPr>
        <w:spacing w:line="480" w:lineRule="auto"/>
        <w:ind w:firstLine="720"/>
        <w:jc w:val="both"/>
        <w:rPr>
          <w:rFonts w:ascii="Arial" w:hAnsi="Arial" w:cs="Arial"/>
          <w:color w:val="222222"/>
          <w:sz w:val="24"/>
          <w:szCs w:val="24"/>
          <w:shd w:val="clear" w:color="auto" w:fill="FFFFFF"/>
        </w:rPr>
      </w:pPr>
      <w:r w:rsidRPr="00B35E07">
        <w:rPr>
          <w:rFonts w:ascii="Arial" w:hAnsi="Arial" w:cs="Arial"/>
          <w:sz w:val="24"/>
          <w:szCs w:val="24"/>
        </w:rPr>
        <w:t xml:space="preserve">Loan loss provision was defined as the expense portraying estimates of the management of the net year’s change in expected loan losses (Alhadab and Alsahawneh, 2016). Pelealu and Worang, (2017) defined it as an expense imposed to the income statement of the exercise, in relation to a transaction of a non-performing loan or the credit default process. It reflects not only the sum the lender can retrieve in case of default but also the probability of default, through the collateral- an important source of repayment (Kaneza, 2016). Loan loss provisions permits banks to recall in their income statements, the loss approximated from a specific loan portfolio/s, even prior the attested loss can be ascertained with certainty and accuracy as events evolved and is indeed written off </w:t>
      </w:r>
      <w:r w:rsidRPr="00B35E07">
        <w:rPr>
          <w:rFonts w:ascii="Arial" w:hAnsi="Arial" w:cs="Arial"/>
          <w:color w:val="222222"/>
          <w:sz w:val="24"/>
          <w:szCs w:val="24"/>
          <w:shd w:val="clear" w:color="auto" w:fill="FFFFFF"/>
        </w:rPr>
        <w:t>(Bulle, 2014)</w:t>
      </w:r>
      <w:r w:rsidRPr="00B35E07">
        <w:rPr>
          <w:rFonts w:ascii="Arial" w:hAnsi="Arial" w:cs="Arial"/>
          <w:sz w:val="24"/>
          <w:szCs w:val="24"/>
        </w:rPr>
        <w:t xml:space="preserve">. Allowance of loan loss is that which is considered to apprehend anticipated future losses that will happen if a borrower does not pay back based to the contract of the loan (Shijaku, 2017). Therefore, provisions of loan loss are a form of capital that is absorbed in good times to put up with losses in bad times.  </w:t>
      </w:r>
    </w:p>
    <w:p w14:paraId="4D8B1C66" w14:textId="77777777" w:rsidR="00726370" w:rsidRPr="00B35E07" w:rsidRDefault="00726370" w:rsidP="00CD45C8">
      <w:pPr>
        <w:spacing w:line="480" w:lineRule="auto"/>
        <w:ind w:firstLine="720"/>
        <w:jc w:val="both"/>
        <w:rPr>
          <w:rFonts w:ascii="Arial" w:hAnsi="Arial" w:cs="Arial"/>
          <w:sz w:val="24"/>
          <w:szCs w:val="24"/>
        </w:rPr>
      </w:pPr>
      <w:r w:rsidRPr="00B35E07">
        <w:rPr>
          <w:rFonts w:ascii="Arial" w:hAnsi="Arial" w:cs="Arial"/>
          <w:sz w:val="24"/>
          <w:szCs w:val="24"/>
        </w:rPr>
        <w:t xml:space="preserve">Fernando and Ekanayake, (2015) proposes the income smoothing hypothesis as managers utilizing earning smoothing to operate reported earnings across time. Managers behaving in their shareholders’ best of interest, aim to smooth their earnings so as to reduce the recognized earnings’ riskiness of the firm (Ozili, 2015). Managers tend to save current income in good times by composing negative accruals for future periods while shifting future income in bad times by creating positive accruals to the current period. Curcio and Hasan, (2015) argues the hypothesis of capital management that since reserves of loan </w:t>
      </w:r>
      <w:r w:rsidRPr="00B35E07">
        <w:rPr>
          <w:rFonts w:ascii="Arial" w:hAnsi="Arial" w:cs="Arial"/>
          <w:sz w:val="24"/>
          <w:szCs w:val="24"/>
        </w:rPr>
        <w:lastRenderedPageBreak/>
        <w:t xml:space="preserve">losses are generated to assign moderate capital in a bank’s portfolio of loan loss to absorb unexpected losses, managers of the bank deploy loan loss provision to control regulatory capital. They do so by altering the capital ratios’ numerator and denominator to go along with regulation of capital. Hence, Bouvatier </w:t>
      </w:r>
      <w:r w:rsidRPr="00B35E07">
        <w:rPr>
          <w:rFonts w:ascii="Arial" w:hAnsi="Arial" w:cs="Arial"/>
          <w:i/>
          <w:iCs/>
          <w:sz w:val="24"/>
          <w:szCs w:val="24"/>
        </w:rPr>
        <w:t>et al</w:t>
      </w:r>
      <w:r w:rsidRPr="00B35E07">
        <w:rPr>
          <w:rFonts w:ascii="Arial" w:hAnsi="Arial" w:cs="Arial"/>
          <w:sz w:val="24"/>
          <w:szCs w:val="24"/>
        </w:rPr>
        <w:t>., (2014) speculates that bank managers use loan loss provision to liaise the private information in relation to the future prospects of their banks. The theory therefore, implies that loan loss provisioning is applied to signal that the bank is strong and secured enough to take in likely loan losses in the future with current earnings (Abu-Serdaneh, 2018).</w:t>
      </w:r>
    </w:p>
    <w:p w14:paraId="6CCD43F4"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Commercial banks in Kenya, plays a major role in economic development such that stability of the commercial banking sector is hence crucial for the financial sector stability and the entire economy (CBK, 2015). Maina, (2016) proposes that loan losses continue to be the main challenge that jeopardizes the stability of commercial banks in Kenya. According to the CBK (2015), loan loss provisions increased from 21.41% in 2014 to 29.70 % in 2015 and this increase was held responsible for challenging business environment mainly associating to high interest rate regime. The increase in LLP is mainly an indication of deteriorating loan portfolio among commercial banks in Kenya. Reserves of loan loss enables a safety net to absorb unanticipated loan losses that may come up (CBK, 2016). </w:t>
      </w:r>
    </w:p>
    <w:p w14:paraId="19B4CBBF"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Embracing loan loss provision as an estimate of earning management , this research, as a result, points to investigate the practices of earnings management of the commercial banks listed in the NSE; and to analyse whether the efficiency may develop the managers opportunistic behaviours to use LLP to </w:t>
      </w:r>
      <w:r w:rsidRPr="00B35E07">
        <w:rPr>
          <w:rFonts w:ascii="Arial" w:hAnsi="Arial" w:cs="Arial"/>
          <w:sz w:val="24"/>
          <w:szCs w:val="24"/>
        </w:rPr>
        <w:lastRenderedPageBreak/>
        <w:t xml:space="preserve">change the earnings in commercial banks listed in NSE. Possibly earnings management is more vital for inefficient firms (Macharia, 2016). Bank managers are always entitled to massive regulatory and reputational compressions to guarantee stable earnings </w:t>
      </w:r>
      <w:r w:rsidRPr="00B35E07">
        <w:rPr>
          <w:rFonts w:ascii="Arial" w:hAnsi="Arial" w:cs="Arial"/>
          <w:color w:val="222222"/>
          <w:sz w:val="24"/>
          <w:szCs w:val="24"/>
          <w:shd w:val="clear" w:color="auto" w:fill="FFFFFF"/>
        </w:rPr>
        <w:t>(Bitok, 2014)</w:t>
      </w:r>
      <w:r w:rsidRPr="00B35E07">
        <w:rPr>
          <w:rFonts w:ascii="Arial" w:hAnsi="Arial" w:cs="Arial"/>
          <w:sz w:val="24"/>
          <w:szCs w:val="24"/>
        </w:rPr>
        <w:t xml:space="preserve">. Most instances, incomes and bonuses are associated to target performance. Therefore, managers have motives to guarantee stable earnings (Worang, 2017). It is regarded that lower earnings than that of last year would symbolize poor management, hence this influence them to control their earnings of the bank appropriately (Farook </w:t>
      </w:r>
      <w:r w:rsidRPr="00B35E07">
        <w:rPr>
          <w:rFonts w:ascii="Arial" w:hAnsi="Arial" w:cs="Arial"/>
          <w:i/>
          <w:iCs/>
          <w:sz w:val="24"/>
          <w:szCs w:val="24"/>
        </w:rPr>
        <w:t>et al</w:t>
      </w:r>
      <w:r w:rsidRPr="00B35E07">
        <w:rPr>
          <w:rFonts w:ascii="Arial" w:hAnsi="Arial" w:cs="Arial"/>
          <w:sz w:val="24"/>
          <w:szCs w:val="24"/>
        </w:rPr>
        <w:t xml:space="preserve">., 2014). Therefore, my research present to the literature in the earnings management field in commercial banks listed in the Nairobi Securities Exchange. </w:t>
      </w:r>
    </w:p>
    <w:p w14:paraId="562DFC8E" w14:textId="4BBA28CE" w:rsidR="00CD45C8" w:rsidRPr="00B82F07" w:rsidRDefault="00726370" w:rsidP="00B82F07">
      <w:pPr>
        <w:spacing w:line="480" w:lineRule="auto"/>
        <w:ind w:firstLine="720"/>
        <w:jc w:val="both"/>
        <w:rPr>
          <w:rFonts w:ascii="Arial" w:hAnsi="Arial" w:cs="Arial"/>
          <w:sz w:val="24"/>
          <w:szCs w:val="24"/>
        </w:rPr>
      </w:pPr>
      <w:r w:rsidRPr="00B35E07">
        <w:rPr>
          <w:rFonts w:ascii="Arial" w:hAnsi="Arial" w:cs="Arial"/>
          <w:sz w:val="24"/>
          <w:szCs w:val="24"/>
        </w:rPr>
        <w:t xml:space="preserve">This research work, specific uses LLP as proxy for earnings management. However, this research associate LLP with efficiency instead of using measuresof traditional performance like ROA and ROE (Agénor and Zilberman, 2015). This research shows an attempt at studying the effect of efficiency and probability of bank failure on earnings quality in the context of Kenya using an objective performance measure, in contrast to average and subjective measures of traditional performance (Wang </w:t>
      </w:r>
      <w:r w:rsidRPr="00B35E07">
        <w:rPr>
          <w:rFonts w:ascii="Arial" w:hAnsi="Arial" w:cs="Arial"/>
          <w:i/>
          <w:iCs/>
          <w:sz w:val="24"/>
          <w:szCs w:val="24"/>
        </w:rPr>
        <w:t>et al</w:t>
      </w:r>
      <w:r w:rsidRPr="00B35E07">
        <w:rPr>
          <w:rFonts w:ascii="Arial" w:hAnsi="Arial" w:cs="Arial"/>
          <w:sz w:val="24"/>
          <w:szCs w:val="24"/>
        </w:rPr>
        <w:t xml:space="preserve">., 2019). In spite of the broad literature analysing the performance and earnings management, the literature examining the earnings management and measures of efficiency remains inadequate and this research focus to fill the void space (Shijaku, 2017). The uniqueness of efficiency frontier technique over measures of traditional performance, lies in its objectivity and they are regarded to be more objective unlike the financial ratios used often in financial analysis due to these ratios, only evaluate the average performance, however method of the efficient frontier computes the distance of </w:t>
      </w:r>
      <w:r w:rsidRPr="00B35E07">
        <w:rPr>
          <w:rFonts w:ascii="Arial" w:hAnsi="Arial" w:cs="Arial"/>
          <w:sz w:val="24"/>
          <w:szCs w:val="24"/>
        </w:rPr>
        <w:lastRenderedPageBreak/>
        <w:t xml:space="preserve">each consideration respective to a target (Guillén </w:t>
      </w:r>
      <w:r w:rsidRPr="00B35E07">
        <w:rPr>
          <w:rFonts w:ascii="Arial" w:hAnsi="Arial" w:cs="Arial"/>
          <w:i/>
          <w:iCs/>
          <w:sz w:val="24"/>
          <w:szCs w:val="24"/>
        </w:rPr>
        <w:t>et al</w:t>
      </w:r>
      <w:r w:rsidRPr="00B35E07">
        <w:rPr>
          <w:rFonts w:ascii="Arial" w:hAnsi="Arial" w:cs="Arial"/>
          <w:sz w:val="24"/>
          <w:szCs w:val="24"/>
        </w:rPr>
        <w:t xml:space="preserve">., 2014.) Hence, we assert that concluding on the association between earnings quality and performance established on this method is preferably to that constructed on the traditional procedure. </w:t>
      </w:r>
      <w:bookmarkStart w:id="5" w:name="_Toc23802011"/>
      <w:bookmarkStart w:id="6" w:name="_Toc27579766"/>
    </w:p>
    <w:p w14:paraId="42EB7274" w14:textId="77777777" w:rsidR="00CD45C8" w:rsidRPr="00B35E07" w:rsidRDefault="00CD45C8" w:rsidP="00CD45C8">
      <w:pPr>
        <w:rPr>
          <w:rFonts w:ascii="Arial" w:hAnsi="Arial" w:cs="Arial"/>
        </w:rPr>
      </w:pPr>
    </w:p>
    <w:p w14:paraId="3D0BF078" w14:textId="7FAACAAB" w:rsidR="00726370" w:rsidRPr="00B35E07" w:rsidRDefault="00726370" w:rsidP="00726370">
      <w:pPr>
        <w:pStyle w:val="Heading3"/>
        <w:rPr>
          <w:rFonts w:ascii="Arial" w:hAnsi="Arial" w:cs="Arial"/>
          <w:b/>
          <w:bCs/>
          <w:color w:val="auto"/>
        </w:rPr>
      </w:pPr>
      <w:r w:rsidRPr="00B35E07">
        <w:rPr>
          <w:rFonts w:ascii="Arial" w:hAnsi="Arial" w:cs="Arial"/>
          <w:b/>
          <w:bCs/>
          <w:color w:val="auto"/>
        </w:rPr>
        <w:t>1.1.1: Loan Loss Provision</w:t>
      </w:r>
      <w:bookmarkEnd w:id="5"/>
      <w:bookmarkEnd w:id="6"/>
      <w:r w:rsidRPr="00B35E07">
        <w:rPr>
          <w:rFonts w:ascii="Arial" w:hAnsi="Arial" w:cs="Arial"/>
          <w:b/>
          <w:bCs/>
          <w:color w:val="auto"/>
        </w:rPr>
        <w:t xml:space="preserve">  </w:t>
      </w:r>
    </w:p>
    <w:p w14:paraId="0E1506C9"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Loan loss provision can be defined as a measure of true credit risk exposure such that the level of loan loss provisioning reflects the quality of the banks management assessment of the portfolio of the loan that they have, showing that provisions should be capable of incorporating the entire range of anticipated credit losses (Bhat </w:t>
      </w:r>
      <w:r w:rsidRPr="00B35E07">
        <w:rPr>
          <w:rFonts w:ascii="Arial" w:hAnsi="Arial" w:cs="Arial"/>
          <w:i/>
          <w:iCs/>
          <w:sz w:val="24"/>
          <w:szCs w:val="24"/>
        </w:rPr>
        <w:t>et al</w:t>
      </w:r>
      <w:r w:rsidRPr="00B35E07">
        <w:rPr>
          <w:rFonts w:ascii="Arial" w:hAnsi="Arial" w:cs="Arial"/>
          <w:sz w:val="24"/>
          <w:szCs w:val="24"/>
        </w:rPr>
        <w:t xml:space="preserve">., 2018). Okech and Mugambi, (2016) states that loan loss reserves lead to explicit charges against incomes throughout upswings in the economic pattern, as banks expects future losses on the loan portfolio when there is a downturn strike in the economy. If such expected loan losses in the end materialize, banks can therefore withdraw on these reserves, therefore taking in the losses in absence of hindering valued capital and securing bank’s potential to continue expanding the credit supply in the economy. The bank is bound to shield the surplus loss from its capital if provisions are inadequate to include the entire range of likely loan defaults once an economic downturn takes place </w:t>
      </w:r>
      <w:r w:rsidRPr="00B35E07">
        <w:rPr>
          <w:rFonts w:ascii="Arial" w:hAnsi="Arial" w:cs="Arial"/>
          <w:color w:val="222222"/>
          <w:sz w:val="24"/>
          <w:szCs w:val="24"/>
          <w:shd w:val="clear" w:color="auto" w:fill="FFFFFF"/>
        </w:rPr>
        <w:t>(</w:t>
      </w:r>
      <w:r w:rsidRPr="00B35E07">
        <w:rPr>
          <w:rFonts w:ascii="Arial" w:hAnsi="Arial" w:cs="Arial"/>
          <w:noProof/>
          <w:sz w:val="24"/>
          <w:szCs w:val="24"/>
        </w:rPr>
        <w:t>Dolar, 2016)</w:t>
      </w:r>
      <w:r w:rsidRPr="00B35E07">
        <w:rPr>
          <w:rFonts w:ascii="Arial" w:hAnsi="Arial" w:cs="Arial"/>
          <w:sz w:val="24"/>
          <w:szCs w:val="24"/>
        </w:rPr>
        <w:t>.</w:t>
      </w:r>
    </w:p>
    <w:p w14:paraId="57B202AB"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Kaneza, (2016) places emphasize on the significance of loan loss provision for banks as two-fold. One is to abide by the regulatory necessities that stress the significance of maintaining and building up the required capital provided the specified risk description of each bank. Following, the allocation of capital aspects of provisions of loan loss may contribute incentives for banks to </w:t>
      </w:r>
      <w:r w:rsidRPr="00B35E07">
        <w:rPr>
          <w:rFonts w:ascii="Arial" w:hAnsi="Arial" w:cs="Arial"/>
          <w:sz w:val="24"/>
          <w:szCs w:val="24"/>
        </w:rPr>
        <w:lastRenderedPageBreak/>
        <w:t xml:space="preserve">intensify provisions to encounter capital requirements. Therefore, banks with low levels of capital may increase levels of loan loss provision in order to abide by the regulatory requirement and to reduce solvency risk (Viswanadham and Nahid, 2015). Hence, capital adequacy ratios of banks could have a significance impact on the banks decisions of putting down the optimal extent of loan loss provisions. </w:t>
      </w:r>
    </w:p>
    <w:p w14:paraId="631D360E" w14:textId="77777777" w:rsidR="00726370" w:rsidRPr="00B35E07" w:rsidRDefault="00726370" w:rsidP="00726370">
      <w:pPr>
        <w:pStyle w:val="Heading3"/>
        <w:rPr>
          <w:rFonts w:ascii="Arial" w:hAnsi="Arial" w:cs="Arial"/>
          <w:b/>
          <w:bCs/>
          <w:color w:val="auto"/>
        </w:rPr>
      </w:pPr>
      <w:bookmarkStart w:id="7" w:name="_Toc23802012"/>
      <w:bookmarkStart w:id="8" w:name="_Toc27579767"/>
      <w:r w:rsidRPr="00B35E07">
        <w:rPr>
          <w:rFonts w:ascii="Arial" w:hAnsi="Arial" w:cs="Arial"/>
          <w:b/>
          <w:bCs/>
          <w:color w:val="auto"/>
        </w:rPr>
        <w:t>1.1.2: Relationship between efficiency and probability of bank failure and Loan Loss Provision</w:t>
      </w:r>
      <w:bookmarkEnd w:id="7"/>
      <w:bookmarkEnd w:id="8"/>
    </w:p>
    <w:p w14:paraId="72AFB26A"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Efficiency as a performance measure, has an effect on LLP and it is believed that efficiency is indeed a better measure for the performance of banks unlike ROE and ROA, averaging method (Shawtari, 2019). Previous research works have shown to exist an association between earnings quality and traditional measures (Shawtari </w:t>
      </w:r>
      <w:r w:rsidRPr="00B35E07">
        <w:rPr>
          <w:rFonts w:ascii="Arial" w:hAnsi="Arial" w:cs="Arial"/>
          <w:i/>
          <w:iCs/>
          <w:sz w:val="24"/>
          <w:szCs w:val="24"/>
        </w:rPr>
        <w:t>et al</w:t>
      </w:r>
      <w:r w:rsidRPr="00B35E07">
        <w:rPr>
          <w:rFonts w:ascii="Arial" w:hAnsi="Arial" w:cs="Arial"/>
          <w:sz w:val="24"/>
          <w:szCs w:val="24"/>
        </w:rPr>
        <w:t xml:space="preserve">., 2015). Nonetheless, some banks operates much superior than others and it is an undeniable truth, that do we really identify a bank that performs well? Is it possible to regard a bank that is highly profitable, performing well or outperforms and vice versa? This study, efficient frontier estimates the company’s performances’ deviation relative to that of the most successful bank (Fernando and Ekanayake, 2015). The efficient frontiers main advantage, is that it is an equitable quantitative estimate with respect to other performance indicators. </w:t>
      </w:r>
    </w:p>
    <w:p w14:paraId="595C8BF6"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Therefore, it is arguably to exist a theoretical association between LLP and efficiency emerging from the idea that poor managers insufficiently control and measure their performance which is evidenced in low cost efficiency measured as indication of substandard managerial operation, in turns, influence loan conceding behaviours (Hansen, 2015). Certainly, inferior managers do not </w:t>
      </w:r>
      <w:r w:rsidRPr="00B35E07">
        <w:rPr>
          <w:rFonts w:ascii="Arial" w:hAnsi="Arial" w:cs="Arial"/>
          <w:sz w:val="24"/>
          <w:szCs w:val="24"/>
        </w:rPr>
        <w:lastRenderedPageBreak/>
        <w:t xml:space="preserve">sufficiently observe management of loan portfolio, payable to either inadequate resource allocation for loan monitoring activities or poor evaluation skills of loan. This yield to a massive volume of non-performing loans </w:t>
      </w:r>
      <w:r w:rsidRPr="00B35E07">
        <w:rPr>
          <w:rFonts w:ascii="Arial" w:hAnsi="Arial" w:cs="Arial"/>
          <w:noProof/>
          <w:sz w:val="24"/>
          <w:szCs w:val="24"/>
        </w:rPr>
        <w:t>(</w:t>
      </w:r>
      <w:r w:rsidRPr="00B35E07">
        <w:rPr>
          <w:rFonts w:ascii="Arial" w:hAnsi="Arial" w:cs="Arial"/>
          <w:color w:val="222222"/>
          <w:sz w:val="24"/>
          <w:szCs w:val="24"/>
          <w:shd w:val="clear" w:color="auto" w:fill="FFFFFF"/>
        </w:rPr>
        <w:t xml:space="preserve">Balasubramanyan </w:t>
      </w:r>
      <w:r w:rsidRPr="00B35E07">
        <w:rPr>
          <w:rFonts w:ascii="Arial" w:hAnsi="Arial" w:cs="Arial"/>
          <w:i/>
          <w:iCs/>
          <w:color w:val="222222"/>
          <w:sz w:val="24"/>
          <w:szCs w:val="24"/>
          <w:shd w:val="clear" w:color="auto" w:fill="FFFFFF"/>
        </w:rPr>
        <w:t>et al</w:t>
      </w:r>
      <w:r w:rsidRPr="00B35E07">
        <w:rPr>
          <w:rFonts w:ascii="Arial" w:hAnsi="Arial" w:cs="Arial"/>
          <w:color w:val="222222"/>
          <w:sz w:val="24"/>
          <w:szCs w:val="24"/>
          <w:shd w:val="clear" w:color="auto" w:fill="FFFFFF"/>
        </w:rPr>
        <w:t>., 2017)</w:t>
      </w:r>
      <w:r w:rsidRPr="00B35E07">
        <w:rPr>
          <w:rFonts w:ascii="Arial" w:hAnsi="Arial" w:cs="Arial"/>
          <w:sz w:val="24"/>
          <w:szCs w:val="24"/>
        </w:rPr>
        <w:t>. All these supports the hypothesis that non-performing loans is contributed by lower efficiency, demanding extreme amount of loan loss provision, which would therefore result in reduced earnings (Cucinelli, 2015). Hence, managers are encouraged to enhance their earnings by employing their discretion over loan loss provision so as to minimise the effect on earnings and likewise to control agreed outcomes of debt covenants, political costs and bonus plans. Bank managers may not be complete proficient in evaluating the collateral value declared averse to the loans, and have issues and hardships in controlling and monitoring the borrowers after provision of loans to be certain that contracts are executed (Agénor and Zilberman, 2015).</w:t>
      </w:r>
    </w:p>
    <w:p w14:paraId="6AEBFAD6" w14:textId="7A02D661" w:rsidR="0029436B" w:rsidRPr="00B35E07" w:rsidRDefault="00726370" w:rsidP="0029436B">
      <w:pPr>
        <w:spacing w:line="480" w:lineRule="auto"/>
        <w:ind w:firstLine="720"/>
        <w:jc w:val="both"/>
        <w:rPr>
          <w:rFonts w:ascii="Arial" w:hAnsi="Arial" w:cs="Arial"/>
          <w:sz w:val="24"/>
          <w:szCs w:val="24"/>
        </w:rPr>
      </w:pPr>
      <w:r w:rsidRPr="00B35E07">
        <w:rPr>
          <w:rFonts w:ascii="Arial" w:hAnsi="Arial" w:cs="Arial"/>
          <w:sz w:val="24"/>
          <w:szCs w:val="24"/>
        </w:rPr>
        <w:t xml:space="preserve">Samad, (2015) states that poor monitoring and underwriting practices would result in more non-performing loans with keen irresponsibility’s. Therefore, below the poor managing hypothesis, reasonable efficiency is anticipated to happen with the above introduced reason which would affect poorly the operation and behaviour in terms of earnings, providing managers with incitement to turn to earnings management exercise to hide and overcome decreased earnings (Cummings and Durrani, 2016). This logic makes significant logic in the context of Kenya where there is a rise on the non-performing loans for the commercial banks listed in the NSE. This calls for high LLP to encounter such high anticipated loss and therefore, the managers of the bank with non-performing loans ratios that are high would result in exercising their preferences over LLP so as to </w:t>
      </w:r>
      <w:r w:rsidRPr="00B35E07">
        <w:rPr>
          <w:rFonts w:ascii="Arial" w:hAnsi="Arial" w:cs="Arial"/>
          <w:sz w:val="24"/>
          <w:szCs w:val="24"/>
        </w:rPr>
        <w:lastRenderedPageBreak/>
        <w:t xml:space="preserve">conceal the effect of high LLP on earnings and to minimise the credit risk perceived (Ekanayake and Azeez, 2015). </w:t>
      </w:r>
    </w:p>
    <w:p w14:paraId="0E6E22BD" w14:textId="77777777" w:rsidR="00726370" w:rsidRPr="00B35E07" w:rsidRDefault="00726370" w:rsidP="00726370">
      <w:pPr>
        <w:pStyle w:val="Heading3"/>
        <w:rPr>
          <w:rFonts w:ascii="Arial" w:hAnsi="Arial" w:cs="Arial"/>
          <w:b/>
          <w:bCs/>
          <w:color w:val="auto"/>
        </w:rPr>
      </w:pPr>
      <w:bookmarkStart w:id="9" w:name="_Toc23802013"/>
      <w:bookmarkStart w:id="10" w:name="_Toc27579768"/>
      <w:r w:rsidRPr="00B35E07">
        <w:rPr>
          <w:rFonts w:ascii="Arial" w:hAnsi="Arial" w:cs="Arial"/>
          <w:b/>
          <w:bCs/>
          <w:color w:val="auto"/>
        </w:rPr>
        <w:t>1.1.3: Commercial Banks in Kenya</w:t>
      </w:r>
      <w:bookmarkEnd w:id="9"/>
      <w:bookmarkEnd w:id="10"/>
    </w:p>
    <w:p w14:paraId="32377305"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In Kenya, as of December 2016, there were forty-four commercial banks. Out of this forty-four, eleven banks were listed at the Nairobi Stock Exchange (Appendix 1). Banking Act Chapter 488 regulates the commercial banks which offers the laid down rules and regulation for operation. The CBK, Central Bank of Kenya has an authority to supervise in general, the banking industry (CBK, 2015). The bank can provide directives to other financial institutions and commercial banks elaborating how they should pay their dividends, the minimum reserves to be held at the CBK, how much they should be lending (quantitative directives), reporting of information and reporting requirements, accounts and audits and control and inspection of institutions (Central Bank of Kenya, 2015). The Central Bank of Kenya also provides directions on loan loss percentage reserves and calculation of regulatory capital to be included in capital.</w:t>
      </w:r>
    </w:p>
    <w:p w14:paraId="14444FCD"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In 2015, Kenya’s banking sector registered declined performance with profit before tax diminishing by 5.03% (Gathaiya, 2017). The reason behind the decline in profitability could be justified by rapid growth in expenses compared to the income growth. The sector expenses grew by 16.3% (</w:t>
      </w:r>
      <w:r w:rsidRPr="00B35E07">
        <w:rPr>
          <w:rFonts w:ascii="Arial" w:hAnsi="Arial" w:cs="Arial"/>
          <w:color w:val="222222"/>
          <w:sz w:val="24"/>
          <w:szCs w:val="24"/>
          <w:shd w:val="clear" w:color="auto" w:fill="FFFFFF"/>
        </w:rPr>
        <w:t>Geoffrey, 2017)</w:t>
      </w:r>
      <w:r w:rsidRPr="00B35E07">
        <w:rPr>
          <w:rFonts w:ascii="Arial" w:hAnsi="Arial" w:cs="Arial"/>
          <w:sz w:val="24"/>
          <w:szCs w:val="24"/>
        </w:rPr>
        <w:t>. The growth in total expenses was largely attributed to a rise in interest expense and loan loss provisions (Gathaiya, 2017). The sector also registered a decrease in asset quality with the non-performing loans ratio increasing to 6.8% in December 2015 from 5.6% in December 2014 (CBK, 2015).</w:t>
      </w:r>
    </w:p>
    <w:p w14:paraId="1BB61BCE" w14:textId="77777777" w:rsidR="00726370" w:rsidRPr="00B35E07" w:rsidRDefault="00726370" w:rsidP="00726370">
      <w:pPr>
        <w:pStyle w:val="Heading2"/>
        <w:rPr>
          <w:rFonts w:ascii="Arial" w:hAnsi="Arial" w:cs="Arial"/>
          <w:b/>
          <w:bCs/>
          <w:color w:val="auto"/>
          <w:sz w:val="24"/>
          <w:szCs w:val="24"/>
        </w:rPr>
      </w:pPr>
      <w:bookmarkStart w:id="11" w:name="_Toc23802014"/>
      <w:bookmarkStart w:id="12" w:name="_Toc27579769"/>
      <w:r w:rsidRPr="00B35E07">
        <w:rPr>
          <w:rFonts w:ascii="Arial" w:hAnsi="Arial" w:cs="Arial"/>
          <w:b/>
          <w:bCs/>
          <w:color w:val="auto"/>
          <w:sz w:val="24"/>
          <w:szCs w:val="24"/>
        </w:rPr>
        <w:lastRenderedPageBreak/>
        <w:t>1.2: Problem Statement</w:t>
      </w:r>
      <w:bookmarkEnd w:id="11"/>
      <w:bookmarkEnd w:id="12"/>
      <w:r w:rsidRPr="00B35E07">
        <w:rPr>
          <w:rFonts w:ascii="Arial" w:hAnsi="Arial" w:cs="Arial"/>
          <w:b/>
          <w:bCs/>
          <w:color w:val="auto"/>
          <w:sz w:val="24"/>
          <w:szCs w:val="24"/>
        </w:rPr>
        <w:t xml:space="preserve"> </w:t>
      </w:r>
    </w:p>
    <w:p w14:paraId="34556762" w14:textId="77777777" w:rsidR="00726370" w:rsidRPr="00B35E07" w:rsidRDefault="00726370" w:rsidP="00726370">
      <w:pPr>
        <w:spacing w:line="480" w:lineRule="auto"/>
        <w:ind w:firstLine="720"/>
        <w:jc w:val="both"/>
        <w:rPr>
          <w:rFonts w:ascii="Arial" w:hAnsi="Arial" w:cs="Arial"/>
          <w:color w:val="222222"/>
          <w:sz w:val="24"/>
          <w:szCs w:val="24"/>
          <w:shd w:val="clear" w:color="auto" w:fill="FFFFFF"/>
        </w:rPr>
      </w:pPr>
      <w:r w:rsidRPr="00B35E07">
        <w:rPr>
          <w:rFonts w:ascii="Arial" w:hAnsi="Arial" w:cs="Arial"/>
          <w:sz w:val="24"/>
          <w:szCs w:val="24"/>
        </w:rPr>
        <w:t xml:space="preserve">In every economy, banking sector is the most essential part of the financial sector, therefore the strength of the banking sector becomes critical in enabling favourable economic stability and growth </w:t>
      </w:r>
      <w:r w:rsidRPr="00B35E07">
        <w:rPr>
          <w:rFonts w:ascii="Arial" w:hAnsi="Arial" w:cs="Arial"/>
          <w:color w:val="222222"/>
          <w:sz w:val="24"/>
          <w:szCs w:val="24"/>
          <w:shd w:val="clear" w:color="auto" w:fill="FFFFFF"/>
        </w:rPr>
        <w:t>(Bulle, 2014)</w:t>
      </w:r>
      <w:r w:rsidRPr="00B35E07">
        <w:rPr>
          <w:rFonts w:ascii="Arial" w:hAnsi="Arial" w:cs="Arial"/>
          <w:sz w:val="24"/>
          <w:szCs w:val="24"/>
        </w:rPr>
        <w:t xml:space="preserve">. The three common recent commercial banks in Kenya that collapsed are: Dubai bank, Chase bank and Imperial bank and it implies that the bank risks have not yet been assessed by the managers or have not dealt with it properly </w:t>
      </w:r>
      <w:r w:rsidRPr="00B35E07">
        <w:rPr>
          <w:rFonts w:ascii="Arial" w:hAnsi="Arial" w:cs="Arial"/>
          <w:sz w:val="24"/>
          <w:szCs w:val="24"/>
        </w:rPr>
        <w:br/>
        <w:t xml:space="preserve">(Gathaiya, 2017). Hence, the depositors, stakeholders, creditors and other stakeholders will experience massive financial losses when the banking sectors collapses. Added, the crisis of the banks might have extreme effect for the economy of the nation. The sheer size of the present and current economy and its complexity strengthen and boosts the significance of this matter hence the urge to be considered attentively and catiously </w:t>
      </w:r>
      <w:r w:rsidRPr="00B35E07">
        <w:rPr>
          <w:rFonts w:ascii="Arial" w:hAnsi="Arial" w:cs="Arial"/>
          <w:color w:val="222222"/>
          <w:sz w:val="24"/>
          <w:szCs w:val="24"/>
          <w:shd w:val="clear" w:color="auto" w:fill="FFFFFF"/>
        </w:rPr>
        <w:t>(Bitok, 2014)</w:t>
      </w:r>
      <w:r w:rsidRPr="00B35E07">
        <w:rPr>
          <w:rFonts w:ascii="Arial" w:hAnsi="Arial" w:cs="Arial"/>
          <w:sz w:val="24"/>
          <w:szCs w:val="24"/>
        </w:rPr>
        <w:t xml:space="preserve">.  </w:t>
      </w:r>
    </w:p>
    <w:p w14:paraId="4B6BE142"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Bank utilize loan loss provisions to generate reserves so as to underwrite the anticipated losses incorporated in their loan portfolios. Banks provide loan loss provisions in respect to the fundamental quality of their loan portfolio indicating their credit risk exposure (Wang </w:t>
      </w:r>
      <w:r w:rsidRPr="00B35E07">
        <w:rPr>
          <w:rFonts w:ascii="Arial" w:hAnsi="Arial" w:cs="Arial"/>
          <w:i/>
          <w:iCs/>
          <w:sz w:val="24"/>
          <w:szCs w:val="24"/>
        </w:rPr>
        <w:t>et al</w:t>
      </w:r>
      <w:r w:rsidRPr="00B35E07">
        <w:rPr>
          <w:rFonts w:ascii="Arial" w:hAnsi="Arial" w:cs="Arial"/>
          <w:sz w:val="24"/>
          <w:szCs w:val="24"/>
        </w:rPr>
        <w:t xml:space="preserve">., 2019). The decision to provide provisions depends on specific considerations of credit risk such as risk tolerance, default risk, and the macroeconomic environment. Balasubramanyan </w:t>
      </w:r>
      <w:r w:rsidRPr="00B35E07">
        <w:rPr>
          <w:rFonts w:ascii="Arial" w:hAnsi="Arial" w:cs="Arial"/>
          <w:i/>
          <w:iCs/>
          <w:sz w:val="24"/>
          <w:szCs w:val="24"/>
        </w:rPr>
        <w:t>et al</w:t>
      </w:r>
      <w:r w:rsidRPr="00B35E07">
        <w:rPr>
          <w:rFonts w:ascii="Arial" w:hAnsi="Arial" w:cs="Arial"/>
          <w:sz w:val="24"/>
          <w:szCs w:val="24"/>
        </w:rPr>
        <w:t xml:space="preserve">., (2017) proposes that in contrast loan loss provisioning should be determined by credit risk considerations, in practice, they are liable to the decision of banks’ managers and, therefore, they are one of the essential items subject to managerial discretion. Loan loss provision are distinguishable between general and specific provisions (Olszak </w:t>
      </w:r>
      <w:r w:rsidRPr="00B35E07">
        <w:rPr>
          <w:rFonts w:ascii="Arial" w:hAnsi="Arial" w:cs="Arial"/>
          <w:i/>
          <w:iCs/>
          <w:sz w:val="24"/>
          <w:szCs w:val="24"/>
        </w:rPr>
        <w:t>et al</w:t>
      </w:r>
      <w:r w:rsidRPr="00B35E07">
        <w:rPr>
          <w:rFonts w:ascii="Arial" w:hAnsi="Arial" w:cs="Arial"/>
          <w:sz w:val="24"/>
          <w:szCs w:val="24"/>
        </w:rPr>
        <w:t xml:space="preserve">., 2016). General provisions are made against </w:t>
      </w:r>
      <w:r w:rsidRPr="00B35E07">
        <w:rPr>
          <w:rFonts w:ascii="Arial" w:hAnsi="Arial" w:cs="Arial"/>
          <w:sz w:val="24"/>
          <w:szCs w:val="24"/>
        </w:rPr>
        <w:lastRenderedPageBreak/>
        <w:t>the portfolio of loans while specific provisions   depict likely losses in an individually assessed loan.</w:t>
      </w:r>
    </w:p>
    <w:p w14:paraId="04AD85D6" w14:textId="77777777" w:rsidR="00726370" w:rsidRPr="00B35E07" w:rsidRDefault="00726370" w:rsidP="00726370">
      <w:pPr>
        <w:spacing w:line="480" w:lineRule="auto"/>
        <w:ind w:firstLine="720"/>
        <w:jc w:val="both"/>
        <w:rPr>
          <w:rFonts w:ascii="Arial" w:hAnsi="Arial" w:cs="Arial"/>
          <w:color w:val="222222"/>
          <w:sz w:val="24"/>
          <w:szCs w:val="24"/>
          <w:shd w:val="clear" w:color="auto" w:fill="FFFFFF"/>
        </w:rPr>
      </w:pPr>
      <w:r w:rsidRPr="00B35E07">
        <w:rPr>
          <w:rFonts w:ascii="Arial" w:hAnsi="Arial" w:cs="Arial"/>
          <w:sz w:val="24"/>
          <w:szCs w:val="24"/>
        </w:rPr>
        <w:t xml:space="preserve">According to Ning and Wang (2017), he says that in general, provisions normally increase at the times of economic upturn as the credit demand was high during that period and banks provide more loans. Nevertheless, at the times of economic downturn loans to more risky borrowers experience huge loan losses as risks crystallizes, and hence follows greater specified and particular loan loss provisions. Fernando and Ekanayake (2015) says that banks utilize loan loss provisions to reduce the credit risk that happens in the banking business, which at the end affect the performance and profitability of the banks. When these expected loan losses in the end materialize, banks can then withdraw on these reserves, therefore drawing up the losses without preserving banks’ capacity and impairing precious capital to carry on increasing the credit supply to the economy </w:t>
      </w:r>
      <w:r w:rsidRPr="00B35E07">
        <w:rPr>
          <w:rFonts w:ascii="Arial" w:hAnsi="Arial" w:cs="Arial"/>
          <w:noProof/>
          <w:sz w:val="24"/>
          <w:szCs w:val="24"/>
        </w:rPr>
        <w:t>(</w:t>
      </w:r>
      <w:r w:rsidRPr="00B35E07">
        <w:rPr>
          <w:rFonts w:ascii="Arial" w:hAnsi="Arial" w:cs="Arial"/>
          <w:color w:val="222222"/>
          <w:sz w:val="24"/>
          <w:szCs w:val="24"/>
          <w:shd w:val="clear" w:color="auto" w:fill="FFFFFF"/>
        </w:rPr>
        <w:t xml:space="preserve">Balasubramanyan </w:t>
      </w:r>
      <w:r w:rsidRPr="00B35E07">
        <w:rPr>
          <w:rFonts w:ascii="Arial" w:hAnsi="Arial" w:cs="Arial"/>
          <w:i/>
          <w:iCs/>
          <w:color w:val="222222"/>
          <w:sz w:val="24"/>
          <w:szCs w:val="24"/>
          <w:shd w:val="clear" w:color="auto" w:fill="FFFFFF"/>
        </w:rPr>
        <w:t>et al</w:t>
      </w:r>
      <w:r w:rsidRPr="00B35E07">
        <w:rPr>
          <w:rFonts w:ascii="Arial" w:hAnsi="Arial" w:cs="Arial"/>
          <w:color w:val="222222"/>
          <w:sz w:val="24"/>
          <w:szCs w:val="24"/>
          <w:shd w:val="clear" w:color="auto" w:fill="FFFFFF"/>
        </w:rPr>
        <w:t>., 2017)</w:t>
      </w:r>
      <w:r w:rsidRPr="00B35E07">
        <w:rPr>
          <w:rFonts w:ascii="Arial" w:hAnsi="Arial" w:cs="Arial"/>
          <w:sz w:val="24"/>
          <w:szCs w:val="24"/>
        </w:rPr>
        <w:t xml:space="preserve">. </w:t>
      </w:r>
    </w:p>
    <w:p w14:paraId="0FF40297"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In Kenya, loan losses are a major cause of the commercial banks (MBITHI, 2018). Maina, (2016) states that loan losses are a provocation that continue to threaten the stability of banking sector in Kenya. Due to the increased supervision of banks and high interest rate environment following the closure of Dubai Bank, Imperial Bank and most lately Chase Bank, loss provisions among commercial banks raised accordingly. The most remarkably being the increase in loan loss provision by the listed banks from 85.4% in 2015 with an increment to 167% in 2016 relatively (Bulle, 2018). The CBK considered that the assets quality held by commercial banks has worsen in the recent past mainly as a result of the obstacles in the enhanced reclassification, high interest rates and business </w:t>
      </w:r>
      <w:r w:rsidRPr="00B35E07">
        <w:rPr>
          <w:rFonts w:ascii="Arial" w:hAnsi="Arial" w:cs="Arial"/>
          <w:sz w:val="24"/>
          <w:szCs w:val="24"/>
        </w:rPr>
        <w:lastRenderedPageBreak/>
        <w:t>environment and loan loss provisioning resulted into a downgrading of loans accounts (Central Bank of Kenya, 2015).</w:t>
      </w:r>
    </w:p>
    <w:p w14:paraId="1F1415E7"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The major contributory factors that result to the fall down of Dubai bank was deteriorating cash reserve ratio, liquidity and capital deficiencies together with weak corporate governance structure and provisions of non-performing loans and it had been infringing its daily cash reserve ratio requirement of 5.25% (CBK, 2016). It is clearly reported on 24</w:t>
      </w:r>
      <w:r w:rsidRPr="00B35E07">
        <w:rPr>
          <w:rFonts w:ascii="Arial" w:hAnsi="Arial" w:cs="Arial"/>
          <w:sz w:val="24"/>
          <w:szCs w:val="24"/>
          <w:vertAlign w:val="superscript"/>
        </w:rPr>
        <w:t xml:space="preserve">th </w:t>
      </w:r>
      <w:r w:rsidRPr="00B35E07">
        <w:rPr>
          <w:rFonts w:ascii="Arial" w:hAnsi="Arial" w:cs="Arial"/>
          <w:sz w:val="24"/>
          <w:szCs w:val="24"/>
        </w:rPr>
        <w:t>August, 2015 by KDIC (Kenya Deposit Insurance Cooperation) Dubai bank receivership that Dubai bank failed to privilege its financial obligations to Bank of Africa owed KES 48 million hence resulted to the bank’s liquidation and it was the only likely alternative due to the Dubai Bank magnitude of weakness (Gathaiya, 2017).</w:t>
      </w:r>
    </w:p>
    <w:p w14:paraId="6098F77D"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Imperial Bank Limited was another bank that collapsed and it was in October, 2015 when it was placed under statutory management with the main motive for receivership were unsound and unsafe business conditions and transaction business practises in the bank with most remarkably was the massive defaults in LLP (Gathaiya, 2017). June 21st 2016, NIC Bank was chosen by CBK as the Imperial Bank asset and liabilities consultants in receivership and NIC was responsible for transferring to the bank’s deposit customers their failed funds (CBK, 2016).</w:t>
      </w:r>
    </w:p>
    <w:p w14:paraId="675B5591"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Chase bank was the other bank that collapsed. It was put under receivership by CBK on 7th April, 2016 and the main reasons for placement was related to the failure to encounter the statutory banking ratios and under-reporting of insider loans (Goldstein and Turner, 2016). It is reported that the insider loans remained at 13.62 billion kenyan shillings compared to the 5.72 billion kenyan </w:t>
      </w:r>
      <w:r w:rsidRPr="00B35E07">
        <w:rPr>
          <w:rFonts w:ascii="Arial" w:hAnsi="Arial" w:cs="Arial"/>
          <w:sz w:val="24"/>
          <w:szCs w:val="24"/>
        </w:rPr>
        <w:lastRenderedPageBreak/>
        <w:t xml:space="preserve">shillings as reported (CBK, 2016). Added, Chase bank statements showed that NPL had moved up to 11 billion kenyan shillings in 2015 from 3 billion kenyan shillings in 2014 and its main problem was connected to problematic 16.6 billion kenyan shillings insider loans whereby its likelihood of retrieval were hesitant at the time (Gathaiya, 2017).  </w:t>
      </w:r>
    </w:p>
    <w:p w14:paraId="35EE8FBE"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Numerous researches have been analysed to evaluate the effect of loan loss provisioning on the capital financial performance of the banks. Wang </w:t>
      </w:r>
      <w:r w:rsidRPr="00B35E07">
        <w:rPr>
          <w:rFonts w:ascii="Arial" w:hAnsi="Arial" w:cs="Arial"/>
          <w:i/>
          <w:iCs/>
          <w:sz w:val="24"/>
          <w:szCs w:val="24"/>
        </w:rPr>
        <w:t>et al</w:t>
      </w:r>
      <w:r w:rsidRPr="00B35E07">
        <w:rPr>
          <w:rFonts w:ascii="Arial" w:hAnsi="Arial" w:cs="Arial"/>
          <w:sz w:val="24"/>
          <w:szCs w:val="24"/>
        </w:rPr>
        <w:t xml:space="preserve">., (2019) realised from his study that banks utilized loan loss provision for capital management. Karimiyan </w:t>
      </w:r>
      <w:r w:rsidRPr="00B35E07">
        <w:rPr>
          <w:rFonts w:ascii="Arial" w:hAnsi="Arial" w:cs="Arial"/>
          <w:i/>
          <w:iCs/>
          <w:sz w:val="24"/>
          <w:szCs w:val="24"/>
        </w:rPr>
        <w:t>et al</w:t>
      </w:r>
      <w:r w:rsidRPr="00B35E07">
        <w:rPr>
          <w:rFonts w:ascii="Arial" w:hAnsi="Arial" w:cs="Arial"/>
          <w:sz w:val="24"/>
          <w:szCs w:val="24"/>
        </w:rPr>
        <w:t>., (2017) says that loan loss provision affected profitability of the banks significantly. Banks utilize loan loss provision aggressively for earnings management (Kar, 2017). These researches based on banks from foreign markets which vary considerably from the Kenyan market in terms of regulation, development and size. Added to that, the studies do not associate loan loss provision. It is this gap in recognition that this study seeks to fill by answering the question: what is the impact of efficiency of commercial banks listed at the Nairobi Securities Exchange on bank failure through loan loss provision?</w:t>
      </w:r>
    </w:p>
    <w:p w14:paraId="1C0D2D5D" w14:textId="77777777" w:rsidR="00726370" w:rsidRPr="00B35E07" w:rsidRDefault="00726370" w:rsidP="00726370">
      <w:pPr>
        <w:pStyle w:val="Heading2"/>
        <w:rPr>
          <w:rFonts w:ascii="Arial" w:hAnsi="Arial" w:cs="Arial"/>
          <w:b/>
          <w:bCs/>
          <w:color w:val="auto"/>
          <w:sz w:val="24"/>
          <w:szCs w:val="24"/>
        </w:rPr>
      </w:pPr>
      <w:bookmarkStart w:id="13" w:name="_Toc23802015"/>
      <w:bookmarkStart w:id="14" w:name="_Toc27579770"/>
      <w:r w:rsidRPr="00B35E07">
        <w:rPr>
          <w:rFonts w:ascii="Arial" w:hAnsi="Arial" w:cs="Arial"/>
          <w:b/>
          <w:bCs/>
          <w:color w:val="auto"/>
          <w:sz w:val="24"/>
          <w:szCs w:val="24"/>
        </w:rPr>
        <w:t>1.3: Objective of the Study</w:t>
      </w:r>
      <w:bookmarkEnd w:id="13"/>
      <w:bookmarkEnd w:id="14"/>
    </w:p>
    <w:p w14:paraId="40920B3F" w14:textId="77777777" w:rsidR="00726370" w:rsidRPr="00B35E07" w:rsidRDefault="00726370" w:rsidP="00726370">
      <w:pPr>
        <w:pStyle w:val="ListParagraph"/>
        <w:numPr>
          <w:ilvl w:val="0"/>
          <w:numId w:val="2"/>
        </w:numPr>
        <w:spacing w:line="480" w:lineRule="auto"/>
        <w:jc w:val="both"/>
        <w:rPr>
          <w:rFonts w:ascii="Arial" w:hAnsi="Arial" w:cs="Arial"/>
          <w:sz w:val="24"/>
          <w:szCs w:val="24"/>
        </w:rPr>
      </w:pPr>
      <w:r w:rsidRPr="00B35E07">
        <w:rPr>
          <w:rFonts w:ascii="Arial" w:hAnsi="Arial" w:cs="Arial"/>
          <w:sz w:val="24"/>
          <w:szCs w:val="24"/>
        </w:rPr>
        <w:t xml:space="preserve">To measure the financial factors of commercial banks listed at the NSE on LLP.  </w:t>
      </w:r>
    </w:p>
    <w:p w14:paraId="3DC64E26" w14:textId="77777777" w:rsidR="00726370" w:rsidRPr="00B35E07" w:rsidRDefault="00726370" w:rsidP="00726370">
      <w:pPr>
        <w:pStyle w:val="ListParagraph"/>
        <w:numPr>
          <w:ilvl w:val="0"/>
          <w:numId w:val="2"/>
        </w:numPr>
        <w:spacing w:line="480" w:lineRule="auto"/>
        <w:jc w:val="both"/>
        <w:rPr>
          <w:rFonts w:ascii="Arial" w:hAnsi="Arial" w:cs="Arial"/>
          <w:sz w:val="24"/>
          <w:szCs w:val="24"/>
        </w:rPr>
      </w:pPr>
      <w:r w:rsidRPr="00B35E07">
        <w:rPr>
          <w:rFonts w:ascii="Arial" w:hAnsi="Arial" w:cs="Arial"/>
          <w:sz w:val="24"/>
          <w:szCs w:val="24"/>
        </w:rPr>
        <w:t>To measure the economic factors of commercial banks on LLP listed at the NSE on LLP.</w:t>
      </w:r>
    </w:p>
    <w:p w14:paraId="7BB0CE9C" w14:textId="77777777" w:rsidR="00726370" w:rsidRPr="00B35E07" w:rsidRDefault="00726370" w:rsidP="00726370">
      <w:pPr>
        <w:pStyle w:val="ListParagraph"/>
        <w:numPr>
          <w:ilvl w:val="0"/>
          <w:numId w:val="2"/>
        </w:numPr>
        <w:spacing w:line="480" w:lineRule="auto"/>
        <w:jc w:val="both"/>
        <w:rPr>
          <w:rFonts w:ascii="Arial" w:hAnsi="Arial" w:cs="Arial"/>
          <w:sz w:val="24"/>
          <w:szCs w:val="24"/>
        </w:rPr>
      </w:pPr>
      <w:r w:rsidRPr="00B35E07">
        <w:rPr>
          <w:rFonts w:ascii="Arial" w:hAnsi="Arial" w:cs="Arial"/>
          <w:sz w:val="24"/>
          <w:szCs w:val="24"/>
        </w:rPr>
        <w:t>To measure efficiency of bank failure of commercial banks listed at the NSE.</w:t>
      </w:r>
    </w:p>
    <w:p w14:paraId="48F32976" w14:textId="77777777" w:rsidR="00726370" w:rsidRPr="00B35E07" w:rsidRDefault="00726370" w:rsidP="00726370">
      <w:pPr>
        <w:pStyle w:val="ListParagraph"/>
        <w:numPr>
          <w:ilvl w:val="0"/>
          <w:numId w:val="2"/>
        </w:numPr>
        <w:spacing w:line="480" w:lineRule="auto"/>
        <w:jc w:val="both"/>
        <w:rPr>
          <w:rFonts w:ascii="Arial" w:hAnsi="Arial" w:cs="Arial"/>
          <w:sz w:val="24"/>
          <w:szCs w:val="24"/>
        </w:rPr>
      </w:pPr>
      <w:r w:rsidRPr="00B35E07">
        <w:rPr>
          <w:rFonts w:ascii="Arial" w:hAnsi="Arial" w:cs="Arial"/>
          <w:sz w:val="24"/>
          <w:szCs w:val="24"/>
        </w:rPr>
        <w:lastRenderedPageBreak/>
        <w:t>To investigate the relationship between LLP and bank failure of commercial banks listed at the NSE.</w:t>
      </w:r>
    </w:p>
    <w:p w14:paraId="1317B71A" w14:textId="77777777" w:rsidR="00762CFB" w:rsidRPr="00B35E07" w:rsidRDefault="00762CFB" w:rsidP="00762CFB">
      <w:pPr>
        <w:rPr>
          <w:rFonts w:ascii="Arial" w:hAnsi="Arial" w:cs="Arial"/>
        </w:rPr>
      </w:pPr>
      <w:bookmarkStart w:id="15" w:name="_Toc23802016"/>
      <w:bookmarkStart w:id="16" w:name="_Toc27579771"/>
    </w:p>
    <w:p w14:paraId="338A7832" w14:textId="5A16037F" w:rsidR="00726370" w:rsidRPr="00B35E07" w:rsidRDefault="00726370" w:rsidP="00726370">
      <w:pPr>
        <w:pStyle w:val="Heading2"/>
        <w:rPr>
          <w:rFonts w:ascii="Arial" w:hAnsi="Arial" w:cs="Arial"/>
          <w:b/>
          <w:bCs/>
          <w:color w:val="auto"/>
          <w:sz w:val="24"/>
          <w:szCs w:val="24"/>
        </w:rPr>
      </w:pPr>
      <w:r w:rsidRPr="00B35E07">
        <w:rPr>
          <w:rFonts w:ascii="Arial" w:hAnsi="Arial" w:cs="Arial"/>
          <w:b/>
          <w:bCs/>
          <w:color w:val="auto"/>
          <w:sz w:val="24"/>
          <w:szCs w:val="24"/>
        </w:rPr>
        <w:t>1.4: Research Questions</w:t>
      </w:r>
      <w:bookmarkEnd w:id="15"/>
      <w:bookmarkEnd w:id="16"/>
    </w:p>
    <w:p w14:paraId="6231F852" w14:textId="77777777" w:rsidR="00726370" w:rsidRPr="00B35E07" w:rsidRDefault="00726370" w:rsidP="00726370">
      <w:pPr>
        <w:spacing w:line="480" w:lineRule="auto"/>
        <w:jc w:val="both"/>
        <w:rPr>
          <w:rFonts w:ascii="Arial" w:hAnsi="Arial" w:cs="Arial"/>
          <w:sz w:val="24"/>
          <w:szCs w:val="24"/>
        </w:rPr>
      </w:pPr>
      <w:r w:rsidRPr="00B35E07">
        <w:rPr>
          <w:rFonts w:ascii="Arial" w:hAnsi="Arial" w:cs="Arial"/>
          <w:sz w:val="24"/>
          <w:szCs w:val="24"/>
        </w:rPr>
        <w:t>Below are the research questions which will be used for the study:</w:t>
      </w:r>
    </w:p>
    <w:p w14:paraId="321039AE" w14:textId="77777777" w:rsidR="00726370" w:rsidRPr="00B35E07" w:rsidRDefault="00726370" w:rsidP="00726370">
      <w:pPr>
        <w:pStyle w:val="ListParagraph"/>
        <w:numPr>
          <w:ilvl w:val="0"/>
          <w:numId w:val="1"/>
        </w:numPr>
        <w:spacing w:line="480" w:lineRule="auto"/>
        <w:jc w:val="both"/>
        <w:rPr>
          <w:rFonts w:ascii="Arial" w:hAnsi="Arial" w:cs="Arial"/>
          <w:sz w:val="24"/>
          <w:szCs w:val="24"/>
        </w:rPr>
      </w:pPr>
      <w:r w:rsidRPr="00B35E07">
        <w:rPr>
          <w:rFonts w:ascii="Arial" w:hAnsi="Arial" w:cs="Arial"/>
          <w:sz w:val="24"/>
          <w:szCs w:val="24"/>
        </w:rPr>
        <w:t>How does financial factors of commercial banks listed at the NSE have an impact on LLP?</w:t>
      </w:r>
    </w:p>
    <w:p w14:paraId="3381A486" w14:textId="77777777" w:rsidR="00726370" w:rsidRPr="00B35E07" w:rsidRDefault="00726370" w:rsidP="00726370">
      <w:pPr>
        <w:pStyle w:val="ListParagraph"/>
        <w:numPr>
          <w:ilvl w:val="0"/>
          <w:numId w:val="1"/>
        </w:numPr>
        <w:spacing w:line="480" w:lineRule="auto"/>
        <w:jc w:val="both"/>
        <w:rPr>
          <w:rFonts w:ascii="Arial" w:hAnsi="Arial" w:cs="Arial"/>
          <w:sz w:val="24"/>
          <w:szCs w:val="24"/>
        </w:rPr>
      </w:pPr>
      <w:r w:rsidRPr="00B35E07">
        <w:rPr>
          <w:rFonts w:ascii="Arial" w:hAnsi="Arial" w:cs="Arial"/>
          <w:sz w:val="24"/>
          <w:szCs w:val="24"/>
        </w:rPr>
        <w:t>How does economic factors of commercial banks listed at the NSE have an impact on LLP?</w:t>
      </w:r>
    </w:p>
    <w:p w14:paraId="0F917A21" w14:textId="77777777" w:rsidR="00726370" w:rsidRPr="00B35E07" w:rsidRDefault="00726370" w:rsidP="00726370">
      <w:pPr>
        <w:pStyle w:val="ListParagraph"/>
        <w:numPr>
          <w:ilvl w:val="0"/>
          <w:numId w:val="1"/>
        </w:numPr>
        <w:spacing w:line="480" w:lineRule="auto"/>
        <w:jc w:val="both"/>
        <w:rPr>
          <w:rFonts w:ascii="Arial" w:hAnsi="Arial" w:cs="Arial"/>
          <w:sz w:val="24"/>
          <w:szCs w:val="24"/>
        </w:rPr>
      </w:pPr>
      <w:r w:rsidRPr="00B35E07">
        <w:rPr>
          <w:rFonts w:ascii="Arial" w:hAnsi="Arial" w:cs="Arial"/>
          <w:sz w:val="24"/>
          <w:szCs w:val="24"/>
        </w:rPr>
        <w:t>How does efficiency of bank failure of commercial banks listed at the NSE have an impact on LLP?</w:t>
      </w:r>
    </w:p>
    <w:p w14:paraId="5B070879" w14:textId="77777777" w:rsidR="00726370" w:rsidRPr="00B35E07" w:rsidRDefault="00726370" w:rsidP="00726370">
      <w:pPr>
        <w:pStyle w:val="ListParagraph"/>
        <w:numPr>
          <w:ilvl w:val="0"/>
          <w:numId w:val="1"/>
        </w:numPr>
        <w:spacing w:line="480" w:lineRule="auto"/>
        <w:jc w:val="both"/>
        <w:rPr>
          <w:rFonts w:ascii="Arial" w:hAnsi="Arial" w:cs="Arial"/>
          <w:sz w:val="24"/>
          <w:szCs w:val="24"/>
        </w:rPr>
      </w:pPr>
      <w:r w:rsidRPr="00B35E07">
        <w:rPr>
          <w:rFonts w:ascii="Arial" w:hAnsi="Arial" w:cs="Arial"/>
          <w:sz w:val="24"/>
          <w:szCs w:val="24"/>
        </w:rPr>
        <w:t>How does LLP have an impact on the probability of bank failure of commercial banks listed on the NSE?</w:t>
      </w:r>
    </w:p>
    <w:p w14:paraId="37DCE48C" w14:textId="77777777" w:rsidR="00726370" w:rsidRPr="00B35E07" w:rsidRDefault="00726370" w:rsidP="00726370">
      <w:pPr>
        <w:pStyle w:val="Heading2"/>
        <w:rPr>
          <w:rFonts w:ascii="Arial" w:hAnsi="Arial" w:cs="Arial"/>
          <w:b/>
          <w:bCs/>
          <w:color w:val="auto"/>
          <w:sz w:val="24"/>
          <w:szCs w:val="24"/>
        </w:rPr>
      </w:pPr>
      <w:bookmarkStart w:id="17" w:name="_Toc23802017"/>
      <w:bookmarkStart w:id="18" w:name="_Toc27579772"/>
      <w:r w:rsidRPr="00B35E07">
        <w:rPr>
          <w:rFonts w:ascii="Arial" w:hAnsi="Arial" w:cs="Arial"/>
          <w:b/>
          <w:bCs/>
          <w:color w:val="auto"/>
          <w:sz w:val="24"/>
          <w:szCs w:val="24"/>
        </w:rPr>
        <w:t>1.5: Significance of the Research</w:t>
      </w:r>
      <w:bookmarkEnd w:id="17"/>
      <w:bookmarkEnd w:id="18"/>
    </w:p>
    <w:p w14:paraId="3038997D"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This research study will be essential and vital because it concerns with the matter Kenyan banks are at the present encountering and will proceed to face in the time ahead. Loan loss provisioning is vital for the banking sector due to the in-progress reforms in the financial sector in risk management and capital (Dolar, 2016). It aids to manage and assess credit risks by taking suitable measures. By interpreting the impact of efficiency on LLP of commercial banks, bank managers will be capable of formulating proper provisioning policies that maintain and stimulate value.</w:t>
      </w:r>
    </w:p>
    <w:p w14:paraId="066526F5"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Regulators and policy makers acknowledge that loan loss provision affects the banking sectors’ stability. Loan loss reserves are an evaluative component of the economic capital of banks (Gathaiya, 2017). Therefore, policies on loan loss </w:t>
      </w:r>
      <w:r w:rsidRPr="00B35E07">
        <w:rPr>
          <w:rFonts w:ascii="Arial" w:hAnsi="Arial" w:cs="Arial"/>
          <w:sz w:val="24"/>
          <w:szCs w:val="24"/>
        </w:rPr>
        <w:lastRenderedPageBreak/>
        <w:t>provision will affect the competency of a bank to encounter regulatory capital requirements. Loan loss provision may also be connected to the perceptions of the investors riskiness of the banking sector. This study hence, will play part in the prevailing body of knowledge in the area of credit risk and loan loss provision in general (</w:t>
      </w:r>
      <w:r w:rsidRPr="00B35E07">
        <w:rPr>
          <w:rFonts w:ascii="Arial" w:hAnsi="Arial" w:cs="Arial"/>
          <w:color w:val="222222"/>
          <w:sz w:val="24"/>
          <w:szCs w:val="24"/>
          <w:shd w:val="clear" w:color="auto" w:fill="FFFFFF"/>
        </w:rPr>
        <w:t>Geoffrey, 2017)</w:t>
      </w:r>
      <w:r w:rsidRPr="00B35E07">
        <w:rPr>
          <w:rFonts w:ascii="Arial" w:hAnsi="Arial" w:cs="Arial"/>
          <w:sz w:val="24"/>
          <w:szCs w:val="24"/>
        </w:rPr>
        <w:t>. Through the findings of this research, regulators can be able to regard the impact of efficiency on loan loss provisioning of commercial banks.</w:t>
      </w:r>
    </w:p>
    <w:p w14:paraId="7194309C"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This research will be conducive to the prevailing literature on risk management and particularly to research that analyses credit risk management. The study could be utilized as a beginning for those who are interested to carry out further studies in relation to credit risk in other financial markets or financial institutions in general. </w:t>
      </w:r>
    </w:p>
    <w:p w14:paraId="5D19C5EF"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Decrease or increase in loan loss provision may trigger different signs to the market. Such indications need be clarified correctly by investors in banking stocks. The findings of this study will enable investors to explain the meaning of loan loss provision by banks in a more suitable manner. </w:t>
      </w:r>
    </w:p>
    <w:p w14:paraId="40CB4601" w14:textId="77777777" w:rsidR="00726370" w:rsidRPr="00B35E07" w:rsidRDefault="00726370" w:rsidP="00726370">
      <w:pPr>
        <w:pStyle w:val="Heading2"/>
        <w:rPr>
          <w:rFonts w:ascii="Arial" w:hAnsi="Arial" w:cs="Arial"/>
          <w:b/>
          <w:bCs/>
          <w:color w:val="auto"/>
          <w:sz w:val="24"/>
          <w:szCs w:val="24"/>
        </w:rPr>
      </w:pPr>
      <w:bookmarkStart w:id="19" w:name="_Toc23802018"/>
      <w:bookmarkStart w:id="20" w:name="_Toc27579773"/>
      <w:r w:rsidRPr="00B35E07">
        <w:rPr>
          <w:rFonts w:ascii="Arial" w:hAnsi="Arial" w:cs="Arial"/>
          <w:b/>
          <w:bCs/>
          <w:color w:val="auto"/>
          <w:sz w:val="24"/>
          <w:szCs w:val="24"/>
        </w:rPr>
        <w:t>1.6: Research design</w:t>
      </w:r>
      <w:bookmarkEnd w:id="19"/>
      <w:bookmarkEnd w:id="20"/>
    </w:p>
    <w:p w14:paraId="51496895"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The research design that will be employed is the quantitative method and a descriptive and inferential study prospect will be developed to enable a complete description of the situation validating that there is minimal bias in the data collection and to reduce error in interpreting the data collected. Almalki, (2016) </w:t>
      </w:r>
      <w:r w:rsidRPr="00B35E07">
        <w:rPr>
          <w:rFonts w:ascii="Arial" w:eastAsia="Calibri" w:hAnsi="Arial" w:cs="Arial"/>
          <w:sz w:val="24"/>
          <w:szCs w:val="24"/>
        </w:rPr>
        <w:t xml:space="preserve">indicate that </w:t>
      </w:r>
      <w:r w:rsidRPr="00B35E07">
        <w:rPr>
          <w:rFonts w:ascii="Arial" w:hAnsi="Arial" w:cs="Arial"/>
          <w:iCs/>
          <w:sz w:val="24"/>
          <w:szCs w:val="24"/>
        </w:rPr>
        <w:t>descriptive research</w:t>
      </w:r>
      <w:r w:rsidRPr="00B35E07">
        <w:rPr>
          <w:rFonts w:ascii="Arial" w:hAnsi="Arial" w:cs="Arial"/>
          <w:i/>
          <w:iCs/>
          <w:sz w:val="24"/>
          <w:szCs w:val="24"/>
        </w:rPr>
        <w:t xml:space="preserve"> </w:t>
      </w:r>
      <w:r w:rsidRPr="00B35E07">
        <w:rPr>
          <w:rFonts w:ascii="Arial" w:hAnsi="Arial" w:cs="Arial"/>
          <w:sz w:val="24"/>
          <w:szCs w:val="24"/>
        </w:rPr>
        <w:t>comprises fact-finding and surveys search of different types. Description of the circumstances and situation is the main motive of descriptive research as is remains at present.</w:t>
      </w:r>
    </w:p>
    <w:p w14:paraId="083DFC44"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lastRenderedPageBreak/>
        <w:t>The study made use of secondary data. It used stock valuation published by the Nairobi securities exchange and financial statements for commercial banks filled with the Nairobi Securities Exchange and published on the respective bank website.</w:t>
      </w:r>
    </w:p>
    <w:p w14:paraId="4D0371E7"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The population of interest in this study consisted of the commercial banks listed at the Nairobi securities exchange between 2013 and 2017. There were 11 commercial banks listed at the NSE at the time (Nse.co.ke, 2019) (appendix 1). The reason why listed banks were selected is the availability of market valuation from reliable published source. Because the number of banks in the population was limited and accessible a census study was carried out. Data will be analysed using EViews9 then the information will be exhibited and demonstrated into tables, charts, and graphs to make it more significant and relevant.</w:t>
      </w:r>
    </w:p>
    <w:p w14:paraId="6E33639E" w14:textId="77777777" w:rsidR="000170DB" w:rsidRPr="00B35E07" w:rsidRDefault="000170DB" w:rsidP="00726370">
      <w:pPr>
        <w:pStyle w:val="Heading1"/>
        <w:jc w:val="center"/>
        <w:rPr>
          <w:rFonts w:ascii="Arial" w:hAnsi="Arial" w:cs="Arial"/>
          <w:color w:val="auto"/>
          <w:sz w:val="24"/>
          <w:szCs w:val="24"/>
        </w:rPr>
      </w:pPr>
      <w:bookmarkStart w:id="21" w:name="_Toc23802019"/>
      <w:bookmarkStart w:id="22" w:name="_Toc27579774"/>
    </w:p>
    <w:p w14:paraId="3927C136" w14:textId="77777777" w:rsidR="000170DB" w:rsidRPr="00B35E07" w:rsidRDefault="000170DB" w:rsidP="00726370">
      <w:pPr>
        <w:pStyle w:val="Heading1"/>
        <w:jc w:val="center"/>
        <w:rPr>
          <w:rFonts w:ascii="Arial" w:hAnsi="Arial" w:cs="Arial"/>
          <w:color w:val="auto"/>
          <w:sz w:val="24"/>
          <w:szCs w:val="24"/>
        </w:rPr>
      </w:pPr>
    </w:p>
    <w:p w14:paraId="46DD088C" w14:textId="77777777" w:rsidR="000170DB" w:rsidRPr="00B35E07" w:rsidRDefault="000170DB" w:rsidP="00726370">
      <w:pPr>
        <w:pStyle w:val="Heading1"/>
        <w:jc w:val="center"/>
        <w:rPr>
          <w:rFonts w:ascii="Arial" w:hAnsi="Arial" w:cs="Arial"/>
          <w:color w:val="auto"/>
          <w:sz w:val="24"/>
          <w:szCs w:val="24"/>
        </w:rPr>
      </w:pPr>
    </w:p>
    <w:p w14:paraId="445A67D9" w14:textId="77777777" w:rsidR="000170DB" w:rsidRPr="00B35E07" w:rsidRDefault="000170DB" w:rsidP="00726370">
      <w:pPr>
        <w:pStyle w:val="Heading1"/>
        <w:jc w:val="center"/>
        <w:rPr>
          <w:rFonts w:ascii="Arial" w:hAnsi="Arial" w:cs="Arial"/>
          <w:color w:val="auto"/>
          <w:sz w:val="24"/>
          <w:szCs w:val="24"/>
        </w:rPr>
      </w:pPr>
    </w:p>
    <w:p w14:paraId="79DAAECC" w14:textId="77777777" w:rsidR="000170DB" w:rsidRPr="00B35E07" w:rsidRDefault="000170DB" w:rsidP="00726370">
      <w:pPr>
        <w:pStyle w:val="Heading1"/>
        <w:jc w:val="center"/>
        <w:rPr>
          <w:rFonts w:ascii="Arial" w:hAnsi="Arial" w:cs="Arial"/>
          <w:color w:val="auto"/>
          <w:sz w:val="24"/>
          <w:szCs w:val="24"/>
        </w:rPr>
      </w:pPr>
    </w:p>
    <w:p w14:paraId="63205277" w14:textId="77777777" w:rsidR="000170DB" w:rsidRPr="00B35E07" w:rsidRDefault="000170DB" w:rsidP="00726370">
      <w:pPr>
        <w:pStyle w:val="Heading1"/>
        <w:jc w:val="center"/>
        <w:rPr>
          <w:rFonts w:ascii="Arial" w:hAnsi="Arial" w:cs="Arial"/>
          <w:color w:val="auto"/>
          <w:sz w:val="24"/>
          <w:szCs w:val="24"/>
        </w:rPr>
      </w:pPr>
    </w:p>
    <w:p w14:paraId="1F1B63F9" w14:textId="78D71C6C" w:rsidR="000170DB" w:rsidRPr="00B35E07" w:rsidRDefault="000170DB" w:rsidP="000170DB">
      <w:pPr>
        <w:pStyle w:val="Heading1"/>
        <w:rPr>
          <w:rFonts w:ascii="Arial" w:hAnsi="Arial" w:cs="Arial"/>
          <w:color w:val="auto"/>
          <w:sz w:val="24"/>
          <w:szCs w:val="24"/>
        </w:rPr>
      </w:pPr>
    </w:p>
    <w:p w14:paraId="6F6A5AAF" w14:textId="5E25EABA" w:rsidR="000170DB" w:rsidRPr="00B35E07" w:rsidRDefault="000170DB" w:rsidP="000170DB">
      <w:pPr>
        <w:rPr>
          <w:rFonts w:ascii="Arial" w:hAnsi="Arial" w:cs="Arial"/>
          <w:lang w:val="en-US"/>
        </w:rPr>
      </w:pPr>
    </w:p>
    <w:p w14:paraId="6FAAC4D9" w14:textId="77777777" w:rsidR="000170DB" w:rsidRPr="00B35E07" w:rsidRDefault="000170DB" w:rsidP="000170DB">
      <w:pPr>
        <w:rPr>
          <w:rFonts w:ascii="Arial" w:hAnsi="Arial" w:cs="Arial"/>
          <w:lang w:val="en-US"/>
        </w:rPr>
      </w:pPr>
    </w:p>
    <w:p w14:paraId="18358369" w14:textId="6840F59D" w:rsidR="00726370" w:rsidRPr="00B35E07" w:rsidRDefault="00726370" w:rsidP="00726370">
      <w:pPr>
        <w:pStyle w:val="Heading1"/>
        <w:jc w:val="center"/>
        <w:rPr>
          <w:rFonts w:ascii="Arial" w:hAnsi="Arial" w:cs="Arial"/>
          <w:color w:val="auto"/>
          <w:sz w:val="24"/>
          <w:szCs w:val="24"/>
        </w:rPr>
      </w:pPr>
      <w:r w:rsidRPr="00B35E07">
        <w:rPr>
          <w:rFonts w:ascii="Arial" w:hAnsi="Arial" w:cs="Arial"/>
          <w:color w:val="auto"/>
          <w:sz w:val="24"/>
          <w:szCs w:val="24"/>
        </w:rPr>
        <w:lastRenderedPageBreak/>
        <w:t>CHAPTER 2: LITERATURE REVIEW</w:t>
      </w:r>
      <w:bookmarkEnd w:id="21"/>
      <w:bookmarkEnd w:id="22"/>
    </w:p>
    <w:p w14:paraId="57FF1A7A" w14:textId="77777777" w:rsidR="00726370" w:rsidRPr="00B35E07" w:rsidRDefault="00726370" w:rsidP="00726370">
      <w:pPr>
        <w:pStyle w:val="Heading2"/>
        <w:rPr>
          <w:rFonts w:ascii="Arial" w:hAnsi="Arial" w:cs="Arial"/>
          <w:b/>
          <w:bCs/>
          <w:color w:val="auto"/>
          <w:sz w:val="24"/>
          <w:szCs w:val="24"/>
        </w:rPr>
      </w:pPr>
      <w:bookmarkStart w:id="23" w:name="_Toc23802020"/>
      <w:bookmarkStart w:id="24" w:name="_Toc27579775"/>
      <w:r w:rsidRPr="00B35E07">
        <w:rPr>
          <w:rFonts w:ascii="Arial" w:hAnsi="Arial" w:cs="Arial"/>
          <w:b/>
          <w:bCs/>
          <w:color w:val="auto"/>
          <w:sz w:val="24"/>
          <w:szCs w:val="24"/>
        </w:rPr>
        <w:t>2.1: Introduction</w:t>
      </w:r>
      <w:bookmarkEnd w:id="23"/>
      <w:bookmarkEnd w:id="24"/>
    </w:p>
    <w:p w14:paraId="70A79129"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The chapter below explains different theories; income smoothing hypothesis, signalling hypothesis and capital management theory suggested to elaborate loan loss provision together with the related empirical evidence. The chapter will be arranged as follows; explanation of the relevant theories, relationship between LLP and bank failure, bank specific and macro-economic determinants, followed by the empirical review, summary of literature and finally a conceptual framework concluded.</w:t>
      </w:r>
      <w:bookmarkStart w:id="25" w:name="_Toc481104953"/>
      <w:bookmarkStart w:id="26" w:name="_Toc488674079"/>
    </w:p>
    <w:p w14:paraId="6778BFBD" w14:textId="77777777" w:rsidR="00726370" w:rsidRPr="00B35E07" w:rsidRDefault="00726370" w:rsidP="00726370">
      <w:pPr>
        <w:pStyle w:val="Heading2"/>
        <w:rPr>
          <w:rFonts w:ascii="Arial" w:hAnsi="Arial" w:cs="Arial"/>
          <w:b/>
          <w:bCs/>
          <w:color w:val="auto"/>
          <w:sz w:val="24"/>
          <w:szCs w:val="24"/>
        </w:rPr>
      </w:pPr>
      <w:bookmarkStart w:id="27" w:name="_Toc23802021"/>
      <w:bookmarkStart w:id="28" w:name="_Toc27579776"/>
      <w:r w:rsidRPr="00B35E07">
        <w:rPr>
          <w:rFonts w:ascii="Arial" w:hAnsi="Arial" w:cs="Arial"/>
          <w:b/>
          <w:bCs/>
          <w:color w:val="auto"/>
          <w:sz w:val="24"/>
          <w:szCs w:val="24"/>
        </w:rPr>
        <w:t>2.2: Theoretical Review</w:t>
      </w:r>
      <w:bookmarkEnd w:id="25"/>
      <w:bookmarkEnd w:id="26"/>
      <w:bookmarkEnd w:id="27"/>
      <w:bookmarkEnd w:id="28"/>
      <w:r w:rsidRPr="00B35E07">
        <w:rPr>
          <w:rFonts w:ascii="Arial" w:hAnsi="Arial" w:cs="Arial"/>
          <w:b/>
          <w:bCs/>
          <w:color w:val="auto"/>
          <w:sz w:val="24"/>
          <w:szCs w:val="24"/>
        </w:rPr>
        <w:tab/>
      </w:r>
    </w:p>
    <w:p w14:paraId="1E609A97"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Numerous theories have been proposed to describe loan loss provisioning behaviour by commercial banks. The theories are as follows; income smoothing hypothesis, signalling hypothesis and capital management theory.</w:t>
      </w:r>
    </w:p>
    <w:p w14:paraId="7B176007" w14:textId="77777777" w:rsidR="00726370" w:rsidRPr="00B35E07" w:rsidRDefault="00726370" w:rsidP="00726370">
      <w:pPr>
        <w:pStyle w:val="Heading3"/>
        <w:rPr>
          <w:rFonts w:ascii="Arial" w:hAnsi="Arial" w:cs="Arial"/>
          <w:b/>
          <w:bCs/>
          <w:color w:val="auto"/>
        </w:rPr>
      </w:pPr>
      <w:bookmarkStart w:id="29" w:name="_Toc23802022"/>
      <w:bookmarkStart w:id="30" w:name="_Toc27579777"/>
      <w:r w:rsidRPr="00B35E07">
        <w:rPr>
          <w:rFonts w:ascii="Arial" w:hAnsi="Arial" w:cs="Arial"/>
          <w:b/>
          <w:bCs/>
          <w:color w:val="auto"/>
        </w:rPr>
        <w:t>2.2.1: Income Smoothing Hypothesis</w:t>
      </w:r>
      <w:bookmarkEnd w:id="29"/>
      <w:bookmarkEnd w:id="30"/>
    </w:p>
    <w:p w14:paraId="4ACBF031" w14:textId="77777777" w:rsidR="00726370" w:rsidRPr="00B35E07" w:rsidRDefault="00726370" w:rsidP="00726370">
      <w:pPr>
        <w:spacing w:line="480" w:lineRule="auto"/>
        <w:ind w:firstLine="720"/>
        <w:jc w:val="both"/>
        <w:rPr>
          <w:rFonts w:ascii="Arial" w:hAnsi="Arial" w:cs="Arial"/>
          <w:b/>
          <w:bCs/>
          <w:sz w:val="24"/>
          <w:szCs w:val="24"/>
        </w:rPr>
      </w:pPr>
      <w:r w:rsidRPr="00B35E07">
        <w:rPr>
          <w:rFonts w:ascii="Arial" w:hAnsi="Arial" w:cs="Arial"/>
          <w:sz w:val="24"/>
          <w:szCs w:val="24"/>
        </w:rPr>
        <w:t xml:space="preserve">Income smoothing is defined by Adzis </w:t>
      </w:r>
      <w:r w:rsidRPr="00B35E07">
        <w:rPr>
          <w:rFonts w:ascii="Arial" w:hAnsi="Arial" w:cs="Arial"/>
          <w:i/>
          <w:iCs/>
          <w:sz w:val="24"/>
          <w:szCs w:val="24"/>
        </w:rPr>
        <w:t>et al</w:t>
      </w:r>
      <w:r w:rsidRPr="00B35E07">
        <w:rPr>
          <w:rFonts w:ascii="Arial" w:hAnsi="Arial" w:cs="Arial"/>
          <w:sz w:val="24"/>
          <w:szCs w:val="24"/>
        </w:rPr>
        <w:t>., (2015) as deliberate reduction of earnings alterations according to some normal level and earnings management can be used as its synonym. Fernando and Ekanayake, (2015) explains earnings management as a method of controlling the earnings report or time depiction of earnings to ensure the detailed and disclosed income flow at a smaller variable. Earnings management being instinctive relies on the discretionary findings of the management hence, earnings management happens when line managers utilize decisioms in structuring transactions and in financial reporting to modify financial reports to either impact contractual outcomes that rely on reported accounting numbers or to misguide some stakeholders about the fundamental performance of the company.</w:t>
      </w:r>
    </w:p>
    <w:p w14:paraId="0CCA6730"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lastRenderedPageBreak/>
        <w:t xml:space="preserve">There are 3 key assumptions that relies on the hypothesis; managers obtains a non-monetary private advantage from operating the firm, that is the manager receives incumbency rents; weak performance results into intervention by the organisation, such as the manager may be expelled leading to a reduction of the manager’s private benefit and current income monitoring are weighted more than prior considerations in the manager’s evaluation of current performance. Due to these assumptions, the hypothesis implies that managers smooth income in two connected ways. During bad times, managers uplift reported performance to minimise the chances of dismissal or interference; they do so by moving expected earnings to the recent time by providing positive discretionary accruals (Shawtari </w:t>
      </w:r>
      <w:r w:rsidRPr="00B35E07">
        <w:rPr>
          <w:rFonts w:ascii="Arial" w:hAnsi="Arial" w:cs="Arial"/>
          <w:i/>
          <w:iCs/>
          <w:sz w:val="24"/>
          <w:szCs w:val="24"/>
        </w:rPr>
        <w:t>et al</w:t>
      </w:r>
      <w:r w:rsidRPr="00B35E07">
        <w:rPr>
          <w:rFonts w:ascii="Arial" w:hAnsi="Arial" w:cs="Arial"/>
          <w:sz w:val="24"/>
          <w:szCs w:val="24"/>
        </w:rPr>
        <w:t>., 2015). In contrast, managers are not excessively associated with interference or explusion during good performance periods. Since information break down results in good recent performance to be weighted less in future times when they might perform poorly, managers conserve present income for time to come by providing negative accruals.</w:t>
      </w:r>
    </w:p>
    <w:p w14:paraId="4BE558AE"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Shahieda and Hishamuddin, (2014) expounds that managers participate in income smoothing as a result of four forms of incentives namely; management compensation contract incentives, external contract incentives, capital market motivations and regulatory motivations. They added that businesses which announce reduction in losses or earnings would be inflicted by transaction costs that are high. In order to minimise transaction disbursements, organisations have a tendency to announce higher earnings. Hence, motive to minimise the expenditure of external borrowing would result them into earnings management (Ben Othman and Mersni, 2014). Additional drawing on prospect theory, they </w:t>
      </w:r>
      <w:r w:rsidRPr="00B35E07">
        <w:rPr>
          <w:rFonts w:ascii="Arial" w:hAnsi="Arial" w:cs="Arial"/>
          <w:sz w:val="24"/>
          <w:szCs w:val="24"/>
        </w:rPr>
        <w:lastRenderedPageBreak/>
        <w:t xml:space="preserve">suggest that decision makers are way further interested on the losses than profits (loss aversion) (Shawtari </w:t>
      </w:r>
      <w:r w:rsidRPr="00B35E07">
        <w:rPr>
          <w:rFonts w:ascii="Arial" w:hAnsi="Arial" w:cs="Arial"/>
          <w:i/>
          <w:iCs/>
          <w:sz w:val="24"/>
          <w:szCs w:val="24"/>
        </w:rPr>
        <w:t>et al</w:t>
      </w:r>
      <w:r w:rsidRPr="00B35E07">
        <w:rPr>
          <w:rFonts w:ascii="Arial" w:hAnsi="Arial" w:cs="Arial"/>
          <w:sz w:val="24"/>
          <w:szCs w:val="24"/>
        </w:rPr>
        <w:t>., 2015). Hence, if companies encounter earnings or losses decline there will be a negative impact on credit ratings and shareholders will obtain an adverse indication from the companies (Ozili, 2015).</w:t>
      </w:r>
    </w:p>
    <w:p w14:paraId="3887E68D"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Dolar, (2016) notes that managers are capable of retaining LLP lower than the needed extent by regenerating defaulted loans as a means of earnings management. He also highlighted that majority of the banks utilize items of exceptional and LLP as the major mechanisms of earnings management. Ahmed </w:t>
      </w:r>
      <w:r w:rsidRPr="00B35E07">
        <w:rPr>
          <w:rFonts w:ascii="Arial" w:hAnsi="Arial" w:cs="Arial"/>
          <w:i/>
          <w:iCs/>
          <w:sz w:val="24"/>
          <w:szCs w:val="24"/>
        </w:rPr>
        <w:t>et al</w:t>
      </w:r>
      <w:r w:rsidRPr="00B35E07">
        <w:rPr>
          <w:rFonts w:ascii="Arial" w:hAnsi="Arial" w:cs="Arial"/>
          <w:sz w:val="24"/>
          <w:szCs w:val="24"/>
        </w:rPr>
        <w:t>., (2014)   noticed that changes in working capital and cashflows from operations are utilized to control income which was not previously declared. This result is kind of appealing because earlier literature elaborates that majority of the techniques of earnings management are associated with accruals. Loan loss provisions is therefore an impose obtained opposed to the present earnings which indicates the likely loan losses in the next period (Ozili and Outa, 2017). Hence, loan loss provision is anticipated to reflect expected losses by managers of the bank. Added, the LLPs’ levels should be able to show the bank management views on the loan portfolio’s standard that they possess and the provisions can likewise be utilized as a credit risk measure (Ozili, 2015).</w:t>
      </w:r>
    </w:p>
    <w:p w14:paraId="50A472CF"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 xml:space="preserve">Adzis </w:t>
      </w:r>
      <w:r w:rsidRPr="00B35E07">
        <w:rPr>
          <w:rFonts w:ascii="Arial" w:hAnsi="Arial" w:cs="Arial"/>
          <w:i/>
          <w:iCs/>
          <w:sz w:val="24"/>
          <w:szCs w:val="24"/>
        </w:rPr>
        <w:t>et al</w:t>
      </w:r>
      <w:r w:rsidRPr="00B35E07">
        <w:rPr>
          <w:rFonts w:ascii="Arial" w:hAnsi="Arial" w:cs="Arial"/>
          <w:sz w:val="24"/>
          <w:szCs w:val="24"/>
        </w:rPr>
        <w:t xml:space="preserve">., (2015) explains that for banks with anticipated substandard future operations and proficient current operations, managers will cut back income for the future by minimising present income by means of loan loss provisioning. While banks with anticipated good future operations and weak current performance will acquire income from the future by raising present income via loan loss provisioning. Their empirical analysis supported that managers of </w:t>
      </w:r>
      <w:r w:rsidRPr="00B35E07">
        <w:rPr>
          <w:rFonts w:ascii="Arial" w:hAnsi="Arial" w:cs="Arial"/>
          <w:sz w:val="24"/>
          <w:szCs w:val="24"/>
        </w:rPr>
        <w:lastRenderedPageBreak/>
        <w:t>the bank do conserve earnings through loan loss provision in better times and acquire earnings making use of loan loss provision in bad times.</w:t>
      </w:r>
    </w:p>
    <w:p w14:paraId="4FD542E5" w14:textId="77777777" w:rsidR="00726370" w:rsidRPr="00B35E07" w:rsidRDefault="00726370" w:rsidP="00726370">
      <w:pPr>
        <w:spacing w:line="480" w:lineRule="auto"/>
        <w:jc w:val="both"/>
        <w:rPr>
          <w:rFonts w:ascii="Arial" w:hAnsi="Arial" w:cs="Arial"/>
          <w:color w:val="222222"/>
          <w:sz w:val="24"/>
          <w:szCs w:val="24"/>
          <w:shd w:val="clear" w:color="auto" w:fill="FFFFFF"/>
        </w:rPr>
      </w:pPr>
      <w:r w:rsidRPr="00B35E07">
        <w:rPr>
          <w:rFonts w:ascii="Arial" w:hAnsi="Arial" w:cs="Arial"/>
          <w:sz w:val="24"/>
          <w:szCs w:val="24"/>
        </w:rPr>
        <w:t xml:space="preserve">Ensuing this hypothesis, if managers of the bank utilize loan loss provision to smooth earnings it would be expected that the efficiency of commercial banks will respond accordingly. This is because higher loan loss provision will imply minimising earnings potential in the future periods. </w:t>
      </w:r>
    </w:p>
    <w:p w14:paraId="437420E9" w14:textId="77777777" w:rsidR="00726370" w:rsidRPr="00B35E07" w:rsidRDefault="00726370" w:rsidP="00726370">
      <w:pPr>
        <w:pStyle w:val="Heading3"/>
        <w:rPr>
          <w:rFonts w:ascii="Arial" w:hAnsi="Arial" w:cs="Arial"/>
          <w:b/>
          <w:bCs/>
          <w:color w:val="auto"/>
        </w:rPr>
      </w:pPr>
      <w:bookmarkStart w:id="31" w:name="_Toc23802023"/>
      <w:bookmarkStart w:id="32" w:name="_Toc27579778"/>
      <w:r w:rsidRPr="00B35E07">
        <w:rPr>
          <w:rFonts w:ascii="Arial" w:hAnsi="Arial" w:cs="Arial"/>
          <w:b/>
          <w:bCs/>
          <w:color w:val="auto"/>
        </w:rPr>
        <w:t>2.2.2: Signalling Hypothesis</w:t>
      </w:r>
      <w:bookmarkEnd w:id="31"/>
      <w:bookmarkEnd w:id="32"/>
      <w:r w:rsidRPr="00B35E07">
        <w:rPr>
          <w:rFonts w:ascii="Arial" w:hAnsi="Arial" w:cs="Arial"/>
          <w:b/>
          <w:bCs/>
          <w:color w:val="auto"/>
        </w:rPr>
        <w:t xml:space="preserve">  </w:t>
      </w:r>
    </w:p>
    <w:p w14:paraId="591F5CB1"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Signalling happens when managers of the banks aim to signal the financial capability and strength of the banks.</w:t>
      </w:r>
      <w:bookmarkStart w:id="33" w:name="_Hlk20232347"/>
      <w:r w:rsidRPr="00B35E07">
        <w:rPr>
          <w:rFonts w:ascii="Arial" w:hAnsi="Arial" w:cs="Arial"/>
          <w:sz w:val="24"/>
          <w:szCs w:val="24"/>
        </w:rPr>
        <w:t xml:space="preserve"> Adzis </w:t>
      </w:r>
      <w:r w:rsidRPr="00B35E07">
        <w:rPr>
          <w:rFonts w:ascii="Arial" w:hAnsi="Arial" w:cs="Arial"/>
          <w:i/>
          <w:iCs/>
          <w:sz w:val="24"/>
          <w:szCs w:val="24"/>
        </w:rPr>
        <w:t>et al</w:t>
      </w:r>
      <w:r w:rsidRPr="00B35E07">
        <w:rPr>
          <w:rFonts w:ascii="Arial" w:hAnsi="Arial" w:cs="Arial"/>
          <w:sz w:val="24"/>
          <w:szCs w:val="24"/>
        </w:rPr>
        <w:t xml:space="preserve">., (2015) proposed that banks aim to utilize loan loss provisions to convey management assessment of the earnings power of the bank. Managers raise loan loss provision to signal that the banks’ earnings are adequately high to endure an impact to earnings in the formation of addition loan loss provisions </w:t>
      </w:r>
      <w:r w:rsidRPr="00B35E07">
        <w:rPr>
          <w:rFonts w:ascii="Arial" w:hAnsi="Arial" w:cs="Arial"/>
          <w:color w:val="222222"/>
          <w:sz w:val="24"/>
          <w:szCs w:val="24"/>
          <w:shd w:val="clear" w:color="auto" w:fill="FFFFFF"/>
        </w:rPr>
        <w:t>(Su, 2016)</w:t>
      </w:r>
      <w:r w:rsidRPr="00B35E07">
        <w:rPr>
          <w:rFonts w:ascii="Arial" w:hAnsi="Arial" w:cs="Arial"/>
          <w:sz w:val="24"/>
          <w:szCs w:val="24"/>
        </w:rPr>
        <w:t xml:space="preserve">. The motivation for signalling increases if managers recognize that the markets price of banks is below its true value. The under-valuation problem results in incentive for managers to communicate his/her superior information about the company’s future prospects. Such connection would grant managers to differentiate between “weak” banks and “strong” banks. The theory implies that loan loss provisioning is used to signal that the bank is powerful enough to take in future likely loan losses with current earnings </w:t>
      </w:r>
      <w:r w:rsidRPr="00B35E07">
        <w:rPr>
          <w:rFonts w:ascii="Arial" w:hAnsi="Arial" w:cs="Arial"/>
          <w:color w:val="222222"/>
          <w:sz w:val="24"/>
          <w:szCs w:val="24"/>
          <w:shd w:val="clear" w:color="auto" w:fill="FFFFFF"/>
        </w:rPr>
        <w:t>(Viswanadham and Nahid, 2015)</w:t>
      </w:r>
      <w:r w:rsidRPr="00B35E07">
        <w:rPr>
          <w:rFonts w:ascii="Arial" w:hAnsi="Arial" w:cs="Arial"/>
          <w:sz w:val="24"/>
          <w:szCs w:val="24"/>
        </w:rPr>
        <w:t>.</w:t>
      </w:r>
    </w:p>
    <w:bookmarkEnd w:id="33"/>
    <w:p w14:paraId="2333C82C" w14:textId="77777777" w:rsidR="00726370" w:rsidRPr="00B35E07" w:rsidRDefault="00726370" w:rsidP="00726370">
      <w:pPr>
        <w:spacing w:line="480" w:lineRule="auto"/>
        <w:jc w:val="both"/>
        <w:rPr>
          <w:rFonts w:ascii="Arial" w:hAnsi="Arial" w:cs="Arial"/>
          <w:color w:val="222222"/>
          <w:sz w:val="24"/>
          <w:szCs w:val="24"/>
          <w:shd w:val="clear" w:color="auto" w:fill="FFFFFF"/>
        </w:rPr>
      </w:pPr>
      <w:r w:rsidRPr="00B35E07">
        <w:rPr>
          <w:rFonts w:ascii="Arial" w:hAnsi="Arial" w:cs="Arial"/>
          <w:sz w:val="24"/>
          <w:szCs w:val="24"/>
        </w:rPr>
        <w:t xml:space="preserve">Bank managers have other techniques for communicating higher level information such as change in stock repurchases, dividend policy and increased investment. Nevertheless, these substitute techniques require a continuing or a one-time cash outflow hence costly to make use from a statutory capital requirement and cash flow perspective (Shawtari </w:t>
      </w:r>
      <w:r w:rsidRPr="00B35E07">
        <w:rPr>
          <w:rFonts w:ascii="Arial" w:hAnsi="Arial" w:cs="Arial"/>
          <w:i/>
          <w:iCs/>
          <w:sz w:val="24"/>
          <w:szCs w:val="24"/>
        </w:rPr>
        <w:t>et al</w:t>
      </w:r>
      <w:r w:rsidRPr="00B35E07">
        <w:rPr>
          <w:rFonts w:ascii="Arial" w:hAnsi="Arial" w:cs="Arial"/>
          <w:sz w:val="24"/>
          <w:szCs w:val="24"/>
        </w:rPr>
        <w:t xml:space="preserve">., 2015). Bank managers </w:t>
      </w:r>
      <w:r w:rsidRPr="00B35E07">
        <w:rPr>
          <w:rFonts w:ascii="Arial" w:hAnsi="Arial" w:cs="Arial"/>
          <w:sz w:val="24"/>
          <w:szCs w:val="24"/>
        </w:rPr>
        <w:lastRenderedPageBreak/>
        <w:t xml:space="preserve">may choose to utilize loan loss provision for signalling as it does not affect current cashflow and may only increase marginally the regulatory capital ratios </w:t>
      </w:r>
      <w:r w:rsidRPr="00B35E07">
        <w:rPr>
          <w:rFonts w:ascii="Arial" w:hAnsi="Arial" w:cs="Arial"/>
          <w:color w:val="222222"/>
          <w:sz w:val="24"/>
          <w:szCs w:val="24"/>
          <w:shd w:val="clear" w:color="auto" w:fill="FFFFFF"/>
        </w:rPr>
        <w:t>(Wang, 2019)</w:t>
      </w:r>
      <w:r w:rsidRPr="00B35E07">
        <w:rPr>
          <w:rFonts w:ascii="Arial" w:hAnsi="Arial" w:cs="Arial"/>
          <w:sz w:val="24"/>
          <w:szCs w:val="24"/>
        </w:rPr>
        <w:t>. The theory proposes that since the cost of signalling using loan loss provision is an increasing function of the signal itself, it is costly for weaker banks to imitate (Shijaku, 2017).</w:t>
      </w:r>
    </w:p>
    <w:p w14:paraId="1492F99B"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Curcio and Hasan (2015) imlies that managers of the bank improve and intensifies discretionary components of loan loss provisioning when future cashflow anticipates progress. The discretionary provisions were found to be significantly positive related to future pre-loan loss earnings- a factor for future cashflow up to 3 more years forward. Abu-Serdaneh (2018) implies that the market responds positively in the direction of a rise in loan loss provisions. They also realised that escalating loan loss provisions suggests extreme cash flow forecasts as these inidcates bank managers’ settle to convey their non-performing loan complications.</w:t>
      </w:r>
    </w:p>
    <w:p w14:paraId="657E7CEF" w14:textId="77777777" w:rsidR="00726370" w:rsidRPr="00B35E07" w:rsidRDefault="00726370" w:rsidP="00726370">
      <w:pPr>
        <w:tabs>
          <w:tab w:val="left" w:pos="1041"/>
        </w:tabs>
        <w:spacing w:line="480" w:lineRule="auto"/>
        <w:jc w:val="both"/>
        <w:rPr>
          <w:rFonts w:ascii="Arial" w:hAnsi="Arial" w:cs="Arial"/>
          <w:sz w:val="24"/>
          <w:szCs w:val="24"/>
        </w:rPr>
      </w:pPr>
      <w:r w:rsidRPr="00B35E07">
        <w:rPr>
          <w:rFonts w:ascii="Arial" w:hAnsi="Arial" w:cs="Arial"/>
          <w:sz w:val="24"/>
          <w:szCs w:val="24"/>
        </w:rPr>
        <w:t>Therefore, according to the signalling hypothesis, managers who utilize loan loss provision will provide an indication for the future prospects of the bank and the efficiency of the banks will adjust accordingly (ARUMBA, 2014). An increase in loan loss provision may indicate expected weak loan performance and may lead to lower valuation of the banks stock. On the other side, decrease in LLP may indicate superior prospects in loan performance which may likely increase the value of a bank (Gathaiya, 2017).</w:t>
      </w:r>
    </w:p>
    <w:p w14:paraId="569B0354" w14:textId="13DB924C" w:rsidR="00B82F07" w:rsidRDefault="00B82F07" w:rsidP="00726370">
      <w:pPr>
        <w:pStyle w:val="Heading3"/>
        <w:rPr>
          <w:rFonts w:ascii="Arial" w:hAnsi="Arial" w:cs="Arial"/>
          <w:b/>
          <w:bCs/>
          <w:color w:val="auto"/>
        </w:rPr>
      </w:pPr>
      <w:bookmarkStart w:id="34" w:name="_Toc23802024"/>
      <w:bookmarkStart w:id="35" w:name="_Toc27579779"/>
    </w:p>
    <w:p w14:paraId="69882CD9" w14:textId="77777777" w:rsidR="00B82F07" w:rsidRPr="00B82F07" w:rsidRDefault="00B82F07" w:rsidP="00B82F07"/>
    <w:p w14:paraId="408BBD8F" w14:textId="3D829BAD" w:rsidR="00726370" w:rsidRPr="00B35E07" w:rsidRDefault="00726370" w:rsidP="00726370">
      <w:pPr>
        <w:pStyle w:val="Heading3"/>
        <w:rPr>
          <w:rFonts w:ascii="Arial" w:hAnsi="Arial" w:cs="Arial"/>
          <w:b/>
          <w:bCs/>
          <w:color w:val="auto"/>
        </w:rPr>
      </w:pPr>
      <w:r w:rsidRPr="00B35E07">
        <w:rPr>
          <w:rFonts w:ascii="Arial" w:hAnsi="Arial" w:cs="Arial"/>
          <w:b/>
          <w:bCs/>
          <w:color w:val="auto"/>
        </w:rPr>
        <w:lastRenderedPageBreak/>
        <w:t>2.2.3: Capital Management Theory</w:t>
      </w:r>
      <w:bookmarkEnd w:id="34"/>
      <w:bookmarkEnd w:id="35"/>
    </w:p>
    <w:p w14:paraId="4BF3DD88" w14:textId="77777777" w:rsidR="00726370" w:rsidRPr="00B35E07" w:rsidRDefault="00726370" w:rsidP="00726370">
      <w:pPr>
        <w:autoSpaceDE w:val="0"/>
        <w:autoSpaceDN w:val="0"/>
        <w:adjustRightInd w:val="0"/>
        <w:spacing w:after="0" w:line="480" w:lineRule="auto"/>
        <w:ind w:firstLine="720"/>
        <w:jc w:val="both"/>
        <w:rPr>
          <w:rFonts w:ascii="Arial" w:hAnsi="Arial" w:cs="Arial"/>
          <w:bCs/>
          <w:sz w:val="24"/>
          <w:szCs w:val="24"/>
        </w:rPr>
      </w:pPr>
      <w:r w:rsidRPr="00B35E07">
        <w:rPr>
          <w:rFonts w:ascii="Arial" w:hAnsi="Arial" w:cs="Arial"/>
          <w:bCs/>
          <w:sz w:val="24"/>
          <w:szCs w:val="24"/>
        </w:rPr>
        <w:t xml:space="preserve">Capital management this is simply when capital becomes a limitation such that banks utilize its discretionary accruals to obtain regulatory capital targets (Adzis </w:t>
      </w:r>
      <w:r w:rsidRPr="00B35E07">
        <w:rPr>
          <w:rFonts w:ascii="Arial" w:hAnsi="Arial" w:cs="Arial"/>
          <w:bCs/>
          <w:i/>
          <w:iCs/>
          <w:sz w:val="24"/>
          <w:szCs w:val="24"/>
        </w:rPr>
        <w:t>et al</w:t>
      </w:r>
      <w:r w:rsidRPr="00B35E07">
        <w:rPr>
          <w:rFonts w:ascii="Arial" w:hAnsi="Arial" w:cs="Arial"/>
          <w:bCs/>
          <w:sz w:val="24"/>
          <w:szCs w:val="24"/>
        </w:rPr>
        <w:t xml:space="preserve">., 2015). Capital ratio is a vital indicator that indicates the risk of the bank. It plays a significant role to enumerate the ability of the bank to withstand below present capital structure and signifies the undetectable default risk (Hansen 2015). Banks utlizes loan loss provisions to control capital by modifying and regulating the numerator and denominator of the capital ratio to comply by the capital regulation (Shahieda and Hishamuddin, 2014). Since regulators aim to construct solid banks by establishing a least risk-based capital ratio and accurate guidelines for how to calculate eligible risk weighted assets and capital, decreasing the denominator or increasing the numerator of the risk-based capital ratio comprises regulatory capital management </w:t>
      </w:r>
      <w:r w:rsidRPr="00B35E07">
        <w:rPr>
          <w:rFonts w:ascii="Arial" w:hAnsi="Arial" w:cs="Arial"/>
          <w:sz w:val="24"/>
          <w:szCs w:val="24"/>
        </w:rPr>
        <w:t xml:space="preserve">(Shawtari </w:t>
      </w:r>
      <w:r w:rsidRPr="00B35E07">
        <w:rPr>
          <w:rFonts w:ascii="Arial" w:hAnsi="Arial" w:cs="Arial"/>
          <w:i/>
          <w:iCs/>
          <w:sz w:val="24"/>
          <w:szCs w:val="24"/>
        </w:rPr>
        <w:t>et al</w:t>
      </w:r>
      <w:r w:rsidRPr="00B35E07">
        <w:rPr>
          <w:rFonts w:ascii="Arial" w:hAnsi="Arial" w:cs="Arial"/>
          <w:sz w:val="24"/>
          <w:szCs w:val="24"/>
        </w:rPr>
        <w:t>., 2015)</w:t>
      </w:r>
      <w:r w:rsidRPr="00B35E07">
        <w:rPr>
          <w:rFonts w:ascii="Arial" w:hAnsi="Arial" w:cs="Arial"/>
          <w:bCs/>
          <w:sz w:val="24"/>
          <w:szCs w:val="24"/>
        </w:rPr>
        <w:t xml:space="preserve">. The hypothesis brings up to two names of regulatory capital; tier 1 capital and tier 2 capital.  Tier 1 capital consists of retained earnings, shareholders capital and other disclosed reserves </w:t>
      </w:r>
      <w:r w:rsidRPr="00B35E07">
        <w:rPr>
          <w:rFonts w:ascii="Arial" w:hAnsi="Arial" w:cs="Arial"/>
          <w:sz w:val="24"/>
          <w:szCs w:val="24"/>
        </w:rPr>
        <w:t>(Cummings and Durrani, 2016)</w:t>
      </w:r>
      <w:r w:rsidRPr="00B35E07">
        <w:rPr>
          <w:rFonts w:ascii="Arial" w:hAnsi="Arial" w:cs="Arial"/>
          <w:bCs/>
          <w:sz w:val="24"/>
          <w:szCs w:val="24"/>
        </w:rPr>
        <w:t xml:space="preserve">. Tier 2 capital consists of loan loss reserves and subordinated debt. Increase in loan loss reserves simply lowers net income and consequently, Tier 1 capital </w:t>
      </w:r>
      <w:r w:rsidRPr="00B35E07">
        <w:rPr>
          <w:rFonts w:ascii="Arial" w:hAnsi="Arial" w:cs="Arial"/>
          <w:sz w:val="24"/>
          <w:szCs w:val="24"/>
        </w:rPr>
        <w:t xml:space="preserve">(Shawtari </w:t>
      </w:r>
      <w:r w:rsidRPr="00B35E07">
        <w:rPr>
          <w:rFonts w:ascii="Arial" w:hAnsi="Arial" w:cs="Arial"/>
          <w:i/>
          <w:iCs/>
          <w:sz w:val="24"/>
          <w:szCs w:val="24"/>
        </w:rPr>
        <w:t>et al</w:t>
      </w:r>
      <w:r w:rsidRPr="00B35E07">
        <w:rPr>
          <w:rFonts w:ascii="Arial" w:hAnsi="Arial" w:cs="Arial"/>
          <w:sz w:val="24"/>
          <w:szCs w:val="24"/>
        </w:rPr>
        <w:t>., 2015)</w:t>
      </w:r>
      <w:r w:rsidRPr="00B35E07">
        <w:rPr>
          <w:rFonts w:ascii="Arial" w:hAnsi="Arial" w:cs="Arial"/>
          <w:bCs/>
          <w:sz w:val="24"/>
          <w:szCs w:val="24"/>
        </w:rPr>
        <w:t xml:space="preserve">. Bank regulations provides the add-back of reserves as Tier 2 capital below the regulatory knowledge that loan loss reserves depict capital that should be put up in good economic periods, to simply take in losses during bad periods. Dong </w:t>
      </w:r>
      <w:r w:rsidRPr="00B35E07">
        <w:rPr>
          <w:rFonts w:ascii="Arial" w:hAnsi="Arial" w:cs="Arial"/>
          <w:bCs/>
          <w:i/>
          <w:iCs/>
          <w:sz w:val="24"/>
          <w:szCs w:val="24"/>
        </w:rPr>
        <w:t>et al</w:t>
      </w:r>
      <w:r w:rsidRPr="00B35E07">
        <w:rPr>
          <w:rFonts w:ascii="Arial" w:hAnsi="Arial" w:cs="Arial"/>
          <w:bCs/>
          <w:sz w:val="24"/>
          <w:szCs w:val="24"/>
        </w:rPr>
        <w:t>., (2015) adds that when banks are restricted by the regulatory least risk-based capital ratio, they regulate the lending level and the constitution of their loan portfolio to prevent infringing statutory capital ratios.</w:t>
      </w:r>
    </w:p>
    <w:p w14:paraId="6586884A" w14:textId="77777777" w:rsidR="00726370" w:rsidRPr="00B35E07" w:rsidRDefault="00726370" w:rsidP="00726370">
      <w:pPr>
        <w:autoSpaceDE w:val="0"/>
        <w:autoSpaceDN w:val="0"/>
        <w:adjustRightInd w:val="0"/>
        <w:spacing w:after="0" w:line="480" w:lineRule="auto"/>
        <w:ind w:firstLine="720"/>
        <w:jc w:val="both"/>
        <w:rPr>
          <w:rFonts w:ascii="Arial" w:hAnsi="Arial" w:cs="Arial"/>
          <w:bCs/>
          <w:sz w:val="24"/>
          <w:szCs w:val="24"/>
        </w:rPr>
      </w:pPr>
      <w:bookmarkStart w:id="36" w:name="_Hlk20238376"/>
      <w:r w:rsidRPr="00B35E07">
        <w:rPr>
          <w:rFonts w:ascii="Arial" w:hAnsi="Arial" w:cs="Arial"/>
          <w:bCs/>
          <w:sz w:val="24"/>
          <w:szCs w:val="24"/>
        </w:rPr>
        <w:lastRenderedPageBreak/>
        <w:t>Abu-Serdaneh (2018)</w:t>
      </w:r>
      <w:bookmarkEnd w:id="36"/>
      <w:r w:rsidRPr="00B35E07">
        <w:rPr>
          <w:rFonts w:ascii="Arial" w:hAnsi="Arial" w:cs="Arial"/>
          <w:bCs/>
          <w:sz w:val="24"/>
          <w:szCs w:val="24"/>
        </w:rPr>
        <w:t xml:space="preserve"> states that the more the banks are closer to breaching the regulatory necessities, the more the chances that they are bound to include in capital management. They implied that banks with above-median percentage change in loans in a specific year control capital through loan loss provisions. According to Hansen (2015) this unrestricted character is synonymous to regulatory capital arbitrage, to the scope that capital management via loan loss provisions raises the regulatory capital without influencing the bank’s solvency. They proposed that evaluating the true capital adequacy of banks should go hand in hand with ensuring the suitable and proper modifications in the loan loss provisions to show alterations in the credit quality of the portfolio </w:t>
      </w:r>
      <w:r w:rsidRPr="00B35E07">
        <w:rPr>
          <w:rFonts w:ascii="Arial" w:hAnsi="Arial" w:cs="Arial"/>
          <w:color w:val="222222"/>
          <w:sz w:val="24"/>
          <w:szCs w:val="24"/>
          <w:shd w:val="clear" w:color="auto" w:fill="FFFFFF"/>
        </w:rPr>
        <w:t xml:space="preserve">(Sahin </w:t>
      </w:r>
      <w:r w:rsidRPr="00B35E07">
        <w:rPr>
          <w:rFonts w:ascii="Arial" w:hAnsi="Arial" w:cs="Arial"/>
          <w:i/>
          <w:iCs/>
          <w:color w:val="222222"/>
          <w:sz w:val="24"/>
          <w:szCs w:val="24"/>
          <w:shd w:val="clear" w:color="auto" w:fill="FFFFFF"/>
        </w:rPr>
        <w:t>et al</w:t>
      </w:r>
      <w:r w:rsidRPr="00B35E07">
        <w:rPr>
          <w:rFonts w:ascii="Arial" w:hAnsi="Arial" w:cs="Arial"/>
          <w:color w:val="222222"/>
          <w:sz w:val="24"/>
          <w:szCs w:val="24"/>
          <w:shd w:val="clear" w:color="auto" w:fill="FFFFFF"/>
        </w:rPr>
        <w:t>., 2016)</w:t>
      </w:r>
      <w:r w:rsidRPr="00B35E07">
        <w:rPr>
          <w:rFonts w:ascii="Arial" w:hAnsi="Arial" w:cs="Arial"/>
          <w:bCs/>
          <w:sz w:val="24"/>
          <w:szCs w:val="24"/>
        </w:rPr>
        <w:t>.</w:t>
      </w:r>
    </w:p>
    <w:p w14:paraId="75276F92" w14:textId="77777777" w:rsidR="00726370" w:rsidRPr="00B35E07" w:rsidRDefault="00726370" w:rsidP="00726370">
      <w:pPr>
        <w:autoSpaceDE w:val="0"/>
        <w:autoSpaceDN w:val="0"/>
        <w:adjustRightInd w:val="0"/>
        <w:spacing w:after="0" w:line="480" w:lineRule="auto"/>
        <w:ind w:firstLine="720"/>
        <w:jc w:val="both"/>
        <w:rPr>
          <w:rFonts w:ascii="Arial" w:hAnsi="Arial" w:cs="Arial"/>
          <w:bCs/>
          <w:sz w:val="24"/>
          <w:szCs w:val="24"/>
        </w:rPr>
      </w:pPr>
      <w:r w:rsidRPr="00B35E07">
        <w:rPr>
          <w:rFonts w:ascii="Arial" w:hAnsi="Arial" w:cs="Arial"/>
          <w:bCs/>
          <w:sz w:val="24"/>
          <w:szCs w:val="24"/>
        </w:rPr>
        <w:t>Utilization of loan loss provision for capital management will provide commercial banks stand by regulatory capital requirements. Failure to encounter capital requirements may lead to penalty from regulators which may lead to lower credit rating for the bank (</w:t>
      </w:r>
      <w:r w:rsidRPr="00B35E07">
        <w:rPr>
          <w:rFonts w:ascii="Arial" w:hAnsi="Arial" w:cs="Arial"/>
          <w:sz w:val="24"/>
          <w:szCs w:val="24"/>
        </w:rPr>
        <w:t>MWANGA, 2014)</w:t>
      </w:r>
      <w:r w:rsidRPr="00B35E07">
        <w:rPr>
          <w:rFonts w:ascii="Arial" w:hAnsi="Arial" w:cs="Arial"/>
          <w:bCs/>
          <w:sz w:val="24"/>
          <w:szCs w:val="24"/>
        </w:rPr>
        <w:t>. As a result of lower credit rating, commercial banks will only be able to acquire outside financing at higher cost. The higher cost of capital will result in reduced valuation of banks (Kaneza, 2016).</w:t>
      </w:r>
    </w:p>
    <w:p w14:paraId="04F03B70" w14:textId="77777777" w:rsidR="00726370" w:rsidRPr="00B35E07" w:rsidRDefault="00726370" w:rsidP="00726370">
      <w:pPr>
        <w:pStyle w:val="Heading2"/>
        <w:rPr>
          <w:rFonts w:ascii="Arial" w:hAnsi="Arial" w:cs="Arial"/>
          <w:b/>
          <w:bCs/>
          <w:color w:val="auto"/>
          <w:sz w:val="24"/>
          <w:szCs w:val="24"/>
        </w:rPr>
      </w:pPr>
      <w:bookmarkStart w:id="37" w:name="_Toc23802025"/>
      <w:bookmarkStart w:id="38" w:name="_Toc27579780"/>
      <w:r w:rsidRPr="00B35E07">
        <w:rPr>
          <w:rFonts w:ascii="Arial" w:hAnsi="Arial" w:cs="Arial"/>
          <w:b/>
          <w:bCs/>
          <w:color w:val="auto"/>
          <w:sz w:val="24"/>
          <w:szCs w:val="24"/>
        </w:rPr>
        <w:t>2.3: Relationship between bank failure and Loan Loss Provision</w:t>
      </w:r>
      <w:bookmarkEnd w:id="37"/>
      <w:bookmarkEnd w:id="38"/>
    </w:p>
    <w:p w14:paraId="0F24F3DC"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bCs/>
          <w:sz w:val="24"/>
          <w:szCs w:val="24"/>
        </w:rPr>
        <w:t xml:space="preserve">Loan loss provisions to a wide degree are associated with the financial crisis together with bank failure for the commercial banks. According to the nature of the business, commercial banks disclose themselves to default prospects from borrowers. The elimination of non-performing loans is a requirement circumstances to raise the stability and economic position of the banking sector (Muriithi </w:t>
      </w:r>
      <w:r w:rsidRPr="00B35E07">
        <w:rPr>
          <w:rFonts w:ascii="Arial" w:hAnsi="Arial" w:cs="Arial"/>
          <w:bCs/>
          <w:i/>
          <w:iCs/>
          <w:sz w:val="24"/>
          <w:szCs w:val="24"/>
        </w:rPr>
        <w:t>et al</w:t>
      </w:r>
      <w:r w:rsidRPr="00B35E07">
        <w:rPr>
          <w:rFonts w:ascii="Arial" w:hAnsi="Arial" w:cs="Arial"/>
          <w:bCs/>
          <w:sz w:val="24"/>
          <w:szCs w:val="24"/>
        </w:rPr>
        <w:t xml:space="preserve">., 2016). If LLP are still in existence and spinned over the resources </w:t>
      </w:r>
      <w:r w:rsidRPr="00B35E07">
        <w:rPr>
          <w:rFonts w:ascii="Arial" w:hAnsi="Arial" w:cs="Arial"/>
          <w:bCs/>
          <w:sz w:val="24"/>
          <w:szCs w:val="24"/>
        </w:rPr>
        <w:lastRenderedPageBreak/>
        <w:t xml:space="preserve">continuously are locked up in no financial gains; therefore, preventing economic development and economic efficiency impaired </w:t>
      </w:r>
      <w:r w:rsidRPr="00B35E07">
        <w:rPr>
          <w:rFonts w:ascii="Arial" w:hAnsi="Arial" w:cs="Arial"/>
          <w:sz w:val="24"/>
          <w:szCs w:val="24"/>
        </w:rPr>
        <w:t>(Gathaiya, 2017)</w:t>
      </w:r>
      <w:r w:rsidRPr="00B35E07">
        <w:rPr>
          <w:rFonts w:ascii="Arial" w:hAnsi="Arial" w:cs="Arial"/>
          <w:bCs/>
          <w:sz w:val="24"/>
          <w:szCs w:val="24"/>
        </w:rPr>
        <w:t xml:space="preserve">. </w:t>
      </w:r>
    </w:p>
    <w:p w14:paraId="17ABECEE" w14:textId="77777777" w:rsidR="00726370" w:rsidRPr="00B35E07" w:rsidRDefault="00726370" w:rsidP="00726370">
      <w:pPr>
        <w:spacing w:line="480" w:lineRule="auto"/>
        <w:ind w:firstLine="720"/>
        <w:jc w:val="both"/>
        <w:rPr>
          <w:rFonts w:ascii="Arial" w:hAnsi="Arial" w:cs="Arial"/>
          <w:bCs/>
          <w:sz w:val="24"/>
          <w:szCs w:val="24"/>
        </w:rPr>
      </w:pPr>
      <w:r w:rsidRPr="00B35E07">
        <w:rPr>
          <w:rFonts w:ascii="Arial" w:hAnsi="Arial" w:cs="Arial"/>
          <w:bCs/>
          <w:sz w:val="24"/>
          <w:szCs w:val="24"/>
        </w:rPr>
        <w:t xml:space="preserve">According to </w:t>
      </w:r>
      <w:r w:rsidRPr="00B35E07">
        <w:rPr>
          <w:rFonts w:ascii="Arial" w:hAnsi="Arial" w:cs="Arial"/>
          <w:sz w:val="24"/>
          <w:szCs w:val="24"/>
        </w:rPr>
        <w:t>Ozili, (2015)</w:t>
      </w:r>
      <w:r w:rsidRPr="00B35E07">
        <w:rPr>
          <w:rFonts w:ascii="Arial" w:hAnsi="Arial" w:cs="Arial"/>
          <w:bCs/>
          <w:sz w:val="24"/>
          <w:szCs w:val="24"/>
        </w:rPr>
        <w:t xml:space="preserve">, non-performing loans are widely related to the banking crisis. </w:t>
      </w:r>
      <w:r w:rsidRPr="00B35E07">
        <w:rPr>
          <w:rFonts w:ascii="Arial" w:hAnsi="Arial" w:cs="Arial"/>
          <w:sz w:val="24"/>
          <w:szCs w:val="24"/>
        </w:rPr>
        <w:t xml:space="preserve">Goldstein and Turner, (2016) </w:t>
      </w:r>
      <w:r w:rsidRPr="00B35E07">
        <w:rPr>
          <w:rFonts w:ascii="Arial" w:hAnsi="Arial" w:cs="Arial"/>
          <w:bCs/>
          <w:sz w:val="24"/>
          <w:szCs w:val="24"/>
        </w:rPr>
        <w:t>likewise associate the Japanese financial commercial banks disclose themselves to the default risks from borrowers. Sensible assessment of credit risk and formation of sufficient provisions for bad and doubtful debts can protect the risk of the bank (</w:t>
      </w:r>
      <w:r w:rsidRPr="00B35E07">
        <w:rPr>
          <w:rFonts w:ascii="Arial" w:hAnsi="Arial" w:cs="Arial"/>
          <w:sz w:val="24"/>
          <w:szCs w:val="24"/>
        </w:rPr>
        <w:t>Kar, 2017)</w:t>
      </w:r>
      <w:r w:rsidRPr="00B35E07">
        <w:rPr>
          <w:rFonts w:ascii="Arial" w:hAnsi="Arial" w:cs="Arial"/>
          <w:bCs/>
          <w:sz w:val="24"/>
          <w:szCs w:val="24"/>
        </w:rPr>
        <w:t>. Therefore, high level of LLP affects the commercial banks significantly resulting in bank failure.</w:t>
      </w:r>
    </w:p>
    <w:p w14:paraId="39AD2E2B" w14:textId="77777777" w:rsidR="00726370" w:rsidRPr="00B35E07" w:rsidRDefault="00726370" w:rsidP="00726370">
      <w:pPr>
        <w:spacing w:line="480" w:lineRule="auto"/>
        <w:ind w:firstLine="720"/>
        <w:jc w:val="both"/>
        <w:rPr>
          <w:rFonts w:ascii="Arial" w:hAnsi="Arial" w:cs="Arial"/>
          <w:bCs/>
          <w:sz w:val="24"/>
          <w:szCs w:val="24"/>
        </w:rPr>
      </w:pPr>
      <w:r w:rsidRPr="00B35E07">
        <w:rPr>
          <w:rFonts w:ascii="Arial" w:hAnsi="Arial" w:cs="Arial"/>
          <w:color w:val="222222"/>
          <w:sz w:val="24"/>
          <w:szCs w:val="24"/>
          <w:shd w:val="clear" w:color="auto" w:fill="FFFFFF"/>
        </w:rPr>
        <w:t xml:space="preserve"> </w:t>
      </w:r>
      <w:r w:rsidRPr="00B35E07">
        <w:rPr>
          <w:rFonts w:ascii="Arial" w:hAnsi="Arial" w:cs="Arial"/>
          <w:bCs/>
          <w:sz w:val="24"/>
          <w:szCs w:val="24"/>
        </w:rPr>
        <w:t xml:space="preserve">Data envelopment analysis (DEA) is technique used to measure the banks efficiency and probability of failure </w:t>
      </w:r>
      <w:r w:rsidRPr="00B35E07">
        <w:rPr>
          <w:rFonts w:ascii="Arial" w:hAnsi="Arial" w:cs="Arial"/>
          <w:color w:val="222222"/>
          <w:sz w:val="24"/>
          <w:szCs w:val="24"/>
          <w:shd w:val="clear" w:color="auto" w:fill="FFFFFF"/>
        </w:rPr>
        <w:t xml:space="preserve">(Sahin </w:t>
      </w:r>
      <w:r w:rsidRPr="00B35E07">
        <w:rPr>
          <w:rFonts w:ascii="Arial" w:hAnsi="Arial" w:cs="Arial"/>
          <w:i/>
          <w:iCs/>
          <w:color w:val="222222"/>
          <w:sz w:val="24"/>
          <w:szCs w:val="24"/>
          <w:shd w:val="clear" w:color="auto" w:fill="FFFFFF"/>
        </w:rPr>
        <w:t>et al</w:t>
      </w:r>
      <w:r w:rsidRPr="00B35E07">
        <w:rPr>
          <w:rFonts w:ascii="Arial" w:hAnsi="Arial" w:cs="Arial"/>
          <w:color w:val="222222"/>
          <w:sz w:val="24"/>
          <w:szCs w:val="24"/>
          <w:shd w:val="clear" w:color="auto" w:fill="FFFFFF"/>
        </w:rPr>
        <w:t>., 2016)</w:t>
      </w:r>
      <w:r w:rsidRPr="00B35E07">
        <w:rPr>
          <w:rFonts w:ascii="Arial" w:hAnsi="Arial" w:cs="Arial"/>
          <w:bCs/>
          <w:sz w:val="24"/>
          <w:szCs w:val="24"/>
        </w:rPr>
        <w:t>. DEA perceives a bank as modifying several inputs into multiple outputs, aiming on the primary functions of making loans and attracting deposits (</w:t>
      </w:r>
      <w:r w:rsidRPr="00B35E07">
        <w:rPr>
          <w:rFonts w:ascii="Arial" w:hAnsi="Arial" w:cs="Arial"/>
          <w:color w:val="222222"/>
          <w:sz w:val="24"/>
          <w:szCs w:val="24"/>
          <w:shd w:val="clear" w:color="auto" w:fill="FFFFFF"/>
        </w:rPr>
        <w:t>LaPlante and Paradi, 2015)</w:t>
      </w:r>
      <w:r w:rsidRPr="00B35E07">
        <w:rPr>
          <w:rFonts w:ascii="Arial" w:hAnsi="Arial" w:cs="Arial"/>
          <w:bCs/>
          <w:sz w:val="24"/>
          <w:szCs w:val="24"/>
        </w:rPr>
        <w:t xml:space="preserve">. DEA is a non-parametric technique utilizing a generalized ratio to take into consideration numerous inputs and outputs simultaneously </w:t>
      </w:r>
      <w:r w:rsidRPr="00B35E07">
        <w:rPr>
          <w:rFonts w:ascii="Arial" w:hAnsi="Arial" w:cs="Arial"/>
          <w:color w:val="222222"/>
          <w:sz w:val="24"/>
          <w:szCs w:val="24"/>
          <w:shd w:val="clear" w:color="auto" w:fill="FFFFFF"/>
        </w:rPr>
        <w:t>(Erasmus and Makina, 2014)</w:t>
      </w:r>
      <w:r w:rsidRPr="00B35E07">
        <w:rPr>
          <w:rFonts w:ascii="Arial" w:hAnsi="Arial" w:cs="Arial"/>
          <w:bCs/>
          <w:sz w:val="24"/>
          <w:szCs w:val="24"/>
        </w:rPr>
        <w:t>.</w:t>
      </w:r>
    </w:p>
    <w:p w14:paraId="43D0FAF1" w14:textId="77777777" w:rsidR="00726370" w:rsidRPr="00B35E07" w:rsidRDefault="00726370" w:rsidP="00726370">
      <w:pPr>
        <w:autoSpaceDE w:val="0"/>
        <w:autoSpaceDN w:val="0"/>
        <w:adjustRightInd w:val="0"/>
        <w:spacing w:after="0" w:line="480" w:lineRule="auto"/>
        <w:jc w:val="both"/>
        <w:rPr>
          <w:rFonts w:ascii="Arial" w:hAnsi="Arial" w:cs="Arial"/>
          <w:i/>
          <w:iCs/>
          <w:sz w:val="24"/>
          <w:szCs w:val="24"/>
        </w:rPr>
      </w:pPr>
      <w:r w:rsidRPr="00B35E07">
        <w:rPr>
          <w:rFonts w:ascii="Arial" w:hAnsi="Arial" w:cs="Arial"/>
          <w:i/>
          <w:iCs/>
          <w:sz w:val="24"/>
          <w:szCs w:val="24"/>
        </w:rPr>
        <w:t>H1: There is a positive and significant relationship between LLP and bank failure.</w:t>
      </w:r>
    </w:p>
    <w:p w14:paraId="4337C8CA" w14:textId="77777777" w:rsidR="00726370" w:rsidRPr="00B35E07" w:rsidRDefault="00726370" w:rsidP="00726370">
      <w:pPr>
        <w:pStyle w:val="Heading2"/>
        <w:rPr>
          <w:rFonts w:ascii="Arial" w:hAnsi="Arial" w:cs="Arial"/>
          <w:b/>
          <w:bCs/>
          <w:color w:val="auto"/>
          <w:sz w:val="24"/>
          <w:szCs w:val="24"/>
        </w:rPr>
      </w:pPr>
      <w:bookmarkStart w:id="39" w:name="_Toc23802026"/>
      <w:bookmarkStart w:id="40" w:name="_Toc27579781"/>
      <w:r w:rsidRPr="00B35E07">
        <w:rPr>
          <w:rFonts w:ascii="Arial" w:hAnsi="Arial" w:cs="Arial"/>
          <w:b/>
          <w:bCs/>
          <w:color w:val="auto"/>
          <w:sz w:val="24"/>
          <w:szCs w:val="24"/>
        </w:rPr>
        <w:t>2.4: Bank Specific Determinants</w:t>
      </w:r>
      <w:bookmarkEnd w:id="39"/>
      <w:bookmarkEnd w:id="40"/>
    </w:p>
    <w:p w14:paraId="4E1ED409" w14:textId="77777777" w:rsidR="00726370" w:rsidRPr="00B35E07" w:rsidRDefault="00726370" w:rsidP="00726370">
      <w:pPr>
        <w:pStyle w:val="Heading3"/>
        <w:rPr>
          <w:rFonts w:ascii="Arial" w:hAnsi="Arial" w:cs="Arial"/>
          <w:b/>
          <w:bCs/>
          <w:color w:val="auto"/>
        </w:rPr>
      </w:pPr>
      <w:bookmarkStart w:id="41" w:name="_Toc23802027"/>
      <w:bookmarkStart w:id="42" w:name="_Toc27579782"/>
      <w:r w:rsidRPr="00B35E07">
        <w:rPr>
          <w:rFonts w:ascii="Arial" w:hAnsi="Arial" w:cs="Arial"/>
          <w:b/>
          <w:bCs/>
          <w:color w:val="auto"/>
        </w:rPr>
        <w:t>2.4.1: Earnings</w:t>
      </w:r>
      <w:bookmarkEnd w:id="41"/>
      <w:bookmarkEnd w:id="42"/>
      <w:r w:rsidRPr="00B35E07">
        <w:rPr>
          <w:rFonts w:ascii="Arial" w:hAnsi="Arial" w:cs="Arial"/>
          <w:b/>
          <w:bCs/>
          <w:color w:val="auto"/>
        </w:rPr>
        <w:t xml:space="preserve"> </w:t>
      </w:r>
    </w:p>
    <w:p w14:paraId="0FB93144" w14:textId="77777777" w:rsidR="00726370" w:rsidRPr="00B35E07" w:rsidRDefault="00726370" w:rsidP="00726370">
      <w:pPr>
        <w:autoSpaceDE w:val="0"/>
        <w:autoSpaceDN w:val="0"/>
        <w:adjustRightInd w:val="0"/>
        <w:spacing w:after="0" w:line="480" w:lineRule="auto"/>
        <w:ind w:firstLine="720"/>
        <w:jc w:val="both"/>
        <w:rPr>
          <w:rFonts w:ascii="Arial" w:hAnsi="Arial" w:cs="Arial"/>
          <w:bCs/>
          <w:sz w:val="24"/>
          <w:szCs w:val="24"/>
        </w:rPr>
      </w:pPr>
      <w:r w:rsidRPr="00B35E07">
        <w:rPr>
          <w:rFonts w:ascii="Arial" w:hAnsi="Arial" w:cs="Arial"/>
          <w:bCs/>
          <w:sz w:val="24"/>
          <w:szCs w:val="24"/>
        </w:rPr>
        <w:t xml:space="preserve">Earnings is regarded to be the major influential factor in this study. As reported by Ekanayake </w:t>
      </w:r>
      <w:r w:rsidRPr="00B35E07">
        <w:rPr>
          <w:rFonts w:ascii="Arial" w:hAnsi="Arial" w:cs="Arial"/>
          <w:bCs/>
          <w:i/>
          <w:iCs/>
          <w:sz w:val="24"/>
          <w:szCs w:val="24"/>
        </w:rPr>
        <w:t>et al</w:t>
      </w:r>
      <w:r w:rsidRPr="00B35E07">
        <w:rPr>
          <w:rFonts w:ascii="Arial" w:hAnsi="Arial" w:cs="Arial"/>
          <w:bCs/>
          <w:sz w:val="24"/>
          <w:szCs w:val="24"/>
        </w:rPr>
        <w:t xml:space="preserve">., (2015), commercial banks in Kenya are performing poorly, and this enables the managers to provide incentives to use LLP mostly to report good performance. Shawtari </w:t>
      </w:r>
      <w:r w:rsidRPr="00B35E07">
        <w:rPr>
          <w:rFonts w:ascii="Arial" w:hAnsi="Arial" w:cs="Arial"/>
          <w:bCs/>
          <w:i/>
          <w:iCs/>
          <w:sz w:val="24"/>
          <w:szCs w:val="24"/>
        </w:rPr>
        <w:t>et al</w:t>
      </w:r>
      <w:r w:rsidRPr="00B35E07">
        <w:rPr>
          <w:rFonts w:ascii="Arial" w:hAnsi="Arial" w:cs="Arial"/>
          <w:bCs/>
          <w:sz w:val="24"/>
          <w:szCs w:val="24"/>
        </w:rPr>
        <w:t xml:space="preserve">., (2015) added that LLP is more vital for the ineffective firms unlike the effective and efficient firms. This is due to inefficient banks are anticipated to avoid any public repercussion in order to stabilize their </w:t>
      </w:r>
      <w:r w:rsidRPr="00B35E07">
        <w:rPr>
          <w:rFonts w:ascii="Arial" w:hAnsi="Arial" w:cs="Arial"/>
          <w:bCs/>
          <w:sz w:val="24"/>
          <w:szCs w:val="24"/>
        </w:rPr>
        <w:lastRenderedPageBreak/>
        <w:t xml:space="preserve">earnings and to report positive results. This results in an inducement for managers to control their earnings with minimal LLP so as to reduce regulatory pressures and maintain their reputation. Farook </w:t>
      </w:r>
      <w:r w:rsidRPr="00B35E07">
        <w:rPr>
          <w:rFonts w:ascii="Arial" w:hAnsi="Arial" w:cs="Arial"/>
          <w:bCs/>
          <w:i/>
          <w:iCs/>
          <w:sz w:val="24"/>
          <w:szCs w:val="24"/>
        </w:rPr>
        <w:t>et al</w:t>
      </w:r>
      <w:r w:rsidRPr="00B35E07">
        <w:rPr>
          <w:rFonts w:ascii="Arial" w:hAnsi="Arial" w:cs="Arial"/>
          <w:bCs/>
          <w:sz w:val="24"/>
          <w:szCs w:val="24"/>
        </w:rPr>
        <w:t>., (2014) states that earnings and performance are adversely affected whenever efficiency and competency is not at the optimal level and simply lower earnings recorded than preceding years would indicate poorly on the management, which simply provides motivation for them to control bank earnings. Therefore, implies that higher rates of inefficiency banks can results into a rapid growth in loan defaults of banks and consequently lower levels of earnings (Dhakal, 2015).</w:t>
      </w:r>
    </w:p>
    <w:p w14:paraId="4EA3C8EE" w14:textId="77777777" w:rsidR="00726370" w:rsidRPr="00B35E07" w:rsidRDefault="00726370" w:rsidP="00726370">
      <w:pPr>
        <w:spacing w:line="480" w:lineRule="auto"/>
        <w:jc w:val="both"/>
        <w:rPr>
          <w:rFonts w:ascii="Arial" w:hAnsi="Arial" w:cs="Arial"/>
          <w:i/>
          <w:iCs/>
          <w:sz w:val="24"/>
          <w:szCs w:val="24"/>
        </w:rPr>
      </w:pPr>
      <w:r w:rsidRPr="00B35E07">
        <w:rPr>
          <w:rFonts w:ascii="Arial" w:hAnsi="Arial" w:cs="Arial"/>
          <w:i/>
          <w:iCs/>
          <w:sz w:val="24"/>
          <w:szCs w:val="24"/>
        </w:rPr>
        <w:t xml:space="preserve">H2: There is a negative and significant relationship between earnings and LLP.  </w:t>
      </w:r>
    </w:p>
    <w:p w14:paraId="7C603A62" w14:textId="77777777" w:rsidR="00726370" w:rsidRPr="00B35E07" w:rsidRDefault="00726370" w:rsidP="00726370">
      <w:pPr>
        <w:pStyle w:val="Heading3"/>
        <w:rPr>
          <w:rFonts w:ascii="Arial" w:hAnsi="Arial" w:cs="Arial"/>
          <w:b/>
          <w:bCs/>
          <w:color w:val="auto"/>
        </w:rPr>
      </w:pPr>
      <w:bookmarkStart w:id="43" w:name="_Toc23802028"/>
      <w:bookmarkStart w:id="44" w:name="_Toc27579783"/>
      <w:r w:rsidRPr="00B35E07">
        <w:rPr>
          <w:rFonts w:ascii="Arial" w:hAnsi="Arial" w:cs="Arial"/>
          <w:b/>
          <w:bCs/>
          <w:color w:val="auto"/>
        </w:rPr>
        <w:t>2.4.2: Capital Management</w:t>
      </w:r>
      <w:bookmarkEnd w:id="43"/>
      <w:bookmarkEnd w:id="44"/>
    </w:p>
    <w:p w14:paraId="12ACBF56"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 xml:space="preserve">The literature on commercial banks brings out some affirmations that commercial banks utilize LLP to administer and control their capital. Capital being amongst the prominent factor, it is anticipated to be related negatively on LLP. Equity capital is majorly controlled and regulated in the banking sector (Cummings and Durrani, 2016). Hence, whenever banks witness low levels of capital in respect to the regulatory levels needed to be regarded well-capitalized, managers normally have incentives to prevent written-off bad loans and to realize more gains from securities so as to raise capital levels (Shawtari </w:t>
      </w:r>
      <w:r w:rsidRPr="00B35E07">
        <w:rPr>
          <w:rFonts w:ascii="Arial" w:hAnsi="Arial" w:cs="Arial"/>
          <w:i/>
          <w:iCs/>
          <w:sz w:val="24"/>
          <w:szCs w:val="24"/>
        </w:rPr>
        <w:t>et al</w:t>
      </w:r>
      <w:r w:rsidRPr="00B35E07">
        <w:rPr>
          <w:rFonts w:ascii="Arial" w:hAnsi="Arial" w:cs="Arial"/>
          <w:sz w:val="24"/>
          <w:szCs w:val="24"/>
        </w:rPr>
        <w:t>., 2015). Added, bank managers can intertemporally smoothen earnings downward only when banks are regarded well-capitalized. Therefore, banks that are well-capitalized aim to announce higher LLP than the weak capitalized banks.</w:t>
      </w:r>
    </w:p>
    <w:p w14:paraId="0834F1EE" w14:textId="77777777" w:rsidR="00726370" w:rsidRPr="00B35E07" w:rsidRDefault="00726370" w:rsidP="00726370">
      <w:pPr>
        <w:autoSpaceDE w:val="0"/>
        <w:autoSpaceDN w:val="0"/>
        <w:adjustRightInd w:val="0"/>
        <w:spacing w:after="0" w:line="480" w:lineRule="auto"/>
        <w:jc w:val="both"/>
        <w:rPr>
          <w:rFonts w:ascii="Arial" w:hAnsi="Arial" w:cs="Arial"/>
          <w:i/>
          <w:iCs/>
          <w:sz w:val="24"/>
          <w:szCs w:val="24"/>
        </w:rPr>
      </w:pPr>
      <w:r w:rsidRPr="00B35E07">
        <w:rPr>
          <w:rFonts w:ascii="Arial" w:hAnsi="Arial" w:cs="Arial"/>
          <w:i/>
          <w:iCs/>
          <w:sz w:val="24"/>
          <w:szCs w:val="24"/>
        </w:rPr>
        <w:t>H3: There is a negative and significant relationship between capital management and LLP.</w:t>
      </w:r>
    </w:p>
    <w:p w14:paraId="7231E6F6" w14:textId="77777777" w:rsidR="00726370" w:rsidRPr="00B35E07" w:rsidRDefault="00726370" w:rsidP="00726370">
      <w:pPr>
        <w:pStyle w:val="Heading3"/>
        <w:rPr>
          <w:rFonts w:ascii="Arial" w:hAnsi="Arial" w:cs="Arial"/>
          <w:b/>
          <w:bCs/>
          <w:color w:val="auto"/>
        </w:rPr>
      </w:pPr>
      <w:bookmarkStart w:id="45" w:name="_Toc23802029"/>
      <w:bookmarkStart w:id="46" w:name="_Toc27579784"/>
      <w:r w:rsidRPr="00B35E07">
        <w:rPr>
          <w:rFonts w:ascii="Arial" w:hAnsi="Arial" w:cs="Arial"/>
          <w:b/>
          <w:bCs/>
          <w:color w:val="auto"/>
        </w:rPr>
        <w:lastRenderedPageBreak/>
        <w:t>2.4.3: Bank Size</w:t>
      </w:r>
      <w:bookmarkEnd w:id="45"/>
      <w:bookmarkEnd w:id="46"/>
    </w:p>
    <w:p w14:paraId="7F7671B6"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 xml:space="preserve">In respect to the bank size, it is vividly realised that larger banks are most likely to take part in discretionary accruals because they undergo increased tension than small banks, therefore, they tend to utilize earnings management to minimise political scrutiny (Agénor and Zilberman, 2015). Added to that, banks of bigger size have the potential to bargain with auditors and be much stronger unlike smaller banks (Dhakal, 2015). This research will utilize total assets as a proxy for bank size. Fernando and Ekanayake, (2015) justified to exist a significant and positive relationship between LLP and bank size. </w:t>
      </w:r>
    </w:p>
    <w:p w14:paraId="7DF5472D" w14:textId="77777777" w:rsidR="00726370" w:rsidRPr="00B35E07" w:rsidRDefault="00726370" w:rsidP="00726370">
      <w:pPr>
        <w:autoSpaceDE w:val="0"/>
        <w:autoSpaceDN w:val="0"/>
        <w:adjustRightInd w:val="0"/>
        <w:spacing w:after="0" w:line="480" w:lineRule="auto"/>
        <w:jc w:val="both"/>
        <w:rPr>
          <w:rFonts w:ascii="Arial" w:hAnsi="Arial" w:cs="Arial"/>
          <w:i/>
          <w:iCs/>
          <w:sz w:val="24"/>
          <w:szCs w:val="24"/>
        </w:rPr>
      </w:pPr>
      <w:r w:rsidRPr="00B35E07">
        <w:rPr>
          <w:rFonts w:ascii="Arial" w:hAnsi="Arial" w:cs="Arial"/>
          <w:i/>
          <w:iCs/>
          <w:sz w:val="24"/>
          <w:szCs w:val="24"/>
        </w:rPr>
        <w:t>H4: There is a positive and significant relationship between bank size and LLP.</w:t>
      </w:r>
    </w:p>
    <w:p w14:paraId="45B8977D" w14:textId="77777777" w:rsidR="00726370" w:rsidRPr="00B35E07" w:rsidRDefault="00726370" w:rsidP="00726370">
      <w:pPr>
        <w:pStyle w:val="Heading3"/>
        <w:rPr>
          <w:rFonts w:ascii="Arial" w:hAnsi="Arial" w:cs="Arial"/>
          <w:b/>
          <w:bCs/>
          <w:color w:val="auto"/>
        </w:rPr>
      </w:pPr>
      <w:bookmarkStart w:id="47" w:name="_Toc23802030"/>
      <w:bookmarkStart w:id="48" w:name="_Toc27579785"/>
      <w:r w:rsidRPr="00B35E07">
        <w:rPr>
          <w:rFonts w:ascii="Arial" w:hAnsi="Arial" w:cs="Arial"/>
          <w:b/>
          <w:bCs/>
          <w:color w:val="auto"/>
        </w:rPr>
        <w:t>2.4.4: Loan to Deposits (LD Ratio)</w:t>
      </w:r>
      <w:bookmarkEnd w:id="47"/>
      <w:bookmarkEnd w:id="48"/>
    </w:p>
    <w:p w14:paraId="55985FEA"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This simply evaluates the relation between loans and deposits from the customer’s deposits and therefore, a higher ratio implies that there is more demand of external funds and to stimulate external funds, the apprehended risk will be altered by the LLP (Fernando and Ekanayake, 2015). Therefore, following my research it is anticipated to exist a positive relationship between LD ratio and LLP.</w:t>
      </w:r>
    </w:p>
    <w:p w14:paraId="51A4751D" w14:textId="77777777" w:rsidR="00726370" w:rsidRPr="00B35E07" w:rsidRDefault="00726370" w:rsidP="00726370">
      <w:pPr>
        <w:autoSpaceDE w:val="0"/>
        <w:autoSpaceDN w:val="0"/>
        <w:adjustRightInd w:val="0"/>
        <w:spacing w:after="0" w:line="480" w:lineRule="auto"/>
        <w:jc w:val="both"/>
        <w:rPr>
          <w:rFonts w:ascii="Arial" w:hAnsi="Arial" w:cs="Arial"/>
          <w:i/>
          <w:iCs/>
          <w:sz w:val="24"/>
          <w:szCs w:val="24"/>
        </w:rPr>
      </w:pPr>
      <w:r w:rsidRPr="00B35E07">
        <w:rPr>
          <w:rFonts w:ascii="Arial" w:hAnsi="Arial" w:cs="Arial"/>
          <w:i/>
          <w:iCs/>
          <w:sz w:val="24"/>
          <w:szCs w:val="24"/>
        </w:rPr>
        <w:t>H5: There is a positive and significant relationship between loan to deposit ratio LLP.</w:t>
      </w:r>
    </w:p>
    <w:p w14:paraId="2D2DC2F6" w14:textId="77777777" w:rsidR="00726370" w:rsidRPr="00B35E07" w:rsidRDefault="00726370" w:rsidP="00726370">
      <w:pPr>
        <w:pStyle w:val="Heading2"/>
        <w:rPr>
          <w:rFonts w:ascii="Arial" w:hAnsi="Arial" w:cs="Arial"/>
          <w:b/>
          <w:bCs/>
          <w:color w:val="auto"/>
          <w:sz w:val="24"/>
          <w:szCs w:val="24"/>
        </w:rPr>
      </w:pPr>
      <w:bookmarkStart w:id="49" w:name="_Toc23802031"/>
      <w:bookmarkStart w:id="50" w:name="_Toc27579786"/>
      <w:r w:rsidRPr="00B35E07">
        <w:rPr>
          <w:rFonts w:ascii="Arial" w:hAnsi="Arial" w:cs="Arial"/>
          <w:b/>
          <w:bCs/>
          <w:color w:val="auto"/>
          <w:sz w:val="24"/>
          <w:szCs w:val="24"/>
        </w:rPr>
        <w:t>2.5: Macro-Economic Determinants</w:t>
      </w:r>
      <w:bookmarkEnd w:id="49"/>
      <w:bookmarkEnd w:id="50"/>
    </w:p>
    <w:p w14:paraId="4F9D20A5" w14:textId="77777777" w:rsidR="00726370" w:rsidRPr="00B35E07" w:rsidRDefault="00726370" w:rsidP="00726370">
      <w:pPr>
        <w:pStyle w:val="Heading3"/>
        <w:rPr>
          <w:rFonts w:ascii="Arial" w:hAnsi="Arial" w:cs="Arial"/>
          <w:b/>
          <w:bCs/>
          <w:color w:val="auto"/>
        </w:rPr>
      </w:pPr>
      <w:bookmarkStart w:id="51" w:name="_Toc23802032"/>
      <w:bookmarkStart w:id="52" w:name="_Toc27579787"/>
      <w:r w:rsidRPr="00B35E07">
        <w:rPr>
          <w:rFonts w:ascii="Arial" w:hAnsi="Arial" w:cs="Arial"/>
          <w:b/>
          <w:bCs/>
          <w:color w:val="auto"/>
        </w:rPr>
        <w:t>2.5.1: GDP</w:t>
      </w:r>
      <w:bookmarkEnd w:id="51"/>
      <w:bookmarkEnd w:id="52"/>
    </w:p>
    <w:p w14:paraId="59FA4C81"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 xml:space="preserve">According to Ekanayake </w:t>
      </w:r>
      <w:r w:rsidRPr="00B35E07">
        <w:rPr>
          <w:rFonts w:ascii="Arial" w:hAnsi="Arial" w:cs="Arial"/>
          <w:i/>
          <w:iCs/>
          <w:sz w:val="24"/>
          <w:szCs w:val="24"/>
        </w:rPr>
        <w:t>et al</w:t>
      </w:r>
      <w:r w:rsidRPr="00B35E07">
        <w:rPr>
          <w:rFonts w:ascii="Arial" w:hAnsi="Arial" w:cs="Arial"/>
          <w:sz w:val="24"/>
          <w:szCs w:val="24"/>
        </w:rPr>
        <w:t xml:space="preserve">., (2015) growth of real per capita GDP be embraced to regulate and monitor for the detailed pro-cyclical influence of provisioning. Such as during economic upswing with high incomes, the economic view elaborates better circumstances for banks with a lower probability of loan defaults, however a recession or a downturn will have the reverse impact </w:t>
      </w:r>
      <w:r w:rsidRPr="00B35E07">
        <w:rPr>
          <w:rFonts w:ascii="Arial" w:hAnsi="Arial" w:cs="Arial"/>
          <w:sz w:val="24"/>
          <w:szCs w:val="24"/>
        </w:rPr>
        <w:lastRenderedPageBreak/>
        <w:t xml:space="preserve">(Ekanayake and Azeez, 2015). Banks are simply anticipated to consider this attribute in their options by minimising provisions throughout rapid economic growth and intensifying them during an economic downturn (Shawtari </w:t>
      </w:r>
      <w:r w:rsidRPr="00B35E07">
        <w:rPr>
          <w:rFonts w:ascii="Arial" w:hAnsi="Arial" w:cs="Arial"/>
          <w:i/>
          <w:iCs/>
          <w:sz w:val="24"/>
          <w:szCs w:val="24"/>
        </w:rPr>
        <w:t>et al</w:t>
      </w:r>
      <w:r w:rsidRPr="00B35E07">
        <w:rPr>
          <w:rFonts w:ascii="Arial" w:hAnsi="Arial" w:cs="Arial"/>
          <w:sz w:val="24"/>
          <w:szCs w:val="24"/>
        </w:rPr>
        <w:t xml:space="preserve">., 2015). Therefore, from this perspective, a negative coefficient for GDP in the LLP is anticipated. </w:t>
      </w:r>
    </w:p>
    <w:p w14:paraId="7255E6A6" w14:textId="77777777" w:rsidR="00726370" w:rsidRPr="00B35E07" w:rsidRDefault="00726370" w:rsidP="00726370">
      <w:pPr>
        <w:autoSpaceDE w:val="0"/>
        <w:autoSpaceDN w:val="0"/>
        <w:adjustRightInd w:val="0"/>
        <w:spacing w:after="0" w:line="480" w:lineRule="auto"/>
        <w:jc w:val="both"/>
        <w:rPr>
          <w:rFonts w:ascii="Arial" w:hAnsi="Arial" w:cs="Arial"/>
          <w:i/>
          <w:iCs/>
          <w:sz w:val="24"/>
          <w:szCs w:val="24"/>
        </w:rPr>
      </w:pPr>
      <w:r w:rsidRPr="00B35E07">
        <w:rPr>
          <w:rFonts w:ascii="Arial" w:hAnsi="Arial" w:cs="Arial"/>
          <w:i/>
          <w:iCs/>
          <w:sz w:val="24"/>
          <w:szCs w:val="24"/>
        </w:rPr>
        <w:t xml:space="preserve"> H6: There is a significant and negative relationship between GDP and LLP.</w:t>
      </w:r>
    </w:p>
    <w:p w14:paraId="647E5CD2" w14:textId="77777777" w:rsidR="00726370" w:rsidRPr="00B35E07" w:rsidRDefault="00726370" w:rsidP="00726370">
      <w:pPr>
        <w:pStyle w:val="Heading3"/>
        <w:rPr>
          <w:rFonts w:ascii="Arial" w:hAnsi="Arial" w:cs="Arial"/>
          <w:b/>
          <w:bCs/>
          <w:color w:val="auto"/>
        </w:rPr>
      </w:pPr>
      <w:bookmarkStart w:id="53" w:name="_Toc23802033"/>
      <w:bookmarkStart w:id="54" w:name="_Toc27579788"/>
      <w:r w:rsidRPr="00B35E07">
        <w:rPr>
          <w:rFonts w:ascii="Arial" w:hAnsi="Arial" w:cs="Arial"/>
          <w:b/>
          <w:bCs/>
          <w:color w:val="auto"/>
        </w:rPr>
        <w:t>2.5.2: Inflation</w:t>
      </w:r>
      <w:bookmarkEnd w:id="53"/>
      <w:bookmarkEnd w:id="54"/>
    </w:p>
    <w:p w14:paraId="5EBBE17E"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 xml:space="preserve">Inflation is another macroeconomic factor that has been connected to the efficiency of commercial banks and it is defined by a rise in the common price levels of goods and services in a financial state up to a precise extent when a unit of currency purchases littles goods and services (Lipunga, 2014). Likewise, inflation can be defined by a rise in the amount of money in circulation. In this research, CPI will be used as the most universal measure of inflation and it is defined as a change in the price of consumer goods and services purchased by households (Jaber and Al-khawaldeh, 2014). </w:t>
      </w:r>
    </w:p>
    <w:p w14:paraId="68C68C9E" w14:textId="77777777" w:rsidR="00726370" w:rsidRPr="00B35E07" w:rsidRDefault="00726370" w:rsidP="00726370">
      <w:pPr>
        <w:pStyle w:val="Default"/>
        <w:tabs>
          <w:tab w:val="left" w:pos="908"/>
        </w:tabs>
        <w:spacing w:line="480" w:lineRule="auto"/>
        <w:jc w:val="both"/>
        <w:rPr>
          <w:rFonts w:ascii="Arial" w:hAnsi="Arial" w:cs="Arial"/>
          <w:color w:val="auto"/>
          <w:lang w:val="en-MY"/>
        </w:rPr>
      </w:pPr>
      <w:r w:rsidRPr="00B35E07">
        <w:rPr>
          <w:rFonts w:ascii="Arial" w:hAnsi="Arial" w:cs="Arial"/>
        </w:rPr>
        <w:t xml:space="preserve">A rise in consumer price index forces monetary regulators to utilize contractionary standards by raising the interest rates in order to control inflation which afterwards the borrowing cost increases and therefore resulting in non-performing loans to arise </w:t>
      </w:r>
      <w:r w:rsidRPr="00B35E07">
        <w:rPr>
          <w:rFonts w:ascii="Arial" w:hAnsi="Arial" w:cs="Arial"/>
          <w:color w:val="auto"/>
          <w:lang w:val="en-MY"/>
        </w:rPr>
        <w:t>(Uzhegova, 2015)</w:t>
      </w:r>
      <w:r w:rsidRPr="00B35E07">
        <w:rPr>
          <w:rFonts w:ascii="Arial" w:hAnsi="Arial" w:cs="Arial"/>
        </w:rPr>
        <w:t xml:space="preserve">. Circumstances by which borrowers are having difficulties in cashflow prompting in losses for the supplying commercial banks from the dissolution of agreements of bank loans in a pre-mature trend happens when an increase in the inflation rate is unanticipated (Nouaili </w:t>
      </w:r>
      <w:r w:rsidRPr="00B35E07">
        <w:rPr>
          <w:rFonts w:ascii="Arial" w:hAnsi="Arial" w:cs="Arial"/>
          <w:i/>
          <w:iCs/>
        </w:rPr>
        <w:t>et al</w:t>
      </w:r>
      <w:r w:rsidRPr="00B35E07">
        <w:rPr>
          <w:rFonts w:ascii="Arial" w:hAnsi="Arial" w:cs="Arial"/>
        </w:rPr>
        <w:t>., 2015).</w:t>
      </w:r>
    </w:p>
    <w:p w14:paraId="240D6E2E" w14:textId="77777777" w:rsidR="00726370" w:rsidRPr="00B35E07" w:rsidRDefault="00726370" w:rsidP="00726370">
      <w:pPr>
        <w:autoSpaceDE w:val="0"/>
        <w:autoSpaceDN w:val="0"/>
        <w:adjustRightInd w:val="0"/>
        <w:spacing w:after="0" w:line="480" w:lineRule="auto"/>
        <w:jc w:val="both"/>
        <w:rPr>
          <w:rFonts w:ascii="Arial" w:hAnsi="Arial" w:cs="Arial"/>
          <w:i/>
          <w:iCs/>
          <w:sz w:val="24"/>
          <w:szCs w:val="24"/>
        </w:rPr>
      </w:pPr>
      <w:r w:rsidRPr="00B35E07">
        <w:rPr>
          <w:rFonts w:ascii="Arial" w:hAnsi="Arial" w:cs="Arial"/>
          <w:i/>
          <w:iCs/>
          <w:sz w:val="24"/>
          <w:szCs w:val="24"/>
        </w:rPr>
        <w:t>H7: There is a significant and positive relationship between inflation and LLP.</w:t>
      </w:r>
    </w:p>
    <w:p w14:paraId="324899F4" w14:textId="77777777" w:rsidR="00726370" w:rsidRPr="00B35E07" w:rsidRDefault="00726370" w:rsidP="00726370">
      <w:pPr>
        <w:pStyle w:val="Heading2"/>
        <w:rPr>
          <w:rFonts w:ascii="Arial" w:hAnsi="Arial" w:cs="Arial"/>
          <w:b/>
          <w:bCs/>
          <w:color w:val="auto"/>
          <w:sz w:val="24"/>
          <w:szCs w:val="24"/>
        </w:rPr>
      </w:pPr>
      <w:bookmarkStart w:id="55" w:name="_Toc23802034"/>
      <w:bookmarkStart w:id="56" w:name="_Toc27579789"/>
      <w:r w:rsidRPr="00B35E07">
        <w:rPr>
          <w:rFonts w:ascii="Arial" w:hAnsi="Arial" w:cs="Arial"/>
          <w:b/>
          <w:bCs/>
          <w:color w:val="auto"/>
          <w:sz w:val="24"/>
          <w:szCs w:val="24"/>
        </w:rPr>
        <w:lastRenderedPageBreak/>
        <w:t>2.6: Empirical Review</w:t>
      </w:r>
      <w:bookmarkEnd w:id="55"/>
      <w:bookmarkEnd w:id="56"/>
    </w:p>
    <w:p w14:paraId="2646E4CF"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Macharia, (2016) studied how the management of loan loss provisioning was influenced by bank capital position. The motives of the research were to obtain the relationship between loan loss provisioning and capital and to show whether commercial banks in Philippines took part in income smoothing. The research utilized dynamic panel data estimation methods according to the data during the duration 2001-2009. The result shown that their existing a strong and negative relationship between loan loss provisions and capital, which is in line with the capital management hypothesis. Their existed clear proof of income smoothing via general and specific loan loss provisions.</w:t>
      </w:r>
    </w:p>
    <w:p w14:paraId="08C49166"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bCs/>
          <w:sz w:val="24"/>
          <w:szCs w:val="24"/>
        </w:rPr>
        <w:t xml:space="preserve">Luvembe </w:t>
      </w:r>
      <w:r w:rsidRPr="00B35E07">
        <w:rPr>
          <w:rFonts w:ascii="Arial" w:hAnsi="Arial" w:cs="Arial"/>
          <w:bCs/>
          <w:i/>
          <w:iCs/>
          <w:sz w:val="24"/>
          <w:szCs w:val="24"/>
        </w:rPr>
        <w:t>et al</w:t>
      </w:r>
      <w:r w:rsidRPr="00B35E07">
        <w:rPr>
          <w:rFonts w:ascii="Arial" w:hAnsi="Arial" w:cs="Arial"/>
          <w:bCs/>
          <w:sz w:val="24"/>
          <w:szCs w:val="24"/>
        </w:rPr>
        <w:t xml:space="preserve">., (2014) </w:t>
      </w:r>
      <w:r w:rsidRPr="00B35E07">
        <w:rPr>
          <w:rFonts w:ascii="Arial" w:hAnsi="Arial" w:cs="Arial"/>
          <w:sz w:val="24"/>
          <w:szCs w:val="24"/>
        </w:rPr>
        <w:t>studied the effect of loan loss provisions of the banks on the behaviour of the banks in Pakistan. The research aimed to demonstrate the impact of loan loss provision on profitability of commercial banks together identifying other factors that influenced profitability of commercial banks in Pakistan. The research utilized the annual panel data of 15 banks and it shown that loan loss provisioning had a negative significant effect on the bank’s profitability. Bank deposits and advances and bank loans were seen to play an important role in obtaining banks profitability.</w:t>
      </w:r>
    </w:p>
    <w:p w14:paraId="780AB25E" w14:textId="77777777" w:rsidR="00726370" w:rsidRPr="00B35E07" w:rsidRDefault="00726370" w:rsidP="00726370">
      <w:pPr>
        <w:pStyle w:val="Default"/>
        <w:spacing w:line="480" w:lineRule="auto"/>
        <w:ind w:firstLine="720"/>
        <w:jc w:val="both"/>
        <w:rPr>
          <w:rFonts w:ascii="Arial" w:hAnsi="Arial" w:cs="Arial"/>
          <w:iCs/>
        </w:rPr>
      </w:pPr>
      <w:r w:rsidRPr="00B35E07">
        <w:rPr>
          <w:rFonts w:ascii="Arial" w:hAnsi="Arial" w:cs="Arial"/>
          <w:iCs/>
        </w:rPr>
        <w:t xml:space="preserve">Muriithi </w:t>
      </w:r>
      <w:r w:rsidRPr="00B35E07">
        <w:rPr>
          <w:rFonts w:ascii="Arial" w:hAnsi="Arial" w:cs="Arial"/>
          <w:i/>
        </w:rPr>
        <w:t>et al</w:t>
      </w:r>
      <w:r w:rsidRPr="00B35E07">
        <w:rPr>
          <w:rFonts w:ascii="Arial" w:hAnsi="Arial" w:cs="Arial"/>
          <w:iCs/>
        </w:rPr>
        <w:t xml:space="preserve">., (2016) examined the impact of credit risk on financial performance of commercial banks. The motive of the research was to evaluate the effect of credit risk on financial performance of commercial banks in Kenya. The study utilized a descriptive research design and in Kenya the target population comprised of 43 licensed commercial banks. A census was used and covered duration from 2005 and 2014. Panel data methods of fixed effects estimation generalized method of moments (GMM) was utilized. The research </w:t>
      </w:r>
      <w:r w:rsidRPr="00B35E07">
        <w:rPr>
          <w:rFonts w:ascii="Arial" w:hAnsi="Arial" w:cs="Arial"/>
          <w:iCs/>
        </w:rPr>
        <w:lastRenderedPageBreak/>
        <w:t>shown that credit risk had a negative and significant relationship with profitability of the banks and also resulted that loan loss provision had a negative and significant impact on ROE.</w:t>
      </w:r>
    </w:p>
    <w:p w14:paraId="4D69C8D1" w14:textId="77777777" w:rsidR="00726370" w:rsidRPr="00B35E07" w:rsidRDefault="00726370" w:rsidP="00726370">
      <w:pPr>
        <w:pStyle w:val="Default"/>
        <w:spacing w:line="480" w:lineRule="auto"/>
        <w:ind w:firstLine="720"/>
        <w:jc w:val="both"/>
        <w:rPr>
          <w:rFonts w:ascii="Arial" w:hAnsi="Arial" w:cs="Arial"/>
          <w:iCs/>
          <w:color w:val="auto"/>
        </w:rPr>
      </w:pPr>
      <w:r w:rsidRPr="00B35E07">
        <w:rPr>
          <w:rFonts w:ascii="Arial" w:hAnsi="Arial" w:cs="Arial"/>
          <w:color w:val="auto"/>
        </w:rPr>
        <w:t>Research based on discretionary loan loss provisions and earnings management for the banking sector was analyzed by (</w:t>
      </w:r>
      <w:r w:rsidRPr="00B35E07">
        <w:rPr>
          <w:rFonts w:ascii="Arial" w:hAnsi="Arial" w:cs="Arial"/>
        </w:rPr>
        <w:t>Fernando and Ekanayake, 2015)</w:t>
      </w:r>
      <w:r w:rsidRPr="00B35E07">
        <w:rPr>
          <w:rFonts w:ascii="Arial" w:hAnsi="Arial" w:cs="Arial"/>
          <w:color w:val="auto"/>
        </w:rPr>
        <w:t xml:space="preserve">. The motive of the research was to find out if there existing a relationship between operating performance of banks and discretionary loan loss provisions and to elaborate whether managers of the bank utilized discretionary loan loss provisions as a measure for earnings management. Therefore, the research shown that non-performing loans, earnings prior loan loss provisions and one-year-ahead earnings, are considerably connected to discretionary loan loss provision; but </w:t>
      </w:r>
      <w:r w:rsidRPr="00B35E07">
        <w:rPr>
          <w:rFonts w:ascii="Arial" w:hAnsi="Arial" w:cs="Arial"/>
          <w:iCs/>
          <w:color w:val="auto"/>
        </w:rPr>
        <w:t xml:space="preserve">capital adequacy ratio, bad debts coverage ratio and </w:t>
      </w:r>
      <w:r w:rsidRPr="00B35E07">
        <w:rPr>
          <w:rFonts w:ascii="Arial" w:hAnsi="Arial" w:cs="Arial"/>
          <w:color w:val="auto"/>
        </w:rPr>
        <w:t xml:space="preserve">non-performing loans ratio </w:t>
      </w:r>
      <w:r w:rsidRPr="00B35E07">
        <w:rPr>
          <w:rFonts w:ascii="Arial" w:hAnsi="Arial" w:cs="Arial"/>
          <w:iCs/>
          <w:color w:val="auto"/>
        </w:rPr>
        <w:t>are not found to be considerably linked to discretionary loan loss provisions. The research shown that managers of the bank might utilized discretionary loan loss provisions to include in earnings management when the earnings before non-performing loans or loan loss provisions are at a high level.</w:t>
      </w:r>
    </w:p>
    <w:p w14:paraId="6E49DFC0" w14:textId="77777777" w:rsidR="00726370" w:rsidRPr="00B35E07" w:rsidRDefault="00726370" w:rsidP="00726370">
      <w:pPr>
        <w:pStyle w:val="Heading2"/>
        <w:rPr>
          <w:rFonts w:ascii="Arial" w:hAnsi="Arial" w:cs="Arial"/>
          <w:b/>
          <w:bCs/>
          <w:color w:val="auto"/>
          <w:sz w:val="24"/>
          <w:szCs w:val="24"/>
        </w:rPr>
      </w:pPr>
      <w:bookmarkStart w:id="57" w:name="_Toc23802035"/>
      <w:bookmarkStart w:id="58" w:name="_Toc27579790"/>
      <w:r w:rsidRPr="00B35E07">
        <w:rPr>
          <w:rFonts w:ascii="Arial" w:hAnsi="Arial" w:cs="Arial"/>
          <w:b/>
          <w:bCs/>
          <w:color w:val="auto"/>
          <w:sz w:val="24"/>
          <w:szCs w:val="24"/>
        </w:rPr>
        <w:t>2.7: Summary of Literature</w:t>
      </w:r>
      <w:bookmarkEnd w:id="57"/>
      <w:bookmarkEnd w:id="58"/>
    </w:p>
    <w:p w14:paraId="2319C32F" w14:textId="77777777" w:rsidR="00726370" w:rsidRPr="00B35E07" w:rsidRDefault="00726370" w:rsidP="00726370">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 xml:space="preserve">The empirical evidence survey proposes the usage of loan loss provision for earnings management and capital management. Macharia, (2016) described verification of income smoothing through general and specific loan loss provisions as well as foundation for the capital management hypothesis. Fernando and Ekanayake, (2015) added that managers utilize discretionary loan loss provisions to take part in earnings management, hence capital adequacy ratio is not </w:t>
      </w:r>
      <w:r w:rsidRPr="00B35E07">
        <w:rPr>
          <w:rFonts w:ascii="Arial" w:hAnsi="Arial" w:cs="Arial"/>
          <w:iCs/>
        </w:rPr>
        <w:t xml:space="preserve">considerably </w:t>
      </w:r>
      <w:r w:rsidRPr="00B35E07">
        <w:rPr>
          <w:rFonts w:ascii="Arial" w:hAnsi="Arial" w:cs="Arial"/>
          <w:sz w:val="24"/>
          <w:szCs w:val="24"/>
        </w:rPr>
        <w:t xml:space="preserve">associated to discretionary loan loss provisions. </w:t>
      </w:r>
      <w:r w:rsidRPr="00B35E07">
        <w:rPr>
          <w:rFonts w:ascii="Arial" w:hAnsi="Arial" w:cs="Arial"/>
          <w:bCs/>
          <w:sz w:val="24"/>
          <w:szCs w:val="24"/>
        </w:rPr>
        <w:t xml:space="preserve">Shahieda </w:t>
      </w:r>
      <w:r w:rsidRPr="00B35E07">
        <w:rPr>
          <w:rFonts w:ascii="Arial" w:hAnsi="Arial" w:cs="Arial"/>
          <w:bCs/>
          <w:sz w:val="24"/>
          <w:szCs w:val="24"/>
        </w:rPr>
        <w:lastRenderedPageBreak/>
        <w:t xml:space="preserve">and Hishamuddin, (2014) </w:t>
      </w:r>
      <w:r w:rsidRPr="00B35E07">
        <w:rPr>
          <w:rFonts w:ascii="Arial" w:hAnsi="Arial" w:cs="Arial"/>
          <w:sz w:val="24"/>
          <w:szCs w:val="24"/>
        </w:rPr>
        <w:t>noted that listed banks partake in more aggressively in earnings management using loan loss provisions as well as utilizing loan loss provisions for capital management.</w:t>
      </w:r>
    </w:p>
    <w:p w14:paraId="490C3847" w14:textId="054EAC86" w:rsidR="00726370" w:rsidRPr="00B35E07" w:rsidRDefault="00726370" w:rsidP="000170DB">
      <w:pPr>
        <w:autoSpaceDE w:val="0"/>
        <w:autoSpaceDN w:val="0"/>
        <w:adjustRightInd w:val="0"/>
        <w:spacing w:after="0" w:line="480" w:lineRule="auto"/>
        <w:ind w:firstLine="720"/>
        <w:jc w:val="both"/>
        <w:rPr>
          <w:rFonts w:ascii="Arial" w:hAnsi="Arial" w:cs="Arial"/>
          <w:sz w:val="24"/>
          <w:szCs w:val="24"/>
        </w:rPr>
      </w:pPr>
      <w:r w:rsidRPr="00B35E07">
        <w:rPr>
          <w:rFonts w:ascii="Arial" w:hAnsi="Arial" w:cs="Arial"/>
          <w:sz w:val="24"/>
          <w:szCs w:val="24"/>
        </w:rPr>
        <w:t>Majority of the empirical evidence in usage of loan loss provision has concentrated on capital and earnings management. In addition of this evidence it is based on banking sectors of foreign markets. Such markets reveal structural differences from the Kenyan banking sector in factors such as regulation and size. Added, the evidence of loan loss provision affects efficiency of commercial banks is limited. Therefore, due to the existing gaps in empirical evidence, led to the rise of my study.</w:t>
      </w:r>
      <w:bookmarkStart w:id="59" w:name="_Toc23802036"/>
    </w:p>
    <w:p w14:paraId="75535E9C" w14:textId="2B0FBC63" w:rsidR="00726370" w:rsidRPr="00B35E07" w:rsidRDefault="00726370" w:rsidP="00726370">
      <w:pPr>
        <w:pStyle w:val="Heading2"/>
        <w:rPr>
          <w:rFonts w:ascii="Arial" w:hAnsi="Arial" w:cs="Arial"/>
          <w:b/>
          <w:bCs/>
          <w:color w:val="auto"/>
          <w:sz w:val="24"/>
          <w:szCs w:val="24"/>
        </w:rPr>
      </w:pPr>
      <w:bookmarkStart w:id="60" w:name="_Toc27579791"/>
      <w:r w:rsidRPr="00B35E07">
        <w:rPr>
          <w:rFonts w:ascii="Arial" w:hAnsi="Arial" w:cs="Arial"/>
          <w:b/>
          <w:bCs/>
          <w:color w:val="auto"/>
          <w:sz w:val="24"/>
          <w:szCs w:val="24"/>
        </w:rPr>
        <w:t>2.8: Conceptual Framework</w:t>
      </w:r>
      <w:bookmarkEnd w:id="59"/>
      <w:bookmarkEnd w:id="60"/>
    </w:p>
    <w:p w14:paraId="1A617C89"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Conceptual framework is defined as a brief explanation of circumstances under research followed by a visual or graphical portrayal of the considerable variables of the report (Muiruri and Ngari, 2014). According to Muhmad and Hashim (2015), it is a diagrammatical representation that elaborates the relationship between independent and dependent variable. In my research work; the dependent variable is the bank failure, moderator is the Loan Loss Provision and independent variables are earnings, capital management, bank size, loan to deposit ratio, GDP and inflation as depicted in figure 1 below;</w:t>
      </w:r>
    </w:p>
    <w:p w14:paraId="28F362F8" w14:textId="77777777" w:rsidR="00726370" w:rsidRPr="00B35E07" w:rsidRDefault="00726370" w:rsidP="00726370">
      <w:pPr>
        <w:spacing w:line="480" w:lineRule="auto"/>
        <w:jc w:val="center"/>
        <w:rPr>
          <w:rFonts w:ascii="Arial" w:hAnsi="Arial" w:cs="Arial"/>
          <w:noProof/>
          <w:sz w:val="24"/>
          <w:szCs w:val="24"/>
        </w:rPr>
      </w:pPr>
      <w:r w:rsidRPr="00B35E07">
        <w:rPr>
          <w:rFonts w:ascii="Arial" w:hAnsi="Arial" w:cs="Arial"/>
          <w:noProof/>
        </w:rPr>
        <w:lastRenderedPageBreak/>
        <w:drawing>
          <wp:inline distT="0" distB="0" distL="0" distR="0" wp14:anchorId="3E6AE2D6" wp14:editId="258CF4F3">
            <wp:extent cx="5815423" cy="3440671"/>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445" t="26181" r="24244" b="18796"/>
                    <a:stretch/>
                  </pic:blipFill>
                  <pic:spPr bwMode="auto">
                    <a:xfrm>
                      <a:off x="0" y="0"/>
                      <a:ext cx="5877125" cy="3477177"/>
                    </a:xfrm>
                    <a:prstGeom prst="rect">
                      <a:avLst/>
                    </a:prstGeom>
                    <a:ln>
                      <a:noFill/>
                    </a:ln>
                    <a:extLst>
                      <a:ext uri="{53640926-AAD7-44D8-BBD7-CCE9431645EC}">
                        <a14:shadowObscured xmlns:a14="http://schemas.microsoft.com/office/drawing/2010/main"/>
                      </a:ext>
                    </a:extLst>
                  </pic:spPr>
                </pic:pic>
              </a:graphicData>
            </a:graphic>
          </wp:inline>
        </w:drawing>
      </w:r>
    </w:p>
    <w:p w14:paraId="1C289DB6" w14:textId="77777777" w:rsidR="00726370" w:rsidRPr="00B35E07" w:rsidRDefault="00726370" w:rsidP="00726370">
      <w:pPr>
        <w:pStyle w:val="Caption"/>
        <w:jc w:val="center"/>
        <w:rPr>
          <w:rFonts w:ascii="Arial" w:hAnsi="Arial" w:cs="Arial"/>
        </w:rPr>
      </w:pPr>
      <w:bookmarkStart w:id="61" w:name="_Toc23715470"/>
      <w:bookmarkStart w:id="62" w:name="_Toc27427459"/>
      <w:r w:rsidRPr="00B35E07">
        <w:rPr>
          <w:rFonts w:ascii="Arial" w:hAnsi="Arial" w:cs="Arial"/>
        </w:rPr>
        <w:t xml:space="preserve">Figure </w:t>
      </w:r>
      <w:r w:rsidRPr="00B35E07">
        <w:rPr>
          <w:rFonts w:ascii="Arial" w:hAnsi="Arial" w:cs="Arial"/>
        </w:rPr>
        <w:fldChar w:fldCharType="begin"/>
      </w:r>
      <w:r w:rsidRPr="00B35E07">
        <w:rPr>
          <w:rFonts w:ascii="Arial" w:hAnsi="Arial" w:cs="Arial"/>
        </w:rPr>
        <w:instrText xml:space="preserve"> SEQ Figure \* ARABIC </w:instrText>
      </w:r>
      <w:r w:rsidRPr="00B35E07">
        <w:rPr>
          <w:rFonts w:ascii="Arial" w:hAnsi="Arial" w:cs="Arial"/>
        </w:rPr>
        <w:fldChar w:fldCharType="separate"/>
      </w:r>
      <w:r w:rsidRPr="00B35E07">
        <w:rPr>
          <w:rFonts w:ascii="Arial" w:hAnsi="Arial" w:cs="Arial"/>
          <w:noProof/>
        </w:rPr>
        <w:t>1</w:t>
      </w:r>
      <w:r w:rsidRPr="00B35E07">
        <w:rPr>
          <w:rFonts w:ascii="Arial" w:hAnsi="Arial" w:cs="Arial"/>
          <w:noProof/>
        </w:rPr>
        <w:fldChar w:fldCharType="end"/>
      </w:r>
      <w:r w:rsidRPr="00B35E07">
        <w:rPr>
          <w:rFonts w:ascii="Arial" w:hAnsi="Arial" w:cs="Arial"/>
        </w:rPr>
        <w:t>: Conceptual Framework</w:t>
      </w:r>
      <w:bookmarkEnd w:id="61"/>
      <w:bookmarkEnd w:id="62"/>
    </w:p>
    <w:p w14:paraId="5D370BE2" w14:textId="77777777" w:rsidR="00726370" w:rsidRPr="00B35E07" w:rsidRDefault="00726370" w:rsidP="00726370">
      <w:pPr>
        <w:pStyle w:val="Heading1"/>
        <w:rPr>
          <w:rFonts w:ascii="Arial" w:hAnsi="Arial" w:cs="Arial"/>
          <w:color w:val="auto"/>
          <w:sz w:val="24"/>
          <w:szCs w:val="24"/>
        </w:rPr>
      </w:pPr>
      <w:bookmarkStart w:id="63" w:name="_Toc23802037"/>
    </w:p>
    <w:p w14:paraId="23CFC2DB" w14:textId="77777777" w:rsidR="00726370" w:rsidRPr="00B35E07" w:rsidRDefault="00726370" w:rsidP="00726370">
      <w:pPr>
        <w:rPr>
          <w:rFonts w:ascii="Arial" w:hAnsi="Arial" w:cs="Arial"/>
          <w:lang w:val="en-US"/>
        </w:rPr>
      </w:pPr>
    </w:p>
    <w:p w14:paraId="70BCB5FB" w14:textId="77777777" w:rsidR="00B82F07" w:rsidRDefault="00B82F07" w:rsidP="00726370">
      <w:pPr>
        <w:pStyle w:val="Heading1"/>
        <w:jc w:val="center"/>
        <w:rPr>
          <w:rFonts w:ascii="Arial" w:hAnsi="Arial" w:cs="Arial"/>
          <w:color w:val="auto"/>
          <w:sz w:val="24"/>
          <w:szCs w:val="24"/>
        </w:rPr>
      </w:pPr>
      <w:bookmarkStart w:id="64" w:name="_Toc27579792"/>
    </w:p>
    <w:p w14:paraId="5C2B40AA" w14:textId="77777777" w:rsidR="00B82F07" w:rsidRDefault="00B82F07" w:rsidP="00726370">
      <w:pPr>
        <w:pStyle w:val="Heading1"/>
        <w:jc w:val="center"/>
        <w:rPr>
          <w:rFonts w:ascii="Arial" w:hAnsi="Arial" w:cs="Arial"/>
          <w:color w:val="auto"/>
          <w:sz w:val="24"/>
          <w:szCs w:val="24"/>
        </w:rPr>
      </w:pPr>
    </w:p>
    <w:p w14:paraId="376E6589" w14:textId="77777777" w:rsidR="00B82F07" w:rsidRDefault="00B82F07" w:rsidP="00726370">
      <w:pPr>
        <w:pStyle w:val="Heading1"/>
        <w:jc w:val="center"/>
        <w:rPr>
          <w:rFonts w:ascii="Arial" w:hAnsi="Arial" w:cs="Arial"/>
          <w:color w:val="auto"/>
          <w:sz w:val="24"/>
          <w:szCs w:val="24"/>
        </w:rPr>
      </w:pPr>
    </w:p>
    <w:p w14:paraId="4AD1FFE4" w14:textId="77777777" w:rsidR="00B82F07" w:rsidRDefault="00B82F07" w:rsidP="00726370">
      <w:pPr>
        <w:pStyle w:val="Heading1"/>
        <w:jc w:val="center"/>
        <w:rPr>
          <w:rFonts w:ascii="Arial" w:hAnsi="Arial" w:cs="Arial"/>
          <w:color w:val="auto"/>
          <w:sz w:val="24"/>
          <w:szCs w:val="24"/>
        </w:rPr>
      </w:pPr>
    </w:p>
    <w:p w14:paraId="6742CC60" w14:textId="08A7647B" w:rsidR="00B82F07" w:rsidRDefault="00B82F07" w:rsidP="00B82F07">
      <w:pPr>
        <w:pStyle w:val="Heading1"/>
        <w:rPr>
          <w:rFonts w:ascii="Arial" w:hAnsi="Arial" w:cs="Arial"/>
          <w:color w:val="auto"/>
          <w:sz w:val="24"/>
          <w:szCs w:val="24"/>
        </w:rPr>
      </w:pPr>
    </w:p>
    <w:p w14:paraId="18C681DA" w14:textId="12704065" w:rsidR="00B82F07" w:rsidRDefault="00B82F07" w:rsidP="00B82F07">
      <w:pPr>
        <w:rPr>
          <w:lang w:val="en-US"/>
        </w:rPr>
      </w:pPr>
    </w:p>
    <w:p w14:paraId="77631F01" w14:textId="77777777" w:rsidR="00B82F07" w:rsidRPr="00B82F07" w:rsidRDefault="00B82F07" w:rsidP="00B82F07">
      <w:pPr>
        <w:rPr>
          <w:lang w:val="en-US"/>
        </w:rPr>
      </w:pPr>
    </w:p>
    <w:p w14:paraId="747318A8" w14:textId="20FEBA6E" w:rsidR="00726370" w:rsidRPr="00B35E07" w:rsidRDefault="00726370" w:rsidP="00726370">
      <w:pPr>
        <w:pStyle w:val="Heading1"/>
        <w:jc w:val="center"/>
        <w:rPr>
          <w:rFonts w:ascii="Arial" w:hAnsi="Arial" w:cs="Arial"/>
          <w:color w:val="auto"/>
          <w:sz w:val="24"/>
          <w:szCs w:val="24"/>
        </w:rPr>
      </w:pPr>
      <w:r w:rsidRPr="00B35E07">
        <w:rPr>
          <w:rFonts w:ascii="Arial" w:hAnsi="Arial" w:cs="Arial"/>
          <w:color w:val="auto"/>
          <w:sz w:val="24"/>
          <w:szCs w:val="24"/>
        </w:rPr>
        <w:lastRenderedPageBreak/>
        <w:t>CHAPTER 3: RESEARCH METHODOLOGY</w:t>
      </w:r>
      <w:bookmarkEnd w:id="63"/>
      <w:bookmarkEnd w:id="64"/>
    </w:p>
    <w:p w14:paraId="7E85E1B5" w14:textId="77777777" w:rsidR="00726370" w:rsidRPr="00B35E07" w:rsidRDefault="00726370" w:rsidP="00726370">
      <w:pPr>
        <w:pStyle w:val="Heading2"/>
        <w:rPr>
          <w:rFonts w:ascii="Arial" w:hAnsi="Arial" w:cs="Arial"/>
          <w:b/>
          <w:bCs/>
          <w:color w:val="auto"/>
          <w:sz w:val="24"/>
          <w:szCs w:val="24"/>
        </w:rPr>
      </w:pPr>
      <w:bookmarkStart w:id="65" w:name="_Toc23802038"/>
      <w:bookmarkStart w:id="66" w:name="_Toc27579793"/>
      <w:r w:rsidRPr="00B35E07">
        <w:rPr>
          <w:rFonts w:ascii="Arial" w:hAnsi="Arial" w:cs="Arial"/>
          <w:b/>
          <w:bCs/>
          <w:color w:val="auto"/>
          <w:sz w:val="24"/>
          <w:szCs w:val="24"/>
        </w:rPr>
        <w:t>3.1: Introduction</w:t>
      </w:r>
      <w:bookmarkEnd w:id="65"/>
      <w:bookmarkEnd w:id="66"/>
    </w:p>
    <w:p w14:paraId="7130E68B"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The following chapter entails the research methodology and design that will be used in the research analysis. It also entails the population from which the firms analysed were achieved added to how the data used in the research will be analysed and collected.</w:t>
      </w:r>
    </w:p>
    <w:p w14:paraId="7C096432" w14:textId="77777777" w:rsidR="00726370" w:rsidRPr="00B35E07" w:rsidRDefault="00726370" w:rsidP="00726370">
      <w:pPr>
        <w:pStyle w:val="Heading2"/>
        <w:rPr>
          <w:rFonts w:ascii="Arial" w:hAnsi="Arial" w:cs="Arial"/>
          <w:b/>
          <w:bCs/>
          <w:color w:val="auto"/>
          <w:sz w:val="24"/>
          <w:szCs w:val="24"/>
        </w:rPr>
      </w:pPr>
      <w:bookmarkStart w:id="67" w:name="_Toc23802039"/>
      <w:bookmarkStart w:id="68" w:name="_Toc27579794"/>
      <w:r w:rsidRPr="00B35E07">
        <w:rPr>
          <w:rFonts w:ascii="Arial" w:hAnsi="Arial" w:cs="Arial"/>
          <w:b/>
          <w:bCs/>
          <w:color w:val="auto"/>
          <w:sz w:val="24"/>
          <w:szCs w:val="24"/>
        </w:rPr>
        <w:t>3.2: Research Design</w:t>
      </w:r>
      <w:bookmarkEnd w:id="67"/>
      <w:bookmarkEnd w:id="68"/>
    </w:p>
    <w:p w14:paraId="0F55BC31"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This research will be expressed using a descriptive research design. Nassaji, (2015) shows that descriptive research includes fact-finding and surveys enquiries of different kinds. The main objective of descriptive research is description of the state of affairs as it prevails currently (Gall </w:t>
      </w:r>
      <w:r w:rsidRPr="00B35E07">
        <w:rPr>
          <w:rFonts w:ascii="Arial" w:hAnsi="Arial" w:cs="Arial"/>
          <w:i/>
          <w:iCs/>
          <w:sz w:val="24"/>
          <w:szCs w:val="24"/>
        </w:rPr>
        <w:t>et al</w:t>
      </w:r>
      <w:r w:rsidRPr="00B35E07">
        <w:rPr>
          <w:rFonts w:ascii="Arial" w:hAnsi="Arial" w:cs="Arial"/>
          <w:sz w:val="24"/>
          <w:szCs w:val="24"/>
        </w:rPr>
        <w:t>., 2007). A descriptive study aims on developing the motive of the study, designing types of collecting data, selecting the sample, collecting, studying the data and reporting the results (Creswell and Creswell, 2017). A descriptive design will be suitable for this study since it follows the approaches necessary for a descriptive research.</w:t>
      </w:r>
    </w:p>
    <w:p w14:paraId="6721582C" w14:textId="77777777" w:rsidR="00726370" w:rsidRPr="00B35E07" w:rsidRDefault="00726370" w:rsidP="00726370">
      <w:pPr>
        <w:pStyle w:val="Heading2"/>
        <w:rPr>
          <w:rFonts w:ascii="Arial" w:hAnsi="Arial" w:cs="Arial"/>
          <w:b/>
          <w:bCs/>
          <w:color w:val="auto"/>
          <w:sz w:val="24"/>
          <w:szCs w:val="24"/>
        </w:rPr>
      </w:pPr>
      <w:bookmarkStart w:id="69" w:name="_Toc23802040"/>
      <w:bookmarkStart w:id="70" w:name="_Toc27579795"/>
      <w:r w:rsidRPr="00B35E07">
        <w:rPr>
          <w:rFonts w:ascii="Arial" w:hAnsi="Arial" w:cs="Arial"/>
          <w:b/>
          <w:bCs/>
          <w:color w:val="auto"/>
          <w:sz w:val="24"/>
          <w:szCs w:val="24"/>
        </w:rPr>
        <w:t>3.3: Target Population of the Study</w:t>
      </w:r>
      <w:bookmarkEnd w:id="69"/>
      <w:bookmarkEnd w:id="70"/>
    </w:p>
    <w:p w14:paraId="05408EEB"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 xml:space="preserve">The target population comprised of the commercial banks listed at the Nairobi Securities Exchange between 2013 and 2017. There were 11 commercial banks that were listed at the NSE (appendix 1). The reason behind why the listed banks were chosen is due to the availability of market valuation from established and reliable published source. Due to the limited number of banks in the population, an attainable census study will be conducted. The duration period between 2013 to 2017 will be chosen for this research since it was depicted by increasing bank profitability and changes in capital regulation. Both statutory capital and performance are affected by loan loss provisions. Moreover, it is </w:t>
      </w:r>
      <w:r w:rsidRPr="00B35E07">
        <w:rPr>
          <w:rFonts w:ascii="Arial" w:hAnsi="Arial" w:cs="Arial"/>
          <w:sz w:val="24"/>
          <w:szCs w:val="24"/>
        </w:rPr>
        <w:lastRenderedPageBreak/>
        <w:t>anticipated that the 5-year period chosen will provide adequate data for reliable inferences to be drawn.</w:t>
      </w:r>
    </w:p>
    <w:p w14:paraId="18B77550" w14:textId="77777777" w:rsidR="00726370" w:rsidRPr="00B35E07" w:rsidRDefault="00726370" w:rsidP="00726370">
      <w:pPr>
        <w:pStyle w:val="Heading2"/>
        <w:rPr>
          <w:rFonts w:ascii="Arial" w:hAnsi="Arial" w:cs="Arial"/>
          <w:b/>
          <w:bCs/>
          <w:color w:val="auto"/>
          <w:sz w:val="24"/>
          <w:szCs w:val="24"/>
        </w:rPr>
      </w:pPr>
      <w:bookmarkStart w:id="71" w:name="_Toc23802041"/>
      <w:bookmarkStart w:id="72" w:name="_Toc27579796"/>
      <w:r w:rsidRPr="00B35E07">
        <w:rPr>
          <w:rFonts w:ascii="Arial" w:hAnsi="Arial" w:cs="Arial"/>
          <w:b/>
          <w:bCs/>
          <w:color w:val="auto"/>
          <w:sz w:val="24"/>
          <w:szCs w:val="24"/>
        </w:rPr>
        <w:t>3.4: Data Collection</w:t>
      </w:r>
      <w:bookmarkEnd w:id="71"/>
      <w:bookmarkEnd w:id="72"/>
    </w:p>
    <w:p w14:paraId="511C2A6B"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The research work will make use of secondary data. Stock valuation published by the NSE will be used as well as the financial statements for commercial banks filled with the NSE and published on the respective bank website. For each commercial bank loan loss provision, operating expenses, net interest income, non-interest income, customers deposit, natural logarithm of total assets, total loans/finances and Tier 1(shareholders equity capital), Tier 2(bank’s loan loss reserves), risk weighted asset, inflation and the GDP will be recorded.</w:t>
      </w:r>
    </w:p>
    <w:p w14:paraId="40943917" w14:textId="77777777" w:rsidR="00726370" w:rsidRPr="00B35E07" w:rsidRDefault="00726370" w:rsidP="00726370">
      <w:pPr>
        <w:spacing w:line="480" w:lineRule="auto"/>
        <w:ind w:firstLine="720"/>
        <w:jc w:val="both"/>
        <w:rPr>
          <w:rFonts w:ascii="Arial" w:hAnsi="Arial" w:cs="Arial"/>
          <w:sz w:val="24"/>
          <w:szCs w:val="24"/>
        </w:rPr>
      </w:pPr>
      <w:r w:rsidRPr="00B35E07">
        <w:rPr>
          <w:rFonts w:ascii="Arial" w:hAnsi="Arial" w:cs="Arial"/>
          <w:sz w:val="24"/>
          <w:szCs w:val="24"/>
        </w:rPr>
        <w:t>Inferential and descriptive statistics will go along with to present findings into percentages and frequencies and the information will be examined using EViews9 then demonstrated into charts, table and graphs to enable it more realistic and logical. Sarstedt and Mooi, (2014) argues that linear and non-Linear regression analysis method is applied to clarify the interpretations of utilizing simply an independent variable and one dependent variable for a comparability chart. Multiple Linear Regression analysis will be utilized in the analysis such that multiple independent variables will be used to anticipate the value of a dependent variable (</w:t>
      </w:r>
      <w:r w:rsidRPr="00B35E07">
        <w:rPr>
          <w:rFonts w:ascii="Arial" w:hAnsi="Arial" w:cs="Arial"/>
          <w:noProof/>
          <w:sz w:val="24"/>
          <w:szCs w:val="24"/>
        </w:rPr>
        <w:t>Sekaran and Bougie, 2016)</w:t>
      </w:r>
      <w:r w:rsidRPr="00B35E07">
        <w:rPr>
          <w:rFonts w:ascii="Arial" w:hAnsi="Arial" w:cs="Arial"/>
          <w:sz w:val="24"/>
          <w:szCs w:val="24"/>
        </w:rPr>
        <w:t>. Pearson’s correlation will also be used accordingly to establish the relationship between the dependent and independent variables as long as the p-value is less than 0.05 (Sekaran and Bougie, 2016).</w:t>
      </w:r>
    </w:p>
    <w:p w14:paraId="115F089E" w14:textId="77777777" w:rsidR="00726370" w:rsidRPr="00B35E07" w:rsidRDefault="00726370" w:rsidP="00726370">
      <w:pPr>
        <w:spacing w:line="480" w:lineRule="auto"/>
        <w:jc w:val="both"/>
        <w:rPr>
          <w:rFonts w:ascii="Arial" w:hAnsi="Arial" w:cs="Arial"/>
          <w:noProof/>
          <w:sz w:val="24"/>
          <w:szCs w:val="24"/>
        </w:rPr>
      </w:pPr>
    </w:p>
    <w:p w14:paraId="05DA4009" w14:textId="77777777" w:rsidR="00726370" w:rsidRPr="00B35E07" w:rsidRDefault="00726370" w:rsidP="00726370">
      <w:pPr>
        <w:spacing w:line="480" w:lineRule="auto"/>
        <w:jc w:val="both"/>
        <w:rPr>
          <w:rFonts w:ascii="Arial" w:hAnsi="Arial" w:cs="Arial"/>
          <w:b/>
          <w:bCs/>
          <w:sz w:val="24"/>
          <w:szCs w:val="24"/>
        </w:rPr>
      </w:pPr>
    </w:p>
    <w:p w14:paraId="20D75A4F" w14:textId="77777777" w:rsidR="00726370" w:rsidRPr="00B35E07" w:rsidRDefault="00726370" w:rsidP="00726370">
      <w:pPr>
        <w:spacing w:line="480" w:lineRule="auto"/>
        <w:jc w:val="both"/>
        <w:rPr>
          <w:rFonts w:ascii="Arial" w:hAnsi="Arial" w:cs="Arial"/>
          <w:b/>
          <w:bCs/>
          <w:sz w:val="24"/>
          <w:szCs w:val="24"/>
        </w:rPr>
      </w:pPr>
    </w:p>
    <w:p w14:paraId="00B055A8" w14:textId="77777777" w:rsidR="00726370" w:rsidRPr="00B35E07" w:rsidRDefault="00726370" w:rsidP="00726370">
      <w:pPr>
        <w:spacing w:line="480" w:lineRule="auto"/>
        <w:jc w:val="both"/>
        <w:rPr>
          <w:rFonts w:ascii="Arial" w:hAnsi="Arial" w:cs="Arial"/>
          <w:b/>
          <w:bCs/>
          <w:sz w:val="24"/>
          <w:szCs w:val="24"/>
        </w:rPr>
      </w:pPr>
    </w:p>
    <w:p w14:paraId="685675BD" w14:textId="77777777" w:rsidR="00726370" w:rsidRPr="00B35E07" w:rsidRDefault="00726370" w:rsidP="00726370">
      <w:pPr>
        <w:spacing w:line="480" w:lineRule="auto"/>
        <w:jc w:val="both"/>
        <w:rPr>
          <w:rFonts w:ascii="Arial" w:hAnsi="Arial" w:cs="Arial"/>
          <w:b/>
          <w:bCs/>
          <w:sz w:val="24"/>
          <w:szCs w:val="24"/>
        </w:rPr>
      </w:pPr>
    </w:p>
    <w:p w14:paraId="57EFD403" w14:textId="77777777" w:rsidR="00726370" w:rsidRPr="00B35E07" w:rsidRDefault="00726370" w:rsidP="00726370">
      <w:pPr>
        <w:pStyle w:val="Heading1"/>
        <w:jc w:val="center"/>
        <w:rPr>
          <w:rFonts w:ascii="Arial" w:hAnsi="Arial" w:cs="Arial"/>
          <w:color w:val="auto"/>
          <w:sz w:val="24"/>
          <w:szCs w:val="24"/>
        </w:rPr>
      </w:pPr>
      <w:bookmarkStart w:id="73" w:name="_Toc27579797"/>
      <w:r w:rsidRPr="00B35E07">
        <w:rPr>
          <w:rFonts w:ascii="Arial" w:hAnsi="Arial" w:cs="Arial"/>
          <w:color w:val="auto"/>
          <w:sz w:val="24"/>
          <w:szCs w:val="24"/>
        </w:rPr>
        <w:t>CHAPTER 4: Research Findings and Discussion</w:t>
      </w:r>
      <w:bookmarkEnd w:id="73"/>
    </w:p>
    <w:p w14:paraId="26A556B3" w14:textId="77777777" w:rsidR="00726370" w:rsidRPr="00B35E07" w:rsidRDefault="00726370" w:rsidP="00726370">
      <w:pPr>
        <w:pStyle w:val="Heading2"/>
        <w:rPr>
          <w:rFonts w:ascii="Arial" w:hAnsi="Arial" w:cs="Arial"/>
          <w:b/>
          <w:bCs/>
          <w:color w:val="auto"/>
          <w:sz w:val="24"/>
          <w:szCs w:val="24"/>
        </w:rPr>
      </w:pPr>
      <w:bookmarkStart w:id="74" w:name="_Toc27579798"/>
      <w:r w:rsidRPr="00B35E07">
        <w:rPr>
          <w:rFonts w:ascii="Arial" w:hAnsi="Arial" w:cs="Arial"/>
          <w:b/>
          <w:bCs/>
          <w:color w:val="auto"/>
          <w:sz w:val="24"/>
          <w:szCs w:val="24"/>
        </w:rPr>
        <w:t>4.0: Introduction</w:t>
      </w:r>
      <w:bookmarkEnd w:id="74"/>
      <w:r w:rsidRPr="00B35E07">
        <w:rPr>
          <w:rFonts w:ascii="Arial" w:hAnsi="Arial" w:cs="Arial"/>
          <w:b/>
          <w:bCs/>
          <w:color w:val="auto"/>
          <w:sz w:val="24"/>
          <w:szCs w:val="24"/>
        </w:rPr>
        <w:t xml:space="preserve">  </w:t>
      </w:r>
    </w:p>
    <w:p w14:paraId="2FFBE22D"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This chapter below elaborates an analysis, interpretation and explanation of the findings on the factors affecting bank failure of commercial banks listed on the NSE on bank failure through Loan Loss Provision using secondary data. It clearly illustrates the descriptive analysis and inferential statistics; Ordinary Least Square Regression, Hierarchical Regression Analysis followed by Pearson Correlation Analysis. The research was analysed using Eviews9 Statistical Software and DEAP Software.</w:t>
      </w:r>
    </w:p>
    <w:p w14:paraId="6D20A752" w14:textId="77777777" w:rsidR="00726370" w:rsidRPr="00B35E07" w:rsidRDefault="00726370" w:rsidP="00726370">
      <w:pPr>
        <w:pStyle w:val="Heading2"/>
        <w:rPr>
          <w:rFonts w:ascii="Arial" w:hAnsi="Arial" w:cs="Arial"/>
          <w:b/>
          <w:bCs/>
          <w:color w:val="auto"/>
          <w:sz w:val="24"/>
          <w:szCs w:val="24"/>
        </w:rPr>
      </w:pPr>
      <w:bookmarkStart w:id="75" w:name="_Toc27579799"/>
      <w:r w:rsidRPr="00B35E07">
        <w:rPr>
          <w:rFonts w:ascii="Arial" w:hAnsi="Arial" w:cs="Arial"/>
          <w:b/>
          <w:bCs/>
          <w:color w:val="auto"/>
          <w:sz w:val="24"/>
          <w:szCs w:val="24"/>
        </w:rPr>
        <w:t>4.1: Data Envelopment Analysis</w:t>
      </w:r>
      <w:bookmarkEnd w:id="75"/>
    </w:p>
    <w:p w14:paraId="18BFDFDD" w14:textId="77777777" w:rsidR="00726370" w:rsidRPr="00B35E07" w:rsidRDefault="00726370" w:rsidP="00726370">
      <w:pPr>
        <w:pStyle w:val="Caption"/>
        <w:rPr>
          <w:rFonts w:ascii="Arial" w:hAnsi="Arial" w:cs="Arial"/>
        </w:rPr>
      </w:pPr>
      <w:bookmarkStart w:id="76" w:name="_Toc27427408"/>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w:t>
      </w:r>
      <w:r w:rsidRPr="00B35E07">
        <w:rPr>
          <w:rFonts w:ascii="Arial" w:hAnsi="Arial" w:cs="Arial"/>
          <w:noProof/>
        </w:rPr>
        <w:fldChar w:fldCharType="end"/>
      </w:r>
      <w:r w:rsidRPr="00B35E07">
        <w:rPr>
          <w:rFonts w:ascii="Arial" w:hAnsi="Arial" w:cs="Arial"/>
        </w:rPr>
        <w:t>: Efficiency Summary</w:t>
      </w:r>
      <w:bookmarkEnd w:id="76"/>
    </w:p>
    <w:p w14:paraId="13FBEA7E"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2B9DD383" wp14:editId="60C81C22">
            <wp:extent cx="3054350" cy="3139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4350" cy="3139440"/>
                    </a:xfrm>
                    <a:prstGeom prst="rect">
                      <a:avLst/>
                    </a:prstGeom>
                    <a:noFill/>
                  </pic:spPr>
                </pic:pic>
              </a:graphicData>
            </a:graphic>
          </wp:inline>
        </w:drawing>
      </w:r>
    </w:p>
    <w:p w14:paraId="425FA902" w14:textId="77777777" w:rsidR="00726370" w:rsidRPr="00B35E07" w:rsidRDefault="00726370" w:rsidP="00726370">
      <w:pPr>
        <w:keepNext/>
        <w:spacing w:after="0" w:line="360" w:lineRule="auto"/>
        <w:jc w:val="center"/>
        <w:rPr>
          <w:rFonts w:ascii="Arial" w:hAnsi="Arial" w:cs="Arial"/>
        </w:rPr>
      </w:pPr>
    </w:p>
    <w:p w14:paraId="6AE38545"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table</w:t>
      </w:r>
      <w:r w:rsidRPr="00B35E07">
        <w:rPr>
          <w:rFonts w:ascii="Arial" w:hAnsi="Arial" w:cs="Arial"/>
          <w:color w:val="FFFFFF" w:themeColor="background1"/>
          <w:sz w:val="10"/>
          <w:szCs w:val="24"/>
        </w:rPr>
        <w:t xml:space="preserve"> i</w:t>
      </w:r>
      <w:r w:rsidRPr="00B35E07">
        <w:rPr>
          <w:rFonts w:ascii="Arial" w:hAnsi="Arial" w:cs="Arial"/>
          <w:sz w:val="24"/>
          <w:szCs w:val="24"/>
        </w:rPr>
        <w:t>above</w:t>
      </w:r>
      <w:r w:rsidRPr="00B35E07">
        <w:rPr>
          <w:rFonts w:ascii="Arial" w:hAnsi="Arial" w:cs="Arial"/>
          <w:color w:val="FFFFFF" w:themeColor="background1"/>
          <w:sz w:val="10"/>
          <w:szCs w:val="24"/>
        </w:rPr>
        <w:t xml:space="preserve"> i</w:t>
      </w:r>
      <w:r w:rsidRPr="00B35E07">
        <w:rPr>
          <w:rFonts w:ascii="Arial" w:hAnsi="Arial" w:cs="Arial"/>
          <w:sz w:val="24"/>
          <w:szCs w:val="24"/>
        </w:rPr>
        <w:t>is</w:t>
      </w:r>
      <w:r w:rsidRPr="00B35E07">
        <w:rPr>
          <w:rFonts w:ascii="Arial" w:hAnsi="Arial" w:cs="Arial"/>
          <w:color w:val="FFFFFF" w:themeColor="background1"/>
          <w:sz w:val="10"/>
          <w:szCs w:val="24"/>
        </w:rPr>
        <w:t xml:space="preserve"> i</w:t>
      </w:r>
      <w:r w:rsidRPr="00B35E07">
        <w:rPr>
          <w:rFonts w:ascii="Arial" w:hAnsi="Arial" w:cs="Arial"/>
          <w:sz w:val="24"/>
          <w:szCs w:val="24"/>
        </w:rPr>
        <w:t>an</w:t>
      </w:r>
      <w:r w:rsidRPr="00B35E07">
        <w:rPr>
          <w:rFonts w:ascii="Arial" w:hAnsi="Arial" w:cs="Arial"/>
          <w:color w:val="FFFFFF" w:themeColor="background1"/>
          <w:sz w:val="10"/>
          <w:szCs w:val="24"/>
        </w:rPr>
        <w:t xml:space="preserve"> i</w:t>
      </w:r>
      <w:r w:rsidRPr="00B35E07">
        <w:rPr>
          <w:rFonts w:ascii="Arial" w:hAnsi="Arial" w:cs="Arial"/>
          <w:sz w:val="24"/>
          <w:szCs w:val="24"/>
        </w:rPr>
        <w:t>extract</w:t>
      </w:r>
      <w:r w:rsidRPr="00B35E07">
        <w:rPr>
          <w:rFonts w:ascii="Arial" w:hAnsi="Arial" w:cs="Arial"/>
          <w:color w:val="FFFFFF" w:themeColor="background1"/>
          <w:sz w:val="10"/>
          <w:szCs w:val="24"/>
        </w:rPr>
        <w:t xml:space="preserve"> i</w:t>
      </w:r>
      <w:r w:rsidRPr="00B35E07">
        <w:rPr>
          <w:rFonts w:ascii="Arial" w:hAnsi="Arial" w:cs="Arial"/>
          <w:sz w:val="24"/>
          <w:szCs w:val="24"/>
        </w:rPr>
        <w:t>from</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DEAP</w:t>
      </w:r>
      <w:r w:rsidRPr="00B35E07">
        <w:rPr>
          <w:rFonts w:ascii="Arial" w:hAnsi="Arial" w:cs="Arial"/>
          <w:color w:val="FFFFFF" w:themeColor="background1"/>
          <w:sz w:val="10"/>
          <w:szCs w:val="24"/>
        </w:rPr>
        <w:t xml:space="preserve"> i</w:t>
      </w:r>
      <w:r w:rsidRPr="00B35E07">
        <w:rPr>
          <w:rFonts w:ascii="Arial" w:hAnsi="Arial" w:cs="Arial"/>
          <w:sz w:val="24"/>
          <w:szCs w:val="24"/>
        </w:rPr>
        <w:t>software</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results</w:t>
      </w:r>
      <w:r w:rsidRPr="00B35E07">
        <w:rPr>
          <w:rFonts w:ascii="Arial" w:hAnsi="Arial" w:cs="Arial"/>
          <w:color w:val="FFFFFF" w:themeColor="background1"/>
          <w:sz w:val="10"/>
          <w:szCs w:val="24"/>
        </w:rPr>
        <w:t xml:space="preserve"> i</w:t>
      </w:r>
      <w:r w:rsidRPr="00B35E07">
        <w:rPr>
          <w:rFonts w:ascii="Arial" w:hAnsi="Arial" w:cs="Arial"/>
          <w:sz w:val="24"/>
          <w:szCs w:val="24"/>
        </w:rPr>
        <w:t>file</w:t>
      </w:r>
      <w:r w:rsidRPr="00B35E07">
        <w:rPr>
          <w:rFonts w:ascii="Arial" w:hAnsi="Arial" w:cs="Arial"/>
          <w:color w:val="FFFFFF" w:themeColor="background1"/>
          <w:sz w:val="10"/>
          <w:szCs w:val="24"/>
        </w:rPr>
        <w:t xml:space="preserve"> i</w:t>
      </w:r>
      <w:r w:rsidRPr="00B35E07">
        <w:rPr>
          <w:rFonts w:ascii="Arial" w:hAnsi="Arial" w:cs="Arial"/>
          <w:sz w:val="24"/>
          <w:szCs w:val="24"/>
        </w:rPr>
        <w:t>and</w:t>
      </w:r>
      <w:r w:rsidRPr="00B35E07">
        <w:rPr>
          <w:rFonts w:ascii="Arial" w:hAnsi="Arial" w:cs="Arial"/>
          <w:color w:val="FFFFFF" w:themeColor="background1"/>
          <w:sz w:val="10"/>
          <w:szCs w:val="24"/>
        </w:rPr>
        <w:t xml:space="preserve"> i</w:t>
      </w:r>
      <w:r w:rsidRPr="00B35E07">
        <w:rPr>
          <w:rFonts w:ascii="Arial" w:hAnsi="Arial" w:cs="Arial"/>
          <w:sz w:val="24"/>
          <w:szCs w:val="24"/>
        </w:rPr>
        <w:t>illustrates</w:t>
      </w:r>
      <w:r w:rsidRPr="00B35E07">
        <w:rPr>
          <w:rFonts w:ascii="Arial" w:hAnsi="Arial" w:cs="Arial"/>
          <w:color w:val="FFFFFF" w:themeColor="background1"/>
          <w:sz w:val="10"/>
          <w:szCs w:val="24"/>
        </w:rPr>
        <w:t xml:space="preserve"> i</w:t>
      </w:r>
      <w:r w:rsidRPr="00B35E07">
        <w:rPr>
          <w:rFonts w:ascii="Arial" w:hAnsi="Arial" w:cs="Arial"/>
          <w:sz w:val="24"/>
          <w:szCs w:val="24"/>
        </w:rPr>
        <w:t>an</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summary.</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first</w:t>
      </w:r>
      <w:r w:rsidRPr="00B35E07">
        <w:rPr>
          <w:rFonts w:ascii="Arial" w:hAnsi="Arial" w:cs="Arial"/>
          <w:color w:val="FFFFFF" w:themeColor="background1"/>
          <w:sz w:val="10"/>
          <w:szCs w:val="24"/>
        </w:rPr>
        <w:t xml:space="preserve"> i</w:t>
      </w:r>
      <w:r w:rsidRPr="00B35E07">
        <w:rPr>
          <w:rFonts w:ascii="Arial" w:hAnsi="Arial" w:cs="Arial"/>
          <w:sz w:val="24"/>
          <w:szCs w:val="24"/>
        </w:rPr>
        <w:t>column</w:t>
      </w:r>
      <w:r w:rsidRPr="00B35E07">
        <w:rPr>
          <w:rFonts w:ascii="Arial" w:hAnsi="Arial" w:cs="Arial"/>
          <w:color w:val="FFFFFF" w:themeColor="background1"/>
          <w:sz w:val="10"/>
          <w:szCs w:val="24"/>
        </w:rPr>
        <w:t xml:space="preserve"> i</w:t>
      </w:r>
      <w:r w:rsidRPr="00B35E07">
        <w:rPr>
          <w:rFonts w:ascii="Arial" w:hAnsi="Arial" w:cs="Arial"/>
          <w:sz w:val="24"/>
          <w:szCs w:val="24"/>
        </w:rPr>
        <w:t>consists</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11</w:t>
      </w:r>
      <w:r w:rsidRPr="00B35E07">
        <w:rPr>
          <w:rFonts w:ascii="Arial" w:hAnsi="Arial" w:cs="Arial"/>
          <w:color w:val="FFFFFF" w:themeColor="background1"/>
          <w:sz w:val="10"/>
          <w:szCs w:val="24"/>
        </w:rPr>
        <w:t xml:space="preserve"> i</w:t>
      </w:r>
      <w:r w:rsidRPr="00B35E07">
        <w:rPr>
          <w:rFonts w:ascii="Arial" w:hAnsi="Arial" w:cs="Arial"/>
          <w:sz w:val="24"/>
          <w:szCs w:val="24"/>
        </w:rPr>
        <w:t>commercial</w:t>
      </w:r>
      <w:r w:rsidRPr="00B35E07">
        <w:rPr>
          <w:rFonts w:ascii="Arial" w:hAnsi="Arial" w:cs="Arial"/>
          <w:color w:val="FFFFFF" w:themeColor="background1"/>
          <w:sz w:val="10"/>
          <w:szCs w:val="24"/>
        </w:rPr>
        <w:t xml:space="preserve"> i</w:t>
      </w:r>
      <w:r w:rsidRPr="00B35E07">
        <w:rPr>
          <w:rFonts w:ascii="Arial" w:hAnsi="Arial" w:cs="Arial"/>
          <w:sz w:val="24"/>
          <w:szCs w:val="24"/>
        </w:rPr>
        <w:t>banks</w:t>
      </w:r>
      <w:r w:rsidRPr="00B35E07">
        <w:rPr>
          <w:rFonts w:ascii="Arial" w:hAnsi="Arial" w:cs="Arial"/>
          <w:color w:val="FFFFFF" w:themeColor="background1"/>
          <w:sz w:val="10"/>
          <w:szCs w:val="24"/>
        </w:rPr>
        <w:t xml:space="preserve"> i</w:t>
      </w:r>
      <w:r w:rsidRPr="00B35E07">
        <w:rPr>
          <w:rFonts w:ascii="Arial" w:hAnsi="Arial" w:cs="Arial"/>
          <w:sz w:val="24"/>
          <w:szCs w:val="24"/>
        </w:rPr>
        <w:t>(listed</w:t>
      </w:r>
      <w:r w:rsidRPr="00B35E07">
        <w:rPr>
          <w:rFonts w:ascii="Arial" w:hAnsi="Arial" w:cs="Arial"/>
          <w:color w:val="FFFFFF" w:themeColor="background1"/>
          <w:sz w:val="10"/>
          <w:szCs w:val="24"/>
        </w:rPr>
        <w:t xml:space="preserve"> i</w:t>
      </w:r>
      <w:r w:rsidRPr="00B35E07">
        <w:rPr>
          <w:rFonts w:ascii="Arial" w:hAnsi="Arial" w:cs="Arial"/>
          <w:sz w:val="24"/>
          <w:szCs w:val="24"/>
        </w:rPr>
        <w:t>1</w:t>
      </w:r>
      <w:r w:rsidRPr="00B35E07">
        <w:rPr>
          <w:rFonts w:ascii="Arial" w:hAnsi="Arial" w:cs="Arial"/>
          <w:color w:val="FFFFFF" w:themeColor="background1"/>
          <w:sz w:val="10"/>
          <w:szCs w:val="24"/>
        </w:rPr>
        <w:t xml:space="preserve"> i</w:t>
      </w:r>
      <w:r w:rsidRPr="00B35E07">
        <w:rPr>
          <w:rFonts w:ascii="Arial" w:hAnsi="Arial" w:cs="Arial"/>
          <w:sz w:val="24"/>
          <w:szCs w:val="24"/>
        </w:rPr>
        <w:t>to</w:t>
      </w:r>
      <w:r w:rsidRPr="00B35E07">
        <w:rPr>
          <w:rFonts w:ascii="Arial" w:hAnsi="Arial" w:cs="Arial"/>
          <w:color w:val="FFFFFF" w:themeColor="background1"/>
          <w:sz w:val="10"/>
          <w:szCs w:val="24"/>
        </w:rPr>
        <w:t xml:space="preserve"> i</w:t>
      </w:r>
      <w:r w:rsidRPr="00B35E07">
        <w:rPr>
          <w:rFonts w:ascii="Arial" w:hAnsi="Arial" w:cs="Arial"/>
          <w:sz w:val="24"/>
          <w:szCs w:val="24"/>
        </w:rPr>
        <w:t>11).</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second</w:t>
      </w:r>
      <w:r w:rsidRPr="00B35E07">
        <w:rPr>
          <w:rFonts w:ascii="Arial" w:hAnsi="Arial" w:cs="Arial"/>
          <w:color w:val="FFFFFF" w:themeColor="background1"/>
          <w:sz w:val="10"/>
          <w:szCs w:val="24"/>
        </w:rPr>
        <w:t xml:space="preserve"> i</w:t>
      </w:r>
      <w:r w:rsidRPr="00B35E07">
        <w:rPr>
          <w:rFonts w:ascii="Arial" w:hAnsi="Arial" w:cs="Arial"/>
          <w:sz w:val="24"/>
          <w:szCs w:val="24"/>
        </w:rPr>
        <w:t>column</w:t>
      </w:r>
      <w:r w:rsidRPr="00B35E07">
        <w:rPr>
          <w:rFonts w:ascii="Arial" w:hAnsi="Arial" w:cs="Arial"/>
          <w:color w:val="FFFFFF" w:themeColor="background1"/>
          <w:sz w:val="10"/>
          <w:szCs w:val="24"/>
        </w:rPr>
        <w:t xml:space="preserve"> i</w:t>
      </w:r>
      <w:r w:rsidRPr="00B35E07">
        <w:rPr>
          <w:rFonts w:ascii="Arial" w:hAnsi="Arial" w:cs="Arial"/>
          <w:sz w:val="24"/>
          <w:szCs w:val="24"/>
        </w:rPr>
        <w:t>is</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constant</w:t>
      </w:r>
      <w:r w:rsidRPr="00B35E07">
        <w:rPr>
          <w:rFonts w:ascii="Arial" w:hAnsi="Arial" w:cs="Arial"/>
          <w:color w:val="FFFFFF" w:themeColor="background1"/>
          <w:sz w:val="10"/>
          <w:szCs w:val="24"/>
        </w:rPr>
        <w:t xml:space="preserve"> i</w:t>
      </w:r>
      <w:r w:rsidRPr="00B35E07">
        <w:rPr>
          <w:rFonts w:ascii="Arial" w:hAnsi="Arial" w:cs="Arial"/>
          <w:sz w:val="24"/>
          <w:szCs w:val="24"/>
        </w:rPr>
        <w:t>returns</w:t>
      </w:r>
      <w:r w:rsidRPr="00B35E07">
        <w:rPr>
          <w:rFonts w:ascii="Arial" w:hAnsi="Arial" w:cs="Arial"/>
          <w:color w:val="FFFFFF" w:themeColor="background1"/>
          <w:sz w:val="10"/>
          <w:szCs w:val="24"/>
        </w:rPr>
        <w:t xml:space="preserve"> i</w:t>
      </w:r>
      <w:r w:rsidRPr="00B35E07">
        <w:rPr>
          <w:rFonts w:ascii="Arial" w:hAnsi="Arial" w:cs="Arial"/>
          <w:sz w:val="24"/>
          <w:szCs w:val="24"/>
        </w:rPr>
        <w:t>to</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technical</w:t>
      </w:r>
      <w:r w:rsidRPr="00B35E07">
        <w:rPr>
          <w:rFonts w:ascii="Arial" w:hAnsi="Arial" w:cs="Arial"/>
          <w:color w:val="FFFFFF" w:themeColor="background1"/>
          <w:sz w:val="10"/>
          <w:szCs w:val="24"/>
        </w:rPr>
        <w:t xml:space="preserve"> </w:t>
      </w:r>
      <w:r w:rsidRPr="00B35E07">
        <w:rPr>
          <w:rFonts w:ascii="Arial" w:hAnsi="Arial" w:cs="Arial"/>
          <w:color w:val="FFFFFF" w:themeColor="background1"/>
          <w:sz w:val="10"/>
          <w:szCs w:val="24"/>
        </w:rPr>
        <w:lastRenderedPageBreak/>
        <w:t>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CRSTE;</w:t>
      </w:r>
      <w:r w:rsidRPr="00B35E07">
        <w:rPr>
          <w:rFonts w:ascii="Arial" w:hAnsi="Arial" w:cs="Arial"/>
          <w:color w:val="FFFFFF" w:themeColor="background1"/>
          <w:sz w:val="10"/>
          <w:szCs w:val="24"/>
        </w:rPr>
        <w:t xml:space="preserve"> i</w:t>
      </w:r>
      <w:r w:rsidRPr="00B35E07">
        <w:rPr>
          <w:rFonts w:ascii="Arial" w:hAnsi="Arial" w:cs="Arial"/>
          <w:sz w:val="24"/>
          <w:szCs w:val="24"/>
        </w:rPr>
        <w:t>this ‘total’ efficiency score</w:t>
      </w:r>
      <w:r w:rsidRPr="00B35E07">
        <w:rPr>
          <w:rFonts w:ascii="Arial" w:hAnsi="Arial" w:cs="Arial"/>
          <w:color w:val="FFFFFF" w:themeColor="background1"/>
          <w:sz w:val="10"/>
          <w:szCs w:val="24"/>
        </w:rPr>
        <w:t xml:space="preserve"> i</w:t>
      </w:r>
      <w:r w:rsidRPr="00B35E07">
        <w:rPr>
          <w:rFonts w:ascii="Arial" w:hAnsi="Arial" w:cs="Arial"/>
          <w:sz w:val="24"/>
          <w:szCs w:val="24"/>
        </w:rPr>
        <w:t>is</w:t>
      </w:r>
      <w:r w:rsidRPr="00B35E07">
        <w:rPr>
          <w:rFonts w:ascii="Arial" w:hAnsi="Arial" w:cs="Arial"/>
          <w:color w:val="FFFFFF" w:themeColor="background1"/>
          <w:sz w:val="10"/>
          <w:szCs w:val="24"/>
        </w:rPr>
        <w:t xml:space="preserve"> i</w:t>
      </w:r>
      <w:r w:rsidRPr="00B35E07">
        <w:rPr>
          <w:rFonts w:ascii="Arial" w:hAnsi="Arial" w:cs="Arial"/>
          <w:sz w:val="24"/>
          <w:szCs w:val="24"/>
        </w:rPr>
        <w:t>decomposed</w:t>
      </w:r>
      <w:r w:rsidRPr="00B35E07">
        <w:rPr>
          <w:rFonts w:ascii="Arial" w:hAnsi="Arial" w:cs="Arial"/>
          <w:color w:val="FFFFFF" w:themeColor="background1"/>
          <w:sz w:val="10"/>
          <w:szCs w:val="24"/>
        </w:rPr>
        <w:t xml:space="preserve"> i</w:t>
      </w:r>
      <w:r w:rsidRPr="00B35E07">
        <w:rPr>
          <w:rFonts w:ascii="Arial" w:hAnsi="Arial" w:cs="Arial"/>
          <w:sz w:val="24"/>
          <w:szCs w:val="24"/>
        </w:rPr>
        <w:t>into</w:t>
      </w:r>
      <w:r w:rsidRPr="00B35E07">
        <w:rPr>
          <w:rFonts w:ascii="Arial" w:hAnsi="Arial" w:cs="Arial"/>
          <w:color w:val="FFFFFF" w:themeColor="background1"/>
          <w:sz w:val="10"/>
          <w:szCs w:val="24"/>
        </w:rPr>
        <w:t xml:space="preserve"> i</w:t>
      </w:r>
      <w:r w:rsidRPr="00B35E07">
        <w:rPr>
          <w:rFonts w:ascii="Arial" w:hAnsi="Arial" w:cs="Arial"/>
          <w:sz w:val="24"/>
          <w:szCs w:val="24"/>
        </w:rPr>
        <w:t>a</w:t>
      </w:r>
      <w:r w:rsidRPr="00B35E07">
        <w:rPr>
          <w:rFonts w:ascii="Arial" w:hAnsi="Arial" w:cs="Arial"/>
          <w:color w:val="FFFFFF" w:themeColor="background1"/>
          <w:sz w:val="10"/>
          <w:szCs w:val="24"/>
        </w:rPr>
        <w:t xml:space="preserve"> i</w:t>
      </w:r>
      <w:r w:rsidRPr="00B35E07">
        <w:rPr>
          <w:rFonts w:ascii="Arial" w:hAnsi="Arial" w:cs="Arial"/>
          <w:sz w:val="24"/>
          <w:szCs w:val="24"/>
        </w:rPr>
        <w:t>‘pure’</w:t>
      </w:r>
      <w:r w:rsidRPr="00B35E07">
        <w:rPr>
          <w:rFonts w:ascii="Arial" w:hAnsi="Arial" w:cs="Arial"/>
          <w:color w:val="FFFFFF" w:themeColor="background1"/>
          <w:sz w:val="10"/>
          <w:szCs w:val="24"/>
        </w:rPr>
        <w:t xml:space="preserve"> i</w:t>
      </w:r>
      <w:r w:rsidRPr="00B35E07">
        <w:rPr>
          <w:rFonts w:ascii="Arial" w:hAnsi="Arial" w:cs="Arial"/>
          <w:sz w:val="24"/>
          <w:szCs w:val="24"/>
        </w:rPr>
        <w:t>technical</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measure</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third</w:t>
      </w:r>
      <w:r w:rsidRPr="00B35E07">
        <w:rPr>
          <w:rFonts w:ascii="Arial" w:hAnsi="Arial" w:cs="Arial"/>
          <w:color w:val="FFFFFF" w:themeColor="background1"/>
          <w:sz w:val="10"/>
          <w:szCs w:val="24"/>
        </w:rPr>
        <w:t xml:space="preserve"> i</w:t>
      </w:r>
      <w:r w:rsidRPr="00B35E07">
        <w:rPr>
          <w:rFonts w:ascii="Arial" w:hAnsi="Arial" w:cs="Arial"/>
          <w:sz w:val="24"/>
          <w:szCs w:val="24"/>
        </w:rPr>
        <w:t>column</w:t>
      </w:r>
      <w:r w:rsidRPr="00B35E07">
        <w:rPr>
          <w:rFonts w:ascii="Arial" w:hAnsi="Arial" w:cs="Arial"/>
          <w:color w:val="FFFFFF" w:themeColor="background1"/>
          <w:sz w:val="10"/>
          <w:szCs w:val="24"/>
        </w:rPr>
        <w:t xml:space="preserve"> i</w:t>
      </w:r>
      <w:r w:rsidRPr="00B35E07">
        <w:rPr>
          <w:rFonts w:ascii="Arial" w:hAnsi="Arial" w:cs="Arial"/>
          <w:sz w:val="24"/>
          <w:szCs w:val="24"/>
        </w:rPr>
        <w:t>comprises of the variable returns to scale technical efficiency, (VRSTE) and follows is the scale efficiency measure, SE and lastly illustrates the nature to</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(IRS,</w:t>
      </w:r>
      <w:r w:rsidRPr="00B35E07">
        <w:rPr>
          <w:rFonts w:ascii="Arial" w:hAnsi="Arial" w:cs="Arial"/>
          <w:color w:val="FFFFFF" w:themeColor="background1"/>
          <w:sz w:val="10"/>
          <w:szCs w:val="24"/>
        </w:rPr>
        <w:t xml:space="preserve"> i</w:t>
      </w:r>
      <w:r w:rsidRPr="00B35E07">
        <w:rPr>
          <w:rFonts w:ascii="Arial" w:hAnsi="Arial" w:cs="Arial"/>
          <w:sz w:val="24"/>
          <w:szCs w:val="24"/>
        </w:rPr>
        <w:t>and</w:t>
      </w:r>
      <w:r w:rsidRPr="00B35E07">
        <w:rPr>
          <w:rFonts w:ascii="Arial" w:hAnsi="Arial" w:cs="Arial"/>
          <w:color w:val="FFFFFF" w:themeColor="background1"/>
          <w:sz w:val="10"/>
          <w:szCs w:val="24"/>
        </w:rPr>
        <w:t xml:space="preserve"> i</w:t>
      </w:r>
      <w:r w:rsidRPr="00B35E07">
        <w:rPr>
          <w:rFonts w:ascii="Arial" w:hAnsi="Arial" w:cs="Arial"/>
          <w:sz w:val="24"/>
          <w:szCs w:val="24"/>
        </w:rPr>
        <w:t>a</w:t>
      </w:r>
      <w:r w:rsidRPr="00B35E07">
        <w:rPr>
          <w:rFonts w:ascii="Arial" w:hAnsi="Arial" w:cs="Arial"/>
          <w:color w:val="FFFFFF" w:themeColor="background1"/>
          <w:sz w:val="10"/>
          <w:szCs w:val="24"/>
        </w:rPr>
        <w:t xml:space="preserve"> i</w:t>
      </w:r>
      <w:r w:rsidRPr="00B35E07">
        <w:rPr>
          <w:rFonts w:ascii="Arial" w:hAnsi="Arial" w:cs="Arial"/>
          <w:sz w:val="24"/>
          <w:szCs w:val="24"/>
        </w:rPr>
        <w:t xml:space="preserve">dash): </w:t>
      </w:r>
    </w:p>
    <w:p w14:paraId="357C9636"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Banks with IRS go through an increasing return to</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(economies</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and banks with a dash sign simply implies that they face a constant return to scale, operating at an optimal scale.</w:t>
      </w:r>
    </w:p>
    <w:p w14:paraId="079B700F" w14:textId="77777777" w:rsidR="00726370" w:rsidRPr="00B35E07" w:rsidRDefault="00726370" w:rsidP="00726370">
      <w:pPr>
        <w:spacing w:after="0" w:line="360" w:lineRule="auto"/>
        <w:jc w:val="both"/>
        <w:rPr>
          <w:rFonts w:ascii="Arial" w:hAnsi="Arial" w:cs="Arial"/>
          <w:sz w:val="24"/>
          <w:szCs w:val="24"/>
        </w:rPr>
      </w:pPr>
    </w:p>
    <w:p w14:paraId="7126AC23"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 xml:space="preserve">Therefore, on average, the efficiency scores of the banks are: </w:t>
      </w:r>
    </w:p>
    <w:p w14:paraId="73A6BFDC" w14:textId="77777777" w:rsidR="00726370" w:rsidRPr="00B35E07" w:rsidRDefault="00726370" w:rsidP="00726370">
      <w:pPr>
        <w:pStyle w:val="ListParagraph"/>
        <w:numPr>
          <w:ilvl w:val="0"/>
          <w:numId w:val="4"/>
        </w:numPr>
        <w:spacing w:after="0" w:line="360" w:lineRule="auto"/>
        <w:jc w:val="both"/>
        <w:rPr>
          <w:rFonts w:ascii="Arial" w:hAnsi="Arial" w:cs="Arial"/>
          <w:sz w:val="24"/>
          <w:szCs w:val="24"/>
        </w:rPr>
      </w:pPr>
      <w:r w:rsidRPr="00B35E07">
        <w:rPr>
          <w:rFonts w:ascii="Arial" w:hAnsi="Arial" w:cs="Arial"/>
          <w:sz w:val="24"/>
          <w:szCs w:val="24"/>
        </w:rPr>
        <w:t>94% for CRSTE; implying that in overall, commercial banks could minimise their inputs (staff costs, deposits and shareholders’ equity) by 6% while achieving and yielding the same quantity of output of the banks.</w:t>
      </w:r>
    </w:p>
    <w:p w14:paraId="5F1B5295" w14:textId="77777777" w:rsidR="00726370" w:rsidRPr="00B35E07" w:rsidRDefault="00726370" w:rsidP="00726370">
      <w:pPr>
        <w:pStyle w:val="ListParagraph"/>
        <w:numPr>
          <w:ilvl w:val="0"/>
          <w:numId w:val="4"/>
        </w:numPr>
        <w:spacing w:after="0" w:line="360" w:lineRule="auto"/>
        <w:jc w:val="both"/>
        <w:rPr>
          <w:rFonts w:ascii="Arial" w:hAnsi="Arial" w:cs="Arial"/>
          <w:sz w:val="24"/>
          <w:szCs w:val="24"/>
        </w:rPr>
      </w:pPr>
      <w:r w:rsidRPr="00B35E07">
        <w:rPr>
          <w:rFonts w:ascii="Arial" w:hAnsi="Arial" w:cs="Arial"/>
          <w:sz w:val="24"/>
          <w:szCs w:val="24"/>
        </w:rPr>
        <w:t>97.8% for VRSTE; implies a better operation of the banks would be able to minimize consumption of input by 2.2%.</w:t>
      </w:r>
    </w:p>
    <w:p w14:paraId="363BFB1E" w14:textId="77777777" w:rsidR="00726370" w:rsidRPr="00B35E07" w:rsidRDefault="00726370" w:rsidP="00726370">
      <w:pPr>
        <w:pStyle w:val="ListParagraph"/>
        <w:numPr>
          <w:ilvl w:val="0"/>
          <w:numId w:val="4"/>
        </w:numPr>
        <w:spacing w:after="0" w:line="360" w:lineRule="auto"/>
        <w:jc w:val="both"/>
        <w:rPr>
          <w:rFonts w:ascii="Arial" w:hAnsi="Arial" w:cs="Arial"/>
          <w:sz w:val="24"/>
          <w:szCs w:val="24"/>
        </w:rPr>
      </w:pPr>
      <w:r w:rsidRPr="00B35E07">
        <w:rPr>
          <w:rFonts w:ascii="Arial" w:hAnsi="Arial" w:cs="Arial"/>
          <w:sz w:val="24"/>
          <w:szCs w:val="24"/>
        </w:rPr>
        <w:t>96.2% for SE; through adjusting and controlling their scale, banks could minimize their inputs by 3.8%.</w:t>
      </w:r>
    </w:p>
    <w:p w14:paraId="361D7156" w14:textId="77777777" w:rsidR="00726370" w:rsidRPr="00B35E07" w:rsidRDefault="00726370" w:rsidP="00726370">
      <w:pPr>
        <w:spacing w:after="0" w:line="360" w:lineRule="auto"/>
        <w:rPr>
          <w:rFonts w:ascii="Arial" w:hAnsi="Arial" w:cs="Arial"/>
          <w:sz w:val="24"/>
          <w:szCs w:val="24"/>
        </w:rPr>
      </w:pPr>
    </w:p>
    <w:p w14:paraId="2291B601" w14:textId="77777777" w:rsidR="00726370" w:rsidRPr="00B35E07" w:rsidRDefault="00726370" w:rsidP="00726370">
      <w:pPr>
        <w:pStyle w:val="Heading3"/>
        <w:rPr>
          <w:rFonts w:ascii="Arial" w:hAnsi="Arial" w:cs="Arial"/>
          <w:b/>
          <w:bCs/>
          <w:color w:val="auto"/>
        </w:rPr>
      </w:pPr>
      <w:bookmarkStart w:id="77" w:name="_Toc27579800"/>
      <w:r w:rsidRPr="00B35E07">
        <w:rPr>
          <w:rFonts w:ascii="Arial" w:hAnsi="Arial" w:cs="Arial"/>
          <w:b/>
          <w:bCs/>
          <w:color w:val="auto"/>
        </w:rPr>
        <w:t>4.1.1: Results for bank:     1</w:t>
      </w:r>
      <w:bookmarkEnd w:id="77"/>
    </w:p>
    <w:p w14:paraId="4AFFFBF6" w14:textId="77777777" w:rsidR="00726370" w:rsidRPr="00B35E07" w:rsidRDefault="00726370" w:rsidP="00726370">
      <w:pPr>
        <w:rPr>
          <w:rFonts w:ascii="Arial" w:hAnsi="Arial" w:cs="Arial"/>
        </w:rPr>
      </w:pPr>
    </w:p>
    <w:p w14:paraId="5971DDAA" w14:textId="77777777" w:rsidR="00726370" w:rsidRPr="00B35E07" w:rsidRDefault="00726370" w:rsidP="00726370">
      <w:pPr>
        <w:pStyle w:val="Caption"/>
        <w:rPr>
          <w:rFonts w:ascii="Arial" w:hAnsi="Arial" w:cs="Arial"/>
        </w:rPr>
      </w:pPr>
      <w:bookmarkStart w:id="78" w:name="_Toc27427409"/>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2</w:t>
      </w:r>
      <w:r w:rsidRPr="00B35E07">
        <w:rPr>
          <w:rFonts w:ascii="Arial" w:hAnsi="Arial" w:cs="Arial"/>
          <w:noProof/>
        </w:rPr>
        <w:fldChar w:fldCharType="end"/>
      </w:r>
      <w:r w:rsidRPr="00B35E07">
        <w:rPr>
          <w:rFonts w:ascii="Arial" w:hAnsi="Arial" w:cs="Arial"/>
        </w:rPr>
        <w:t>: Efficiency of bank 1</w:t>
      </w:r>
      <w:bookmarkEnd w:id="78"/>
    </w:p>
    <w:p w14:paraId="00519FAC"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77EC327E" wp14:editId="3B5A0C6D">
            <wp:extent cx="4182110" cy="2761615"/>
            <wp:effectExtent l="0" t="0" r="889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82110" cy="2761615"/>
                    </a:xfrm>
                    <a:prstGeom prst="rect">
                      <a:avLst/>
                    </a:prstGeom>
                    <a:noFill/>
                  </pic:spPr>
                </pic:pic>
              </a:graphicData>
            </a:graphic>
          </wp:inline>
        </w:drawing>
      </w:r>
    </w:p>
    <w:p w14:paraId="566745F3" w14:textId="77777777" w:rsidR="00726370" w:rsidRPr="00B35E07" w:rsidRDefault="00726370" w:rsidP="00726370">
      <w:pPr>
        <w:keepNext/>
        <w:spacing w:after="0" w:line="360" w:lineRule="auto"/>
        <w:jc w:val="center"/>
        <w:rPr>
          <w:rFonts w:ascii="Arial" w:hAnsi="Arial" w:cs="Arial"/>
        </w:rPr>
      </w:pPr>
    </w:p>
    <w:p w14:paraId="64B1E3DC" w14:textId="0FD82130" w:rsidR="00726370" w:rsidRPr="00B35E07" w:rsidRDefault="00726370" w:rsidP="00762CFB">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1</w:t>
      </w:r>
      <w:r w:rsidRPr="00B35E07">
        <w:rPr>
          <w:rFonts w:ascii="Arial" w:hAnsi="Arial" w:cs="Arial"/>
          <w:sz w:val="24"/>
          <w:szCs w:val="24"/>
          <w:vertAlign w:val="superscript"/>
        </w:rPr>
        <w:t>st</w:t>
      </w:r>
      <w:r w:rsidRPr="00B35E07">
        <w:rPr>
          <w:rFonts w:ascii="Arial" w:hAnsi="Arial" w:cs="Arial"/>
          <w:sz w:val="24"/>
          <w:szCs w:val="24"/>
        </w:rPr>
        <w:t xml:space="preserve"> bank, NIC has a</w:t>
      </w:r>
      <w:r w:rsidRPr="00B35E07">
        <w:rPr>
          <w:rFonts w:ascii="Arial" w:hAnsi="Arial" w:cs="Arial"/>
          <w:color w:val="FFFFFF" w:themeColor="background1"/>
          <w:sz w:val="10"/>
          <w:szCs w:val="24"/>
        </w:rPr>
        <w:t xml:space="preserve"> i</w:t>
      </w:r>
      <w:r w:rsidRPr="00B35E07">
        <w:rPr>
          <w:rFonts w:ascii="Arial" w:hAnsi="Arial" w:cs="Arial"/>
          <w:sz w:val="24"/>
          <w:szCs w:val="24"/>
        </w:rPr>
        <w:t>‘pure’</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score</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100%</w:t>
      </w:r>
      <w:r w:rsidRPr="00B35E07">
        <w:rPr>
          <w:rFonts w:ascii="Arial" w:hAnsi="Arial" w:cs="Arial"/>
          <w:color w:val="FFFFFF" w:themeColor="background1"/>
          <w:sz w:val="10"/>
          <w:szCs w:val="24"/>
        </w:rPr>
        <w:t xml:space="preserve"> i</w:t>
      </w:r>
      <w:r w:rsidRPr="00B35E07">
        <w:rPr>
          <w:rFonts w:ascii="Arial" w:hAnsi="Arial" w:cs="Arial"/>
          <w:sz w:val="24"/>
          <w:szCs w:val="24"/>
        </w:rPr>
        <w:t>and</w:t>
      </w:r>
      <w:r w:rsidRPr="00B35E07">
        <w:rPr>
          <w:rFonts w:ascii="Arial" w:hAnsi="Arial" w:cs="Arial"/>
          <w:color w:val="FFFFFF" w:themeColor="background1"/>
          <w:sz w:val="10"/>
          <w:szCs w:val="24"/>
        </w:rPr>
        <w:t xml:space="preserve"> i</w:t>
      </w:r>
      <w:r w:rsidRPr="00B35E07">
        <w:rPr>
          <w:rFonts w:ascii="Arial" w:hAnsi="Arial" w:cs="Arial"/>
          <w:sz w:val="24"/>
          <w:szCs w:val="24"/>
        </w:rPr>
        <w:t>a</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score</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100%. It is facing a constant return to scale, CRS. This bank, is effectively managed and operated and operating at an optimal level.</w:t>
      </w:r>
    </w:p>
    <w:p w14:paraId="0AF45D0C" w14:textId="77777777" w:rsidR="00726370" w:rsidRPr="00B35E07" w:rsidRDefault="00726370" w:rsidP="00726370">
      <w:pPr>
        <w:rPr>
          <w:rFonts w:ascii="Arial" w:hAnsi="Arial" w:cs="Arial"/>
        </w:rPr>
      </w:pPr>
    </w:p>
    <w:p w14:paraId="02811BE9" w14:textId="280BB881" w:rsidR="00726370" w:rsidRPr="00B35E07" w:rsidRDefault="00726370" w:rsidP="00726370">
      <w:pPr>
        <w:pStyle w:val="Heading3"/>
        <w:rPr>
          <w:rFonts w:ascii="Arial" w:hAnsi="Arial" w:cs="Arial"/>
          <w:b/>
          <w:bCs/>
          <w:color w:val="auto"/>
        </w:rPr>
      </w:pPr>
      <w:bookmarkStart w:id="79" w:name="_Toc27579801"/>
      <w:r w:rsidRPr="00B35E07">
        <w:rPr>
          <w:rFonts w:ascii="Arial" w:hAnsi="Arial" w:cs="Arial"/>
          <w:b/>
          <w:bCs/>
          <w:color w:val="auto"/>
        </w:rPr>
        <w:t>4.1.2: Results for bank:     2</w:t>
      </w:r>
      <w:bookmarkEnd w:id="79"/>
    </w:p>
    <w:p w14:paraId="2E186CD2" w14:textId="77777777" w:rsidR="00726370" w:rsidRPr="00B35E07" w:rsidRDefault="00726370" w:rsidP="00726370">
      <w:pPr>
        <w:pStyle w:val="Caption"/>
        <w:rPr>
          <w:rFonts w:ascii="Arial" w:hAnsi="Arial" w:cs="Arial"/>
        </w:rPr>
      </w:pPr>
    </w:p>
    <w:p w14:paraId="7A139073" w14:textId="77777777" w:rsidR="00726370" w:rsidRPr="00B35E07" w:rsidRDefault="00726370" w:rsidP="00726370">
      <w:pPr>
        <w:pStyle w:val="Caption"/>
        <w:rPr>
          <w:rFonts w:ascii="Arial" w:hAnsi="Arial" w:cs="Arial"/>
        </w:rPr>
      </w:pPr>
      <w:bookmarkStart w:id="80" w:name="_Toc27427410"/>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3</w:t>
      </w:r>
      <w:r w:rsidRPr="00B35E07">
        <w:rPr>
          <w:rFonts w:ascii="Arial" w:hAnsi="Arial" w:cs="Arial"/>
          <w:noProof/>
        </w:rPr>
        <w:fldChar w:fldCharType="end"/>
      </w:r>
      <w:r w:rsidRPr="00B35E07">
        <w:rPr>
          <w:rFonts w:ascii="Arial" w:hAnsi="Arial" w:cs="Arial"/>
        </w:rPr>
        <w:t>: Efficiency of bank 2</w:t>
      </w:r>
      <w:bookmarkEnd w:id="80"/>
    </w:p>
    <w:p w14:paraId="5B998CA7"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089B86CB" wp14:editId="518EE160">
            <wp:extent cx="3377565" cy="24815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77565" cy="2481580"/>
                    </a:xfrm>
                    <a:prstGeom prst="rect">
                      <a:avLst/>
                    </a:prstGeom>
                    <a:noFill/>
                  </pic:spPr>
                </pic:pic>
              </a:graphicData>
            </a:graphic>
          </wp:inline>
        </w:drawing>
      </w:r>
    </w:p>
    <w:p w14:paraId="2CB5CCB1" w14:textId="77777777" w:rsidR="00726370" w:rsidRPr="00B35E07" w:rsidRDefault="00726370" w:rsidP="00726370">
      <w:pPr>
        <w:keepNext/>
        <w:spacing w:after="0" w:line="360" w:lineRule="auto"/>
        <w:jc w:val="center"/>
        <w:rPr>
          <w:rFonts w:ascii="Arial" w:hAnsi="Arial" w:cs="Arial"/>
        </w:rPr>
      </w:pPr>
    </w:p>
    <w:p w14:paraId="557A7CF7"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2</w:t>
      </w:r>
      <w:r w:rsidRPr="00B35E07">
        <w:rPr>
          <w:rFonts w:ascii="Arial" w:hAnsi="Arial" w:cs="Arial"/>
          <w:sz w:val="24"/>
          <w:szCs w:val="24"/>
          <w:vertAlign w:val="superscript"/>
        </w:rPr>
        <w:t>nd</w:t>
      </w:r>
      <w:r w:rsidRPr="00B35E07">
        <w:rPr>
          <w:rFonts w:ascii="Arial" w:hAnsi="Arial" w:cs="Arial"/>
          <w:sz w:val="24"/>
          <w:szCs w:val="24"/>
        </w:rPr>
        <w:t xml:space="preserve"> bank, CFC Stanbic has a</w:t>
      </w:r>
      <w:r w:rsidRPr="00B35E07">
        <w:rPr>
          <w:rFonts w:ascii="Arial" w:hAnsi="Arial" w:cs="Arial"/>
          <w:color w:val="FFFFFF" w:themeColor="background1"/>
          <w:sz w:val="10"/>
          <w:szCs w:val="24"/>
        </w:rPr>
        <w:t xml:space="preserve"> i</w:t>
      </w:r>
      <w:r w:rsidRPr="00B35E07">
        <w:rPr>
          <w:rFonts w:ascii="Arial" w:hAnsi="Arial" w:cs="Arial"/>
          <w:sz w:val="24"/>
          <w:szCs w:val="24"/>
        </w:rPr>
        <w:t>‘pure’</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score</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100%</w:t>
      </w:r>
      <w:r w:rsidRPr="00B35E07">
        <w:rPr>
          <w:rFonts w:ascii="Arial" w:hAnsi="Arial" w:cs="Arial"/>
          <w:color w:val="FFFFFF" w:themeColor="background1"/>
          <w:sz w:val="10"/>
          <w:szCs w:val="24"/>
        </w:rPr>
        <w:t xml:space="preserve"> i</w:t>
      </w:r>
      <w:r w:rsidRPr="00B35E07">
        <w:rPr>
          <w:rFonts w:ascii="Arial" w:hAnsi="Arial" w:cs="Arial"/>
          <w:sz w:val="24"/>
          <w:szCs w:val="24"/>
        </w:rPr>
        <w:t>and</w:t>
      </w:r>
      <w:r w:rsidRPr="00B35E07">
        <w:rPr>
          <w:rFonts w:ascii="Arial" w:hAnsi="Arial" w:cs="Arial"/>
          <w:color w:val="FFFFFF" w:themeColor="background1"/>
          <w:sz w:val="10"/>
          <w:szCs w:val="24"/>
        </w:rPr>
        <w:t xml:space="preserve"> i</w:t>
      </w:r>
      <w:r w:rsidRPr="00B35E07">
        <w:rPr>
          <w:rFonts w:ascii="Arial" w:hAnsi="Arial" w:cs="Arial"/>
          <w:sz w:val="24"/>
          <w:szCs w:val="24"/>
        </w:rPr>
        <w:t>a</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score</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81.1%.</w:t>
      </w:r>
      <w:r w:rsidRPr="00B35E07">
        <w:rPr>
          <w:rFonts w:ascii="Arial" w:hAnsi="Arial" w:cs="Arial"/>
          <w:color w:val="FFFFFF" w:themeColor="background1"/>
          <w:sz w:val="10"/>
          <w:szCs w:val="24"/>
        </w:rPr>
        <w:t xml:space="preserve"> i</w:t>
      </w:r>
      <w:r w:rsidRPr="00B35E07">
        <w:rPr>
          <w:rFonts w:ascii="Arial" w:hAnsi="Arial" w:cs="Arial"/>
          <w:sz w:val="24"/>
          <w:szCs w:val="24"/>
        </w:rPr>
        <w:t>It</w:t>
      </w:r>
      <w:r w:rsidRPr="00B35E07">
        <w:rPr>
          <w:rFonts w:ascii="Arial" w:hAnsi="Arial" w:cs="Arial"/>
          <w:color w:val="FFFFFF" w:themeColor="background1"/>
          <w:sz w:val="10"/>
          <w:szCs w:val="24"/>
        </w:rPr>
        <w:t xml:space="preserve"> i</w:t>
      </w:r>
      <w:r w:rsidRPr="00B35E07">
        <w:rPr>
          <w:rFonts w:ascii="Arial" w:hAnsi="Arial" w:cs="Arial"/>
          <w:sz w:val="24"/>
          <w:szCs w:val="24"/>
        </w:rPr>
        <w:t>is facing an increasing return to</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IRS.</w:t>
      </w:r>
      <w:r w:rsidRPr="00B35E07">
        <w:rPr>
          <w:rFonts w:ascii="Arial" w:hAnsi="Arial" w:cs="Arial"/>
          <w:color w:val="FFFFFF" w:themeColor="background1"/>
          <w:sz w:val="10"/>
          <w:szCs w:val="24"/>
        </w:rPr>
        <w:t xml:space="preserve"> i</w:t>
      </w:r>
      <w:r w:rsidRPr="00B35E07">
        <w:rPr>
          <w:rFonts w:ascii="Arial" w:hAnsi="Arial" w:cs="Arial"/>
          <w:sz w:val="24"/>
          <w:szCs w:val="24"/>
        </w:rPr>
        <w:t>This</w:t>
      </w:r>
      <w:r w:rsidRPr="00B35E07">
        <w:rPr>
          <w:rFonts w:ascii="Arial" w:hAnsi="Arial" w:cs="Arial"/>
          <w:color w:val="FFFFFF" w:themeColor="background1"/>
          <w:sz w:val="10"/>
          <w:szCs w:val="24"/>
        </w:rPr>
        <w:t xml:space="preserve"> i</w:t>
      </w:r>
      <w:r w:rsidRPr="00B35E07">
        <w:rPr>
          <w:rFonts w:ascii="Arial" w:hAnsi="Arial" w:cs="Arial"/>
          <w:sz w:val="24"/>
          <w:szCs w:val="24"/>
        </w:rPr>
        <w:t>bank,</w:t>
      </w:r>
      <w:r w:rsidRPr="00B35E07">
        <w:rPr>
          <w:rFonts w:ascii="Arial" w:hAnsi="Arial" w:cs="Arial"/>
          <w:color w:val="FFFFFF" w:themeColor="background1"/>
          <w:sz w:val="10"/>
          <w:szCs w:val="24"/>
        </w:rPr>
        <w:t xml:space="preserve"> i</w:t>
      </w:r>
      <w:r w:rsidRPr="00B35E07">
        <w:rPr>
          <w:rFonts w:ascii="Arial" w:hAnsi="Arial" w:cs="Arial"/>
          <w:sz w:val="24"/>
          <w:szCs w:val="24"/>
        </w:rPr>
        <w:t>is</w:t>
      </w:r>
      <w:r w:rsidRPr="00B35E07">
        <w:rPr>
          <w:rFonts w:ascii="Arial" w:hAnsi="Arial" w:cs="Arial"/>
          <w:color w:val="FFFFFF" w:themeColor="background1"/>
          <w:sz w:val="10"/>
          <w:szCs w:val="24"/>
        </w:rPr>
        <w:t xml:space="preserve"> i</w:t>
      </w:r>
      <w:r w:rsidRPr="00B35E07">
        <w:rPr>
          <w:rFonts w:ascii="Arial" w:hAnsi="Arial" w:cs="Arial"/>
          <w:sz w:val="24"/>
          <w:szCs w:val="24"/>
        </w:rPr>
        <w:t>well</w:t>
      </w:r>
      <w:r w:rsidRPr="00B35E07">
        <w:rPr>
          <w:rFonts w:ascii="Arial" w:hAnsi="Arial" w:cs="Arial"/>
          <w:color w:val="FFFFFF" w:themeColor="background1"/>
          <w:sz w:val="10"/>
          <w:szCs w:val="24"/>
        </w:rPr>
        <w:t xml:space="preserve"> i</w:t>
      </w:r>
      <w:r w:rsidRPr="00B35E07">
        <w:rPr>
          <w:rFonts w:ascii="Arial" w:hAnsi="Arial" w:cs="Arial"/>
          <w:sz w:val="24"/>
          <w:szCs w:val="24"/>
        </w:rPr>
        <w:t>managed and operated, it cannot</w:t>
      </w:r>
      <w:r w:rsidRPr="00B35E07">
        <w:rPr>
          <w:rFonts w:ascii="Arial" w:hAnsi="Arial" w:cs="Arial"/>
          <w:color w:val="FFFFFF" w:themeColor="background1"/>
          <w:sz w:val="10"/>
          <w:szCs w:val="24"/>
        </w:rPr>
        <w:t xml:space="preserve"> i</w:t>
      </w:r>
      <w:r w:rsidRPr="00B35E07">
        <w:rPr>
          <w:rFonts w:ascii="Arial" w:hAnsi="Arial" w:cs="Arial"/>
          <w:sz w:val="24"/>
          <w:szCs w:val="24"/>
        </w:rPr>
        <w:t>improve</w:t>
      </w:r>
      <w:r w:rsidRPr="00B35E07">
        <w:rPr>
          <w:rFonts w:ascii="Arial" w:hAnsi="Arial" w:cs="Arial"/>
          <w:color w:val="FFFFFF" w:themeColor="background1"/>
          <w:sz w:val="10"/>
          <w:szCs w:val="24"/>
        </w:rPr>
        <w:t xml:space="preserve"> i</w:t>
      </w:r>
      <w:r w:rsidRPr="00B35E07">
        <w:rPr>
          <w:rFonts w:ascii="Arial" w:hAnsi="Arial" w:cs="Arial"/>
          <w:sz w:val="24"/>
          <w:szCs w:val="24"/>
        </w:rPr>
        <w:t>its</w:t>
      </w:r>
      <w:r w:rsidRPr="00B35E07">
        <w:rPr>
          <w:rFonts w:ascii="Arial" w:hAnsi="Arial" w:cs="Arial"/>
          <w:color w:val="FFFFFF" w:themeColor="background1"/>
          <w:sz w:val="10"/>
          <w:szCs w:val="24"/>
        </w:rPr>
        <w:t xml:space="preserve"> i</w:t>
      </w:r>
      <w:r w:rsidRPr="00B35E07">
        <w:rPr>
          <w:rFonts w:ascii="Arial" w:hAnsi="Arial" w:cs="Arial"/>
          <w:sz w:val="24"/>
          <w:szCs w:val="24"/>
        </w:rPr>
        <w:t>‘pure’</w:t>
      </w:r>
      <w:r w:rsidRPr="00B35E07">
        <w:rPr>
          <w:rFonts w:ascii="Arial" w:hAnsi="Arial" w:cs="Arial"/>
          <w:color w:val="FFFFFF" w:themeColor="background1"/>
          <w:sz w:val="10"/>
          <w:szCs w:val="24"/>
        </w:rPr>
        <w:t xml:space="preserve"> i</w:t>
      </w:r>
      <w:r w:rsidRPr="00B35E07">
        <w:rPr>
          <w:rFonts w:ascii="Arial" w:hAnsi="Arial" w:cs="Arial"/>
          <w:sz w:val="24"/>
          <w:szCs w:val="24"/>
        </w:rPr>
        <w:t>efficiency. The only</w:t>
      </w:r>
      <w:r w:rsidRPr="00B35E07">
        <w:rPr>
          <w:rFonts w:ascii="Arial" w:hAnsi="Arial" w:cs="Arial"/>
          <w:color w:val="FFFFFF" w:themeColor="background1"/>
          <w:sz w:val="10"/>
          <w:szCs w:val="24"/>
        </w:rPr>
        <w:t xml:space="preserve"> i</w:t>
      </w:r>
      <w:r w:rsidRPr="00B35E07">
        <w:rPr>
          <w:rFonts w:ascii="Arial" w:hAnsi="Arial" w:cs="Arial"/>
          <w:sz w:val="24"/>
          <w:szCs w:val="24"/>
        </w:rPr>
        <w:t>room</w:t>
      </w:r>
      <w:r w:rsidRPr="00B35E07">
        <w:rPr>
          <w:rFonts w:ascii="Arial" w:hAnsi="Arial" w:cs="Arial"/>
          <w:color w:val="FFFFFF" w:themeColor="background1"/>
          <w:sz w:val="10"/>
          <w:szCs w:val="24"/>
        </w:rPr>
        <w:t xml:space="preserve"> i</w:t>
      </w:r>
      <w:r w:rsidRPr="00B35E07">
        <w:rPr>
          <w:rFonts w:ascii="Arial" w:hAnsi="Arial" w:cs="Arial"/>
          <w:sz w:val="24"/>
          <w:szCs w:val="24"/>
        </w:rPr>
        <w:t>for</w:t>
      </w:r>
      <w:r w:rsidRPr="00B35E07">
        <w:rPr>
          <w:rFonts w:ascii="Arial" w:hAnsi="Arial" w:cs="Arial"/>
          <w:color w:val="FFFFFF" w:themeColor="background1"/>
          <w:sz w:val="10"/>
          <w:szCs w:val="24"/>
        </w:rPr>
        <w:t xml:space="preserve"> i</w:t>
      </w:r>
      <w:r w:rsidRPr="00B35E07">
        <w:rPr>
          <w:rFonts w:ascii="Arial" w:hAnsi="Arial" w:cs="Arial"/>
          <w:sz w:val="24"/>
          <w:szCs w:val="24"/>
        </w:rPr>
        <w:t>improvement and enhancement lies</w:t>
      </w:r>
      <w:r w:rsidRPr="00B35E07">
        <w:rPr>
          <w:rFonts w:ascii="Arial" w:hAnsi="Arial" w:cs="Arial"/>
          <w:color w:val="FFFFFF" w:themeColor="background1"/>
          <w:sz w:val="10"/>
          <w:szCs w:val="24"/>
        </w:rPr>
        <w:t xml:space="preserve"> i</w:t>
      </w:r>
      <w:r w:rsidRPr="00B35E07">
        <w:rPr>
          <w:rFonts w:ascii="Arial" w:hAnsi="Arial" w:cs="Arial"/>
          <w:sz w:val="24"/>
          <w:szCs w:val="24"/>
        </w:rPr>
        <w:t>in</w:t>
      </w:r>
      <w:r w:rsidRPr="00B35E07">
        <w:rPr>
          <w:rFonts w:ascii="Arial" w:hAnsi="Arial" w:cs="Arial"/>
          <w:color w:val="FFFFFF" w:themeColor="background1"/>
          <w:sz w:val="10"/>
          <w:szCs w:val="24"/>
        </w:rPr>
        <w:t xml:space="preserve"> i</w:t>
      </w:r>
      <w:r w:rsidRPr="00B35E07">
        <w:rPr>
          <w:rFonts w:ascii="Arial" w:hAnsi="Arial" w:cs="Arial"/>
          <w:sz w:val="24"/>
          <w:szCs w:val="24"/>
        </w:rPr>
        <w:t>a</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adjustment of 18.9% (100%-81.1%) of inputs could be saved and controlled.</w:t>
      </w:r>
    </w:p>
    <w:p w14:paraId="5718E154"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column</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‘original</w:t>
      </w:r>
      <w:r w:rsidRPr="00B35E07">
        <w:rPr>
          <w:rFonts w:ascii="Arial" w:hAnsi="Arial" w:cs="Arial"/>
          <w:color w:val="FFFFFF" w:themeColor="background1"/>
          <w:sz w:val="10"/>
          <w:szCs w:val="24"/>
        </w:rPr>
        <w:t xml:space="preserve"> i</w:t>
      </w:r>
      <w:r w:rsidRPr="00B35E07">
        <w:rPr>
          <w:rFonts w:ascii="Arial" w:hAnsi="Arial" w:cs="Arial"/>
          <w:sz w:val="24"/>
          <w:szCs w:val="24"/>
        </w:rPr>
        <w:t>value’ contains the same values to the projected ones implying that the bank is purely efficient acting as its own peer.</w:t>
      </w:r>
    </w:p>
    <w:p w14:paraId="7CB70111" w14:textId="77777777" w:rsidR="00726370" w:rsidRPr="00B35E07" w:rsidRDefault="00726370" w:rsidP="00726370">
      <w:pPr>
        <w:pStyle w:val="Heading3"/>
        <w:rPr>
          <w:rFonts w:ascii="Arial" w:hAnsi="Arial" w:cs="Arial"/>
          <w:b/>
          <w:bCs/>
          <w:color w:val="auto"/>
        </w:rPr>
      </w:pPr>
    </w:p>
    <w:p w14:paraId="017AE815" w14:textId="77777777" w:rsidR="00726370" w:rsidRPr="00B35E07" w:rsidRDefault="00726370" w:rsidP="00726370">
      <w:pPr>
        <w:pStyle w:val="Heading3"/>
        <w:rPr>
          <w:rFonts w:ascii="Arial" w:hAnsi="Arial" w:cs="Arial"/>
          <w:b/>
          <w:bCs/>
          <w:color w:val="auto"/>
        </w:rPr>
      </w:pPr>
    </w:p>
    <w:p w14:paraId="45C5DD87" w14:textId="77777777" w:rsidR="00726370" w:rsidRPr="00B35E07" w:rsidRDefault="00726370" w:rsidP="00726370">
      <w:pPr>
        <w:pStyle w:val="Heading3"/>
        <w:rPr>
          <w:rFonts w:ascii="Arial" w:hAnsi="Arial" w:cs="Arial"/>
          <w:b/>
          <w:bCs/>
          <w:color w:val="auto"/>
        </w:rPr>
      </w:pPr>
    </w:p>
    <w:p w14:paraId="20F8DE65" w14:textId="77777777" w:rsidR="00726370" w:rsidRPr="00B35E07" w:rsidRDefault="00726370" w:rsidP="00726370">
      <w:pPr>
        <w:pStyle w:val="Heading3"/>
        <w:rPr>
          <w:rFonts w:ascii="Arial" w:hAnsi="Arial" w:cs="Arial"/>
          <w:b/>
          <w:bCs/>
          <w:color w:val="auto"/>
        </w:rPr>
      </w:pPr>
    </w:p>
    <w:p w14:paraId="23DBAD1D" w14:textId="77777777" w:rsidR="00726370" w:rsidRPr="00B35E07" w:rsidRDefault="00726370" w:rsidP="00726370">
      <w:pPr>
        <w:rPr>
          <w:rFonts w:ascii="Arial" w:hAnsi="Arial" w:cs="Arial"/>
        </w:rPr>
      </w:pPr>
    </w:p>
    <w:p w14:paraId="708925EF" w14:textId="5341A037" w:rsidR="00726370" w:rsidRPr="00B35E07" w:rsidRDefault="00726370" w:rsidP="00726370">
      <w:pPr>
        <w:pStyle w:val="Heading3"/>
        <w:rPr>
          <w:rFonts w:ascii="Arial" w:hAnsi="Arial" w:cs="Arial"/>
          <w:b/>
          <w:bCs/>
          <w:color w:val="auto"/>
        </w:rPr>
      </w:pPr>
      <w:bookmarkStart w:id="81" w:name="_Toc27579802"/>
      <w:r w:rsidRPr="00B35E07">
        <w:rPr>
          <w:rFonts w:ascii="Arial" w:hAnsi="Arial" w:cs="Arial"/>
          <w:b/>
          <w:bCs/>
          <w:color w:val="auto"/>
        </w:rPr>
        <w:lastRenderedPageBreak/>
        <w:t>4.1.3: Results for bank:     3</w:t>
      </w:r>
      <w:bookmarkEnd w:id="81"/>
    </w:p>
    <w:p w14:paraId="58813A88" w14:textId="77777777" w:rsidR="00726370" w:rsidRPr="00B35E07" w:rsidRDefault="00726370" w:rsidP="00726370">
      <w:pPr>
        <w:spacing w:after="0" w:line="360" w:lineRule="auto"/>
        <w:rPr>
          <w:rFonts w:ascii="Arial" w:hAnsi="Arial" w:cs="Arial"/>
          <w:sz w:val="24"/>
          <w:szCs w:val="24"/>
        </w:rPr>
      </w:pPr>
    </w:p>
    <w:p w14:paraId="70AF6538" w14:textId="77777777" w:rsidR="00726370" w:rsidRPr="00B35E07" w:rsidRDefault="00726370" w:rsidP="00726370">
      <w:pPr>
        <w:pStyle w:val="Caption"/>
        <w:rPr>
          <w:rFonts w:ascii="Arial" w:hAnsi="Arial" w:cs="Arial"/>
        </w:rPr>
      </w:pPr>
      <w:bookmarkStart w:id="82" w:name="_Toc27427411"/>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4</w:t>
      </w:r>
      <w:r w:rsidRPr="00B35E07">
        <w:rPr>
          <w:rFonts w:ascii="Arial" w:hAnsi="Arial" w:cs="Arial"/>
          <w:noProof/>
        </w:rPr>
        <w:fldChar w:fldCharType="end"/>
      </w:r>
      <w:r w:rsidRPr="00B35E07">
        <w:rPr>
          <w:rFonts w:ascii="Arial" w:hAnsi="Arial" w:cs="Arial"/>
        </w:rPr>
        <w:t>: Efficiency of bank 3</w:t>
      </w:r>
      <w:bookmarkEnd w:id="82"/>
    </w:p>
    <w:p w14:paraId="13CB122D"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71691296" wp14:editId="66FB0837">
            <wp:extent cx="3560445" cy="2615565"/>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0445" cy="2615565"/>
                    </a:xfrm>
                    <a:prstGeom prst="rect">
                      <a:avLst/>
                    </a:prstGeom>
                    <a:noFill/>
                  </pic:spPr>
                </pic:pic>
              </a:graphicData>
            </a:graphic>
          </wp:inline>
        </w:drawing>
      </w:r>
    </w:p>
    <w:p w14:paraId="70851380" w14:textId="77777777" w:rsidR="00726370" w:rsidRPr="00B35E07" w:rsidRDefault="00726370" w:rsidP="00726370">
      <w:pPr>
        <w:keepNext/>
        <w:spacing w:after="0" w:line="360" w:lineRule="auto"/>
        <w:jc w:val="center"/>
        <w:rPr>
          <w:rFonts w:ascii="Arial" w:hAnsi="Arial" w:cs="Arial"/>
        </w:rPr>
      </w:pPr>
    </w:p>
    <w:p w14:paraId="3C49F675"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3</w:t>
      </w:r>
      <w:r w:rsidRPr="00B35E07">
        <w:rPr>
          <w:rFonts w:ascii="Arial" w:hAnsi="Arial" w:cs="Arial"/>
          <w:sz w:val="24"/>
          <w:szCs w:val="24"/>
          <w:vertAlign w:val="superscript"/>
        </w:rPr>
        <w:t>rd</w:t>
      </w:r>
      <w:r w:rsidRPr="00B35E07">
        <w:rPr>
          <w:rFonts w:ascii="Arial" w:hAnsi="Arial" w:cs="Arial"/>
          <w:sz w:val="24"/>
          <w:szCs w:val="24"/>
        </w:rPr>
        <w:t xml:space="preserve"> bank, KCB has a</w:t>
      </w:r>
      <w:r w:rsidRPr="00B35E07">
        <w:rPr>
          <w:rFonts w:ascii="Arial" w:hAnsi="Arial" w:cs="Arial"/>
          <w:color w:val="FFFFFF" w:themeColor="background1"/>
          <w:sz w:val="10"/>
          <w:szCs w:val="24"/>
        </w:rPr>
        <w:t xml:space="preserve"> i</w:t>
      </w:r>
      <w:r w:rsidRPr="00B35E07">
        <w:rPr>
          <w:rFonts w:ascii="Arial" w:hAnsi="Arial" w:cs="Arial"/>
          <w:sz w:val="24"/>
          <w:szCs w:val="24"/>
        </w:rPr>
        <w:t>‘pure’</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score</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100%</w:t>
      </w:r>
      <w:r w:rsidRPr="00B35E07">
        <w:rPr>
          <w:rFonts w:ascii="Arial" w:hAnsi="Arial" w:cs="Arial"/>
          <w:color w:val="FFFFFF" w:themeColor="background1"/>
          <w:sz w:val="10"/>
          <w:szCs w:val="24"/>
        </w:rPr>
        <w:t xml:space="preserve"> i</w:t>
      </w:r>
      <w:r w:rsidRPr="00B35E07">
        <w:rPr>
          <w:rFonts w:ascii="Arial" w:hAnsi="Arial" w:cs="Arial"/>
          <w:sz w:val="24"/>
          <w:szCs w:val="24"/>
        </w:rPr>
        <w:t>and</w:t>
      </w:r>
      <w:r w:rsidRPr="00B35E07">
        <w:rPr>
          <w:rFonts w:ascii="Arial" w:hAnsi="Arial" w:cs="Arial"/>
          <w:color w:val="FFFFFF" w:themeColor="background1"/>
          <w:sz w:val="10"/>
          <w:szCs w:val="24"/>
        </w:rPr>
        <w:t xml:space="preserve"> i</w:t>
      </w:r>
      <w:r w:rsidRPr="00B35E07">
        <w:rPr>
          <w:rFonts w:ascii="Arial" w:hAnsi="Arial" w:cs="Arial"/>
          <w:sz w:val="24"/>
          <w:szCs w:val="24"/>
        </w:rPr>
        <w:t>a</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efficiency</w:t>
      </w:r>
      <w:r w:rsidRPr="00B35E07">
        <w:rPr>
          <w:rFonts w:ascii="Arial" w:hAnsi="Arial" w:cs="Arial"/>
          <w:color w:val="FFFFFF" w:themeColor="background1"/>
          <w:sz w:val="10"/>
          <w:szCs w:val="24"/>
        </w:rPr>
        <w:t xml:space="preserve"> i</w:t>
      </w:r>
      <w:r w:rsidRPr="00B35E07">
        <w:rPr>
          <w:rFonts w:ascii="Arial" w:hAnsi="Arial" w:cs="Arial"/>
          <w:sz w:val="24"/>
          <w:szCs w:val="24"/>
        </w:rPr>
        <w:t>score</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90.6%. It is facing an increasing return to scale, IRS. This bank, is well managed and operated, it cannot</w:t>
      </w:r>
      <w:r w:rsidRPr="00B35E07">
        <w:rPr>
          <w:rFonts w:ascii="Arial" w:hAnsi="Arial" w:cs="Arial"/>
          <w:color w:val="FFFFFF" w:themeColor="background1"/>
          <w:sz w:val="10"/>
          <w:szCs w:val="24"/>
        </w:rPr>
        <w:t xml:space="preserve"> i</w:t>
      </w:r>
      <w:r w:rsidRPr="00B35E07">
        <w:rPr>
          <w:rFonts w:ascii="Arial" w:hAnsi="Arial" w:cs="Arial"/>
          <w:sz w:val="24"/>
          <w:szCs w:val="24"/>
        </w:rPr>
        <w:t>improve</w:t>
      </w:r>
      <w:r w:rsidRPr="00B35E07">
        <w:rPr>
          <w:rFonts w:ascii="Arial" w:hAnsi="Arial" w:cs="Arial"/>
          <w:color w:val="FFFFFF" w:themeColor="background1"/>
          <w:sz w:val="10"/>
          <w:szCs w:val="24"/>
        </w:rPr>
        <w:t xml:space="preserve"> i</w:t>
      </w:r>
      <w:r w:rsidRPr="00B35E07">
        <w:rPr>
          <w:rFonts w:ascii="Arial" w:hAnsi="Arial" w:cs="Arial"/>
          <w:sz w:val="24"/>
          <w:szCs w:val="24"/>
        </w:rPr>
        <w:t>its</w:t>
      </w:r>
      <w:r w:rsidRPr="00B35E07">
        <w:rPr>
          <w:rFonts w:ascii="Arial" w:hAnsi="Arial" w:cs="Arial"/>
          <w:color w:val="FFFFFF" w:themeColor="background1"/>
          <w:sz w:val="10"/>
          <w:szCs w:val="24"/>
        </w:rPr>
        <w:t xml:space="preserve"> i</w:t>
      </w:r>
      <w:r w:rsidRPr="00B35E07">
        <w:rPr>
          <w:rFonts w:ascii="Arial" w:hAnsi="Arial" w:cs="Arial"/>
          <w:sz w:val="24"/>
          <w:szCs w:val="24"/>
        </w:rPr>
        <w:t>‘pure’</w:t>
      </w:r>
      <w:r w:rsidRPr="00B35E07">
        <w:rPr>
          <w:rFonts w:ascii="Arial" w:hAnsi="Arial" w:cs="Arial"/>
          <w:color w:val="FFFFFF" w:themeColor="background1"/>
          <w:sz w:val="10"/>
          <w:szCs w:val="24"/>
        </w:rPr>
        <w:t xml:space="preserve"> i</w:t>
      </w:r>
      <w:r w:rsidRPr="00B35E07">
        <w:rPr>
          <w:rFonts w:ascii="Arial" w:hAnsi="Arial" w:cs="Arial"/>
          <w:sz w:val="24"/>
          <w:szCs w:val="24"/>
        </w:rPr>
        <w:t>efficiency. The only room for improvement and enhancement lies</w:t>
      </w:r>
      <w:r w:rsidRPr="00B35E07">
        <w:rPr>
          <w:rFonts w:ascii="Arial" w:hAnsi="Arial" w:cs="Arial"/>
          <w:color w:val="FFFFFF" w:themeColor="background1"/>
          <w:sz w:val="10"/>
          <w:szCs w:val="24"/>
        </w:rPr>
        <w:t xml:space="preserve"> i</w:t>
      </w:r>
      <w:r w:rsidRPr="00B35E07">
        <w:rPr>
          <w:rFonts w:ascii="Arial" w:hAnsi="Arial" w:cs="Arial"/>
          <w:sz w:val="24"/>
          <w:szCs w:val="24"/>
        </w:rPr>
        <w:t>in</w:t>
      </w:r>
      <w:r w:rsidRPr="00B35E07">
        <w:rPr>
          <w:rFonts w:ascii="Arial" w:hAnsi="Arial" w:cs="Arial"/>
          <w:color w:val="FFFFFF" w:themeColor="background1"/>
          <w:sz w:val="10"/>
          <w:szCs w:val="24"/>
        </w:rPr>
        <w:t xml:space="preserve"> i</w:t>
      </w:r>
      <w:r w:rsidRPr="00B35E07">
        <w:rPr>
          <w:rFonts w:ascii="Arial" w:hAnsi="Arial" w:cs="Arial"/>
          <w:sz w:val="24"/>
          <w:szCs w:val="24"/>
        </w:rPr>
        <w:t>a</w:t>
      </w:r>
      <w:r w:rsidRPr="00B35E07">
        <w:rPr>
          <w:rFonts w:ascii="Arial" w:hAnsi="Arial" w:cs="Arial"/>
          <w:color w:val="FFFFFF" w:themeColor="background1"/>
          <w:sz w:val="10"/>
          <w:szCs w:val="24"/>
        </w:rPr>
        <w:t xml:space="preserve"> i</w:t>
      </w:r>
      <w:r w:rsidRPr="00B35E07">
        <w:rPr>
          <w:rFonts w:ascii="Arial" w:hAnsi="Arial" w:cs="Arial"/>
          <w:sz w:val="24"/>
          <w:szCs w:val="24"/>
        </w:rPr>
        <w:t>scale</w:t>
      </w:r>
      <w:r w:rsidRPr="00B35E07">
        <w:rPr>
          <w:rFonts w:ascii="Arial" w:hAnsi="Arial" w:cs="Arial"/>
          <w:color w:val="FFFFFF" w:themeColor="background1"/>
          <w:sz w:val="10"/>
          <w:szCs w:val="24"/>
        </w:rPr>
        <w:t xml:space="preserve"> i</w:t>
      </w:r>
      <w:r w:rsidRPr="00B35E07">
        <w:rPr>
          <w:rFonts w:ascii="Arial" w:hAnsi="Arial" w:cs="Arial"/>
          <w:sz w:val="24"/>
          <w:szCs w:val="24"/>
        </w:rPr>
        <w:t>adjustment of 9.4% (100%-90.6%) of inputs</w:t>
      </w:r>
      <w:r w:rsidRPr="00B35E07">
        <w:rPr>
          <w:rFonts w:ascii="Arial" w:hAnsi="Arial" w:cs="Arial"/>
          <w:color w:val="FFFFFF" w:themeColor="background1"/>
          <w:sz w:val="10"/>
          <w:szCs w:val="24"/>
        </w:rPr>
        <w:t xml:space="preserve"> i</w:t>
      </w:r>
      <w:r w:rsidRPr="00B35E07">
        <w:rPr>
          <w:rFonts w:ascii="Arial" w:hAnsi="Arial" w:cs="Arial"/>
          <w:sz w:val="24"/>
          <w:szCs w:val="24"/>
        </w:rPr>
        <w:t>could</w:t>
      </w:r>
      <w:r w:rsidRPr="00B35E07">
        <w:rPr>
          <w:rFonts w:ascii="Arial" w:hAnsi="Arial" w:cs="Arial"/>
          <w:color w:val="FFFFFF" w:themeColor="background1"/>
          <w:sz w:val="10"/>
          <w:szCs w:val="24"/>
        </w:rPr>
        <w:t xml:space="preserve"> i</w:t>
      </w:r>
      <w:r w:rsidRPr="00B35E07">
        <w:rPr>
          <w:rFonts w:ascii="Arial" w:hAnsi="Arial" w:cs="Arial"/>
          <w:sz w:val="24"/>
          <w:szCs w:val="24"/>
        </w:rPr>
        <w:t>be</w:t>
      </w:r>
      <w:r w:rsidRPr="00B35E07">
        <w:rPr>
          <w:rFonts w:ascii="Arial" w:hAnsi="Arial" w:cs="Arial"/>
          <w:color w:val="FFFFFF" w:themeColor="background1"/>
          <w:sz w:val="10"/>
          <w:szCs w:val="24"/>
        </w:rPr>
        <w:t xml:space="preserve"> i</w:t>
      </w:r>
      <w:r w:rsidRPr="00B35E07">
        <w:rPr>
          <w:rFonts w:ascii="Arial" w:hAnsi="Arial" w:cs="Arial"/>
          <w:sz w:val="24"/>
          <w:szCs w:val="24"/>
        </w:rPr>
        <w:t>saved</w:t>
      </w:r>
      <w:r w:rsidRPr="00B35E07">
        <w:rPr>
          <w:rFonts w:ascii="Arial" w:hAnsi="Arial" w:cs="Arial"/>
          <w:color w:val="FFFFFF" w:themeColor="background1"/>
          <w:sz w:val="10"/>
          <w:szCs w:val="24"/>
        </w:rPr>
        <w:t xml:space="preserve"> i</w:t>
      </w:r>
      <w:r w:rsidRPr="00B35E07">
        <w:rPr>
          <w:rFonts w:ascii="Arial" w:hAnsi="Arial" w:cs="Arial"/>
          <w:sz w:val="24"/>
          <w:szCs w:val="24"/>
        </w:rPr>
        <w:t>and</w:t>
      </w:r>
      <w:r w:rsidRPr="00B35E07">
        <w:rPr>
          <w:rFonts w:ascii="Arial" w:hAnsi="Arial" w:cs="Arial"/>
          <w:color w:val="FFFFFF" w:themeColor="background1"/>
          <w:sz w:val="10"/>
          <w:szCs w:val="24"/>
        </w:rPr>
        <w:t xml:space="preserve"> i</w:t>
      </w:r>
      <w:r w:rsidRPr="00B35E07">
        <w:rPr>
          <w:rFonts w:ascii="Arial" w:hAnsi="Arial" w:cs="Arial"/>
          <w:sz w:val="24"/>
          <w:szCs w:val="24"/>
        </w:rPr>
        <w:t>controlled.</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column</w:t>
      </w:r>
      <w:r w:rsidRPr="00B35E07">
        <w:rPr>
          <w:rFonts w:ascii="Arial" w:hAnsi="Arial" w:cs="Arial"/>
          <w:color w:val="FFFFFF" w:themeColor="background1"/>
          <w:sz w:val="10"/>
          <w:szCs w:val="24"/>
        </w:rPr>
        <w:t xml:space="preserve"> i</w:t>
      </w:r>
      <w:r w:rsidRPr="00B35E07">
        <w:rPr>
          <w:rFonts w:ascii="Arial" w:hAnsi="Arial" w:cs="Arial"/>
          <w:sz w:val="24"/>
          <w:szCs w:val="24"/>
        </w:rPr>
        <w:t>of</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‘original</w:t>
      </w:r>
      <w:r w:rsidRPr="00B35E07">
        <w:rPr>
          <w:rFonts w:ascii="Arial" w:hAnsi="Arial" w:cs="Arial"/>
          <w:color w:val="FFFFFF" w:themeColor="background1"/>
          <w:sz w:val="10"/>
          <w:szCs w:val="24"/>
        </w:rPr>
        <w:t xml:space="preserve"> i</w:t>
      </w:r>
      <w:r w:rsidRPr="00B35E07">
        <w:rPr>
          <w:rFonts w:ascii="Arial" w:hAnsi="Arial" w:cs="Arial"/>
          <w:sz w:val="24"/>
          <w:szCs w:val="24"/>
        </w:rPr>
        <w:t>value’</w:t>
      </w:r>
      <w:r w:rsidRPr="00B35E07">
        <w:rPr>
          <w:rFonts w:ascii="Arial" w:hAnsi="Arial" w:cs="Arial"/>
          <w:color w:val="FFFFFF" w:themeColor="background1"/>
          <w:sz w:val="10"/>
          <w:szCs w:val="24"/>
        </w:rPr>
        <w:t xml:space="preserve"> i</w:t>
      </w:r>
      <w:r w:rsidRPr="00B35E07">
        <w:rPr>
          <w:rFonts w:ascii="Arial" w:hAnsi="Arial" w:cs="Arial"/>
          <w:sz w:val="24"/>
          <w:szCs w:val="24"/>
        </w:rPr>
        <w:t>contains</w:t>
      </w:r>
      <w:r w:rsidRPr="00B35E07">
        <w:rPr>
          <w:rFonts w:ascii="Arial" w:hAnsi="Arial" w:cs="Arial"/>
          <w:color w:val="FFFFFF" w:themeColor="background1"/>
          <w:sz w:val="10"/>
          <w:szCs w:val="24"/>
        </w:rPr>
        <w:t xml:space="preserve"> i</w:t>
      </w:r>
      <w:r w:rsidRPr="00B35E07">
        <w:rPr>
          <w:rFonts w:ascii="Arial" w:hAnsi="Arial" w:cs="Arial"/>
          <w:sz w:val="24"/>
          <w:szCs w:val="24"/>
        </w:rPr>
        <w:t>the</w:t>
      </w:r>
      <w:r w:rsidRPr="00B35E07">
        <w:rPr>
          <w:rFonts w:ascii="Arial" w:hAnsi="Arial" w:cs="Arial"/>
          <w:color w:val="FFFFFF" w:themeColor="background1"/>
          <w:sz w:val="10"/>
          <w:szCs w:val="24"/>
        </w:rPr>
        <w:t xml:space="preserve"> i</w:t>
      </w:r>
      <w:r w:rsidRPr="00B35E07">
        <w:rPr>
          <w:rFonts w:ascii="Arial" w:hAnsi="Arial" w:cs="Arial"/>
          <w:sz w:val="24"/>
          <w:szCs w:val="24"/>
        </w:rPr>
        <w:t>same values to the projected ones implying that the bank is purely efficient acting as its own peer.</w:t>
      </w:r>
    </w:p>
    <w:p w14:paraId="04F4A3D2" w14:textId="77777777" w:rsidR="00762CFB" w:rsidRPr="00B35E07" w:rsidRDefault="00762CFB" w:rsidP="00726370">
      <w:pPr>
        <w:pStyle w:val="Heading3"/>
        <w:rPr>
          <w:rFonts w:ascii="Arial" w:hAnsi="Arial" w:cs="Arial"/>
          <w:b/>
          <w:bCs/>
          <w:color w:val="auto"/>
        </w:rPr>
      </w:pPr>
      <w:bookmarkStart w:id="83" w:name="_Toc27579803"/>
    </w:p>
    <w:p w14:paraId="287B2E6D" w14:textId="77777777" w:rsidR="00762CFB" w:rsidRPr="00B35E07" w:rsidRDefault="00762CFB" w:rsidP="00726370">
      <w:pPr>
        <w:pStyle w:val="Heading3"/>
        <w:rPr>
          <w:rFonts w:ascii="Arial" w:hAnsi="Arial" w:cs="Arial"/>
          <w:b/>
          <w:bCs/>
          <w:color w:val="auto"/>
        </w:rPr>
      </w:pPr>
    </w:p>
    <w:p w14:paraId="51AA3609" w14:textId="77777777" w:rsidR="00762CFB" w:rsidRPr="00B35E07" w:rsidRDefault="00762CFB" w:rsidP="00726370">
      <w:pPr>
        <w:pStyle w:val="Heading3"/>
        <w:rPr>
          <w:rFonts w:ascii="Arial" w:hAnsi="Arial" w:cs="Arial"/>
          <w:b/>
          <w:bCs/>
          <w:color w:val="auto"/>
        </w:rPr>
      </w:pPr>
    </w:p>
    <w:p w14:paraId="1FD1D3E1" w14:textId="77777777" w:rsidR="00762CFB" w:rsidRPr="00B35E07" w:rsidRDefault="00762CFB" w:rsidP="00726370">
      <w:pPr>
        <w:pStyle w:val="Heading3"/>
        <w:rPr>
          <w:rFonts w:ascii="Arial" w:hAnsi="Arial" w:cs="Arial"/>
          <w:b/>
          <w:bCs/>
          <w:color w:val="auto"/>
        </w:rPr>
      </w:pPr>
    </w:p>
    <w:p w14:paraId="2FEC5E91" w14:textId="77777777" w:rsidR="00762CFB" w:rsidRPr="00B35E07" w:rsidRDefault="00762CFB" w:rsidP="00726370">
      <w:pPr>
        <w:pStyle w:val="Heading3"/>
        <w:rPr>
          <w:rFonts w:ascii="Arial" w:hAnsi="Arial" w:cs="Arial"/>
          <w:b/>
          <w:bCs/>
          <w:color w:val="auto"/>
        </w:rPr>
      </w:pPr>
    </w:p>
    <w:p w14:paraId="5D0BA6F8" w14:textId="77777777" w:rsidR="00762CFB" w:rsidRPr="00B35E07" w:rsidRDefault="00762CFB" w:rsidP="00726370">
      <w:pPr>
        <w:pStyle w:val="Heading3"/>
        <w:rPr>
          <w:rFonts w:ascii="Arial" w:hAnsi="Arial" w:cs="Arial"/>
          <w:b/>
          <w:bCs/>
          <w:color w:val="auto"/>
        </w:rPr>
      </w:pPr>
    </w:p>
    <w:p w14:paraId="6B33477A" w14:textId="77777777" w:rsidR="00762CFB" w:rsidRPr="00B35E07" w:rsidRDefault="00762CFB" w:rsidP="00726370">
      <w:pPr>
        <w:pStyle w:val="Heading3"/>
        <w:rPr>
          <w:rFonts w:ascii="Arial" w:hAnsi="Arial" w:cs="Arial"/>
          <w:b/>
          <w:bCs/>
          <w:color w:val="auto"/>
        </w:rPr>
      </w:pPr>
    </w:p>
    <w:p w14:paraId="15FEF9EB" w14:textId="77777777" w:rsidR="00762CFB" w:rsidRPr="00B35E07" w:rsidRDefault="00762CFB" w:rsidP="00726370">
      <w:pPr>
        <w:pStyle w:val="Heading3"/>
        <w:rPr>
          <w:rFonts w:ascii="Arial" w:hAnsi="Arial" w:cs="Arial"/>
          <w:b/>
          <w:bCs/>
          <w:color w:val="auto"/>
        </w:rPr>
      </w:pPr>
    </w:p>
    <w:p w14:paraId="630CF15B" w14:textId="77777777" w:rsidR="00762CFB" w:rsidRPr="00B35E07" w:rsidRDefault="00762CFB" w:rsidP="00726370">
      <w:pPr>
        <w:pStyle w:val="Heading3"/>
        <w:rPr>
          <w:rFonts w:ascii="Arial" w:hAnsi="Arial" w:cs="Arial"/>
          <w:b/>
          <w:bCs/>
          <w:color w:val="auto"/>
        </w:rPr>
      </w:pPr>
    </w:p>
    <w:p w14:paraId="05943F7D" w14:textId="77777777" w:rsidR="00762CFB" w:rsidRPr="00B35E07" w:rsidRDefault="00762CFB" w:rsidP="00726370">
      <w:pPr>
        <w:pStyle w:val="Heading3"/>
        <w:rPr>
          <w:rFonts w:ascii="Arial" w:hAnsi="Arial" w:cs="Arial"/>
          <w:b/>
          <w:bCs/>
          <w:color w:val="auto"/>
        </w:rPr>
      </w:pPr>
    </w:p>
    <w:p w14:paraId="735AEB33" w14:textId="77777777" w:rsidR="00762CFB" w:rsidRPr="00B35E07" w:rsidRDefault="00762CFB" w:rsidP="00726370">
      <w:pPr>
        <w:pStyle w:val="Heading3"/>
        <w:rPr>
          <w:rFonts w:ascii="Arial" w:hAnsi="Arial" w:cs="Arial"/>
          <w:b/>
          <w:bCs/>
          <w:color w:val="auto"/>
        </w:rPr>
      </w:pPr>
    </w:p>
    <w:p w14:paraId="7CFF63B8" w14:textId="6CA1867C" w:rsidR="00762CFB" w:rsidRPr="00B35E07" w:rsidRDefault="00762CFB" w:rsidP="00726370">
      <w:pPr>
        <w:pStyle w:val="Heading3"/>
        <w:rPr>
          <w:rFonts w:ascii="Arial" w:hAnsi="Arial" w:cs="Arial"/>
          <w:b/>
          <w:bCs/>
          <w:color w:val="auto"/>
        </w:rPr>
      </w:pPr>
    </w:p>
    <w:p w14:paraId="0BB13637" w14:textId="77777777" w:rsidR="00762CFB" w:rsidRPr="00B35E07" w:rsidRDefault="00762CFB" w:rsidP="00762CFB">
      <w:pPr>
        <w:rPr>
          <w:rFonts w:ascii="Arial" w:hAnsi="Arial" w:cs="Arial"/>
        </w:rPr>
      </w:pPr>
    </w:p>
    <w:p w14:paraId="7C80C223" w14:textId="21F63296" w:rsidR="00726370" w:rsidRPr="00B35E07" w:rsidRDefault="00726370" w:rsidP="00726370">
      <w:pPr>
        <w:pStyle w:val="Heading3"/>
        <w:rPr>
          <w:rFonts w:ascii="Arial" w:hAnsi="Arial" w:cs="Arial"/>
          <w:b/>
          <w:bCs/>
          <w:color w:val="auto"/>
        </w:rPr>
      </w:pPr>
      <w:r w:rsidRPr="00B35E07">
        <w:rPr>
          <w:rFonts w:ascii="Arial" w:hAnsi="Arial" w:cs="Arial"/>
          <w:b/>
          <w:bCs/>
          <w:color w:val="auto"/>
        </w:rPr>
        <w:lastRenderedPageBreak/>
        <w:t>4.1.4: Results for bank:     4</w:t>
      </w:r>
      <w:bookmarkEnd w:id="83"/>
    </w:p>
    <w:p w14:paraId="72A4BE89" w14:textId="77777777" w:rsidR="00726370" w:rsidRPr="00B35E07" w:rsidRDefault="00726370" w:rsidP="00726370">
      <w:pPr>
        <w:pStyle w:val="Caption"/>
        <w:rPr>
          <w:rFonts w:ascii="Arial" w:hAnsi="Arial" w:cs="Arial"/>
        </w:rPr>
      </w:pPr>
    </w:p>
    <w:p w14:paraId="352E777F" w14:textId="77777777" w:rsidR="00726370" w:rsidRPr="00B35E07" w:rsidRDefault="00726370" w:rsidP="00726370">
      <w:pPr>
        <w:pStyle w:val="Caption"/>
        <w:rPr>
          <w:rFonts w:ascii="Arial" w:hAnsi="Arial" w:cs="Arial"/>
        </w:rPr>
      </w:pPr>
      <w:bookmarkStart w:id="84" w:name="_Toc27427412"/>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5</w:t>
      </w:r>
      <w:r w:rsidRPr="00B35E07">
        <w:rPr>
          <w:rFonts w:ascii="Arial" w:hAnsi="Arial" w:cs="Arial"/>
          <w:noProof/>
        </w:rPr>
        <w:fldChar w:fldCharType="end"/>
      </w:r>
      <w:r w:rsidRPr="00B35E07">
        <w:rPr>
          <w:rFonts w:ascii="Arial" w:hAnsi="Arial" w:cs="Arial"/>
        </w:rPr>
        <w:t>: Efficiency of bank 4</w:t>
      </w:r>
      <w:bookmarkEnd w:id="84"/>
    </w:p>
    <w:p w14:paraId="52AB0200"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47770C68" wp14:editId="3D23D73C">
            <wp:extent cx="3213100" cy="2353310"/>
            <wp:effectExtent l="0" t="0" r="635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13100" cy="2353310"/>
                    </a:xfrm>
                    <a:prstGeom prst="rect">
                      <a:avLst/>
                    </a:prstGeom>
                    <a:noFill/>
                  </pic:spPr>
                </pic:pic>
              </a:graphicData>
            </a:graphic>
          </wp:inline>
        </w:drawing>
      </w:r>
    </w:p>
    <w:p w14:paraId="0578A30E" w14:textId="77777777" w:rsidR="00726370" w:rsidRPr="00B35E07" w:rsidRDefault="00726370" w:rsidP="00726370">
      <w:pPr>
        <w:keepNext/>
        <w:spacing w:after="0" w:line="360" w:lineRule="auto"/>
        <w:jc w:val="center"/>
        <w:rPr>
          <w:rFonts w:ascii="Arial" w:hAnsi="Arial" w:cs="Arial"/>
        </w:rPr>
      </w:pPr>
    </w:p>
    <w:p w14:paraId="0013F687"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4</w:t>
      </w:r>
      <w:r w:rsidRPr="00B35E07">
        <w:rPr>
          <w:rFonts w:ascii="Arial" w:hAnsi="Arial" w:cs="Arial"/>
          <w:sz w:val="24"/>
          <w:szCs w:val="24"/>
          <w:vertAlign w:val="superscript"/>
        </w:rPr>
        <w:t>th</w:t>
      </w:r>
      <w:r w:rsidRPr="00B35E07">
        <w:rPr>
          <w:rFonts w:ascii="Arial" w:hAnsi="Arial" w:cs="Arial"/>
          <w:sz w:val="24"/>
          <w:szCs w:val="24"/>
        </w:rPr>
        <w:t xml:space="preserve"> bank, DTB has a ‘pure’ efficiency score of 100% and a scale efficiency score of 100%. It is facing a constant return to scale, CRS. This bank, is effectively managed and operated and operating at an optimal level.</w:t>
      </w:r>
    </w:p>
    <w:p w14:paraId="18E5537D" w14:textId="77777777" w:rsidR="00726370" w:rsidRPr="00B35E07" w:rsidRDefault="00726370" w:rsidP="00726370">
      <w:pPr>
        <w:pStyle w:val="Heading3"/>
        <w:rPr>
          <w:rFonts w:ascii="Arial" w:hAnsi="Arial" w:cs="Arial"/>
          <w:b/>
          <w:bCs/>
          <w:color w:val="auto"/>
        </w:rPr>
      </w:pPr>
      <w:bookmarkStart w:id="85" w:name="_Toc27579804"/>
      <w:r w:rsidRPr="00B35E07">
        <w:rPr>
          <w:rFonts w:ascii="Arial" w:hAnsi="Arial" w:cs="Arial"/>
          <w:b/>
          <w:bCs/>
          <w:color w:val="auto"/>
        </w:rPr>
        <w:t>4.1.5: Results for bank:     5</w:t>
      </w:r>
      <w:bookmarkEnd w:id="85"/>
    </w:p>
    <w:p w14:paraId="30C0AFF7" w14:textId="77777777" w:rsidR="00726370" w:rsidRPr="00B35E07" w:rsidRDefault="00726370" w:rsidP="00726370">
      <w:pPr>
        <w:pStyle w:val="Caption"/>
        <w:rPr>
          <w:rFonts w:ascii="Arial" w:hAnsi="Arial" w:cs="Arial"/>
        </w:rPr>
      </w:pPr>
    </w:p>
    <w:p w14:paraId="6B2B57C9" w14:textId="77777777" w:rsidR="00726370" w:rsidRPr="00B35E07" w:rsidRDefault="00726370" w:rsidP="00726370">
      <w:pPr>
        <w:pStyle w:val="Caption"/>
        <w:rPr>
          <w:rFonts w:ascii="Arial" w:hAnsi="Arial" w:cs="Arial"/>
        </w:rPr>
      </w:pPr>
      <w:bookmarkStart w:id="86" w:name="_Toc27427413"/>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6</w:t>
      </w:r>
      <w:r w:rsidRPr="00B35E07">
        <w:rPr>
          <w:rFonts w:ascii="Arial" w:hAnsi="Arial" w:cs="Arial"/>
          <w:noProof/>
        </w:rPr>
        <w:fldChar w:fldCharType="end"/>
      </w:r>
      <w:r w:rsidRPr="00B35E07">
        <w:rPr>
          <w:rFonts w:ascii="Arial" w:hAnsi="Arial" w:cs="Arial"/>
        </w:rPr>
        <w:t>: Efficiency of bank 5</w:t>
      </w:r>
      <w:bookmarkEnd w:id="86"/>
    </w:p>
    <w:p w14:paraId="78D3A577"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2304F064" wp14:editId="0F86ECC5">
            <wp:extent cx="3145790" cy="231076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45790" cy="2310765"/>
                    </a:xfrm>
                    <a:prstGeom prst="rect">
                      <a:avLst/>
                    </a:prstGeom>
                    <a:noFill/>
                  </pic:spPr>
                </pic:pic>
              </a:graphicData>
            </a:graphic>
          </wp:inline>
        </w:drawing>
      </w:r>
    </w:p>
    <w:p w14:paraId="6A7FB25A" w14:textId="77777777" w:rsidR="00726370" w:rsidRPr="00B35E07" w:rsidRDefault="00726370" w:rsidP="00726370">
      <w:pPr>
        <w:spacing w:after="0" w:line="360" w:lineRule="auto"/>
        <w:jc w:val="center"/>
        <w:rPr>
          <w:rFonts w:ascii="Arial" w:hAnsi="Arial" w:cs="Arial"/>
          <w:b/>
          <w:bCs/>
          <w:sz w:val="24"/>
          <w:szCs w:val="24"/>
        </w:rPr>
      </w:pPr>
    </w:p>
    <w:p w14:paraId="3FEA04BB" w14:textId="77777777" w:rsidR="00726370" w:rsidRPr="00B35E07" w:rsidRDefault="00726370" w:rsidP="00726370">
      <w:pPr>
        <w:keepNext/>
        <w:spacing w:after="0" w:line="360" w:lineRule="auto"/>
        <w:jc w:val="center"/>
        <w:rPr>
          <w:rFonts w:ascii="Arial" w:hAnsi="Arial" w:cs="Arial"/>
        </w:rPr>
      </w:pPr>
    </w:p>
    <w:p w14:paraId="1ACF806C" w14:textId="28799680" w:rsidR="00726370" w:rsidRPr="00B35E07" w:rsidRDefault="00726370" w:rsidP="00762CFB">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5</w:t>
      </w:r>
      <w:r w:rsidRPr="00B35E07">
        <w:rPr>
          <w:rFonts w:ascii="Arial" w:hAnsi="Arial" w:cs="Arial"/>
          <w:sz w:val="24"/>
          <w:szCs w:val="24"/>
          <w:vertAlign w:val="superscript"/>
        </w:rPr>
        <w:t>th</w:t>
      </w:r>
      <w:r w:rsidRPr="00B35E07">
        <w:rPr>
          <w:rFonts w:ascii="Arial" w:hAnsi="Arial" w:cs="Arial"/>
          <w:sz w:val="24"/>
          <w:szCs w:val="24"/>
        </w:rPr>
        <w:t xml:space="preserve"> bank, HF has a ‘pure’ efficiency score of 100% and a scale efficiency score of 100%. It is facing a constant return to scale, CRS. This bank, is effectively managed and operated and operating at an optimal level.</w:t>
      </w:r>
    </w:p>
    <w:p w14:paraId="7BC6D1A1" w14:textId="40806683" w:rsidR="00726370" w:rsidRPr="00B35E07" w:rsidRDefault="00726370" w:rsidP="00726370">
      <w:pPr>
        <w:pStyle w:val="Heading3"/>
        <w:rPr>
          <w:rFonts w:ascii="Arial" w:hAnsi="Arial" w:cs="Arial"/>
          <w:b/>
          <w:bCs/>
          <w:color w:val="auto"/>
        </w:rPr>
      </w:pPr>
      <w:bookmarkStart w:id="87" w:name="_Toc27579805"/>
      <w:r w:rsidRPr="00B35E07">
        <w:rPr>
          <w:rFonts w:ascii="Arial" w:hAnsi="Arial" w:cs="Arial"/>
          <w:b/>
          <w:bCs/>
          <w:color w:val="auto"/>
        </w:rPr>
        <w:t>4.1.6: Results for bank:     6</w:t>
      </w:r>
      <w:bookmarkEnd w:id="87"/>
    </w:p>
    <w:p w14:paraId="1564FA36" w14:textId="77777777" w:rsidR="00726370" w:rsidRPr="00B35E07" w:rsidRDefault="00726370" w:rsidP="00726370">
      <w:pPr>
        <w:pStyle w:val="Caption"/>
        <w:rPr>
          <w:rFonts w:ascii="Arial" w:hAnsi="Arial" w:cs="Arial"/>
        </w:rPr>
      </w:pPr>
    </w:p>
    <w:p w14:paraId="5DDFB2AC" w14:textId="77777777" w:rsidR="00726370" w:rsidRPr="00B35E07" w:rsidRDefault="00726370" w:rsidP="00726370">
      <w:pPr>
        <w:pStyle w:val="Caption"/>
        <w:rPr>
          <w:rFonts w:ascii="Arial" w:hAnsi="Arial" w:cs="Arial"/>
        </w:rPr>
      </w:pPr>
      <w:bookmarkStart w:id="88" w:name="_Toc27427414"/>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7</w:t>
      </w:r>
      <w:r w:rsidRPr="00B35E07">
        <w:rPr>
          <w:rFonts w:ascii="Arial" w:hAnsi="Arial" w:cs="Arial"/>
          <w:noProof/>
        </w:rPr>
        <w:fldChar w:fldCharType="end"/>
      </w:r>
      <w:r w:rsidRPr="00B35E07">
        <w:rPr>
          <w:rFonts w:ascii="Arial" w:hAnsi="Arial" w:cs="Arial"/>
        </w:rPr>
        <w:t>: Efficiency of bank 6</w:t>
      </w:r>
      <w:bookmarkEnd w:id="88"/>
    </w:p>
    <w:p w14:paraId="69D64E24"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4635FD22" wp14:editId="203CEAB4">
            <wp:extent cx="3413760" cy="2505710"/>
            <wp:effectExtent l="0" t="0" r="0" b="889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13760" cy="2505710"/>
                    </a:xfrm>
                    <a:prstGeom prst="rect">
                      <a:avLst/>
                    </a:prstGeom>
                    <a:noFill/>
                  </pic:spPr>
                </pic:pic>
              </a:graphicData>
            </a:graphic>
          </wp:inline>
        </w:drawing>
      </w:r>
    </w:p>
    <w:p w14:paraId="5D80BD3A" w14:textId="77777777" w:rsidR="00726370" w:rsidRPr="00B35E07" w:rsidRDefault="00726370" w:rsidP="00726370">
      <w:pPr>
        <w:keepNext/>
        <w:spacing w:after="0" w:line="360" w:lineRule="auto"/>
        <w:jc w:val="center"/>
        <w:rPr>
          <w:rFonts w:ascii="Arial" w:hAnsi="Arial" w:cs="Arial"/>
        </w:rPr>
      </w:pPr>
    </w:p>
    <w:p w14:paraId="2EE84778"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6</w:t>
      </w:r>
      <w:r w:rsidRPr="00B35E07">
        <w:rPr>
          <w:rFonts w:ascii="Arial" w:hAnsi="Arial" w:cs="Arial"/>
          <w:sz w:val="24"/>
          <w:szCs w:val="24"/>
          <w:vertAlign w:val="superscript"/>
        </w:rPr>
        <w:t>th</w:t>
      </w:r>
      <w:r w:rsidRPr="00B35E07">
        <w:rPr>
          <w:rFonts w:ascii="Arial" w:hAnsi="Arial" w:cs="Arial"/>
          <w:sz w:val="24"/>
          <w:szCs w:val="24"/>
        </w:rPr>
        <w:t xml:space="preserve"> bank, National bank has a ‘pure’ efficiency score of 100% and a scale efficiency score of 90.3%. It is facing an increasing return to scale, IRS. This bank, is well managed and operated, it cannot improve its ‘pure’ efficiency. The only room for improvement and enhancement lies in a scale adjustment of 9.7% (100%-90.3%) of inputs could be saved and controlled.</w:t>
      </w:r>
    </w:p>
    <w:p w14:paraId="200A8191"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The column of the ‘original value’ contains the same values to the projected ones implying that the bank is purely efficient acting as its own peer.</w:t>
      </w:r>
    </w:p>
    <w:p w14:paraId="4E194947" w14:textId="77777777" w:rsidR="00726370" w:rsidRPr="00B35E07" w:rsidRDefault="00726370" w:rsidP="00726370">
      <w:pPr>
        <w:spacing w:after="0" w:line="360" w:lineRule="auto"/>
        <w:rPr>
          <w:rFonts w:ascii="Arial" w:hAnsi="Arial" w:cs="Arial"/>
          <w:b/>
          <w:bCs/>
          <w:sz w:val="24"/>
          <w:szCs w:val="24"/>
        </w:rPr>
      </w:pPr>
    </w:p>
    <w:p w14:paraId="7CA091A8" w14:textId="77777777" w:rsidR="00726370" w:rsidRPr="00B35E07" w:rsidRDefault="00726370" w:rsidP="00726370">
      <w:pPr>
        <w:pStyle w:val="Heading3"/>
        <w:rPr>
          <w:rFonts w:ascii="Arial" w:hAnsi="Arial" w:cs="Arial"/>
          <w:b/>
          <w:bCs/>
          <w:color w:val="auto"/>
        </w:rPr>
      </w:pPr>
    </w:p>
    <w:p w14:paraId="3611A982" w14:textId="77777777" w:rsidR="00726370" w:rsidRPr="00B35E07" w:rsidRDefault="00726370" w:rsidP="00726370">
      <w:pPr>
        <w:pStyle w:val="Heading3"/>
        <w:rPr>
          <w:rFonts w:ascii="Arial" w:hAnsi="Arial" w:cs="Arial"/>
          <w:b/>
          <w:bCs/>
          <w:color w:val="auto"/>
        </w:rPr>
      </w:pPr>
    </w:p>
    <w:p w14:paraId="5682162F" w14:textId="77777777" w:rsidR="00726370" w:rsidRPr="00B35E07" w:rsidRDefault="00726370" w:rsidP="00726370">
      <w:pPr>
        <w:pStyle w:val="Heading3"/>
        <w:rPr>
          <w:rFonts w:ascii="Arial" w:hAnsi="Arial" w:cs="Arial"/>
          <w:b/>
          <w:bCs/>
          <w:color w:val="auto"/>
        </w:rPr>
      </w:pPr>
    </w:p>
    <w:p w14:paraId="4715CBFF" w14:textId="77777777" w:rsidR="00726370" w:rsidRPr="00B35E07" w:rsidRDefault="00726370" w:rsidP="00726370">
      <w:pPr>
        <w:pStyle w:val="Heading3"/>
        <w:rPr>
          <w:rFonts w:ascii="Arial" w:hAnsi="Arial" w:cs="Arial"/>
          <w:b/>
          <w:bCs/>
          <w:color w:val="auto"/>
        </w:rPr>
      </w:pPr>
    </w:p>
    <w:p w14:paraId="6DC7E453" w14:textId="77777777" w:rsidR="00726370" w:rsidRPr="00B35E07" w:rsidRDefault="00726370" w:rsidP="00726370">
      <w:pPr>
        <w:pStyle w:val="Heading3"/>
        <w:rPr>
          <w:rFonts w:ascii="Arial" w:hAnsi="Arial" w:cs="Arial"/>
          <w:b/>
          <w:bCs/>
          <w:color w:val="auto"/>
        </w:rPr>
      </w:pPr>
    </w:p>
    <w:p w14:paraId="14384546" w14:textId="77777777" w:rsidR="00726370" w:rsidRPr="00B35E07" w:rsidRDefault="00726370" w:rsidP="00726370">
      <w:pPr>
        <w:rPr>
          <w:rFonts w:ascii="Arial" w:hAnsi="Arial" w:cs="Arial"/>
        </w:rPr>
      </w:pPr>
    </w:p>
    <w:p w14:paraId="3B1D0C13" w14:textId="0C2C1ED1" w:rsidR="00726370" w:rsidRPr="00B35E07" w:rsidRDefault="00726370" w:rsidP="00726370">
      <w:pPr>
        <w:pStyle w:val="Heading3"/>
        <w:rPr>
          <w:rFonts w:ascii="Arial" w:hAnsi="Arial" w:cs="Arial"/>
          <w:b/>
          <w:bCs/>
          <w:color w:val="auto"/>
        </w:rPr>
      </w:pPr>
      <w:bookmarkStart w:id="89" w:name="_Toc27579806"/>
      <w:r w:rsidRPr="00B35E07">
        <w:rPr>
          <w:rFonts w:ascii="Arial" w:hAnsi="Arial" w:cs="Arial"/>
          <w:b/>
          <w:bCs/>
          <w:color w:val="auto"/>
        </w:rPr>
        <w:lastRenderedPageBreak/>
        <w:t>4.1.7: Results for bank:     7</w:t>
      </w:r>
      <w:bookmarkEnd w:id="89"/>
    </w:p>
    <w:p w14:paraId="6465023A" w14:textId="77777777" w:rsidR="00726370" w:rsidRPr="00B35E07" w:rsidRDefault="00726370" w:rsidP="00726370">
      <w:pPr>
        <w:pStyle w:val="Caption"/>
        <w:rPr>
          <w:rFonts w:ascii="Arial" w:hAnsi="Arial" w:cs="Arial"/>
        </w:rPr>
      </w:pPr>
    </w:p>
    <w:p w14:paraId="1213564C" w14:textId="77777777" w:rsidR="00726370" w:rsidRPr="00B35E07" w:rsidRDefault="00726370" w:rsidP="00726370">
      <w:pPr>
        <w:pStyle w:val="Caption"/>
        <w:rPr>
          <w:rFonts w:ascii="Arial" w:hAnsi="Arial" w:cs="Arial"/>
        </w:rPr>
      </w:pPr>
      <w:bookmarkStart w:id="90" w:name="_Toc27427415"/>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8</w:t>
      </w:r>
      <w:r w:rsidRPr="00B35E07">
        <w:rPr>
          <w:rFonts w:ascii="Arial" w:hAnsi="Arial" w:cs="Arial"/>
          <w:noProof/>
        </w:rPr>
        <w:fldChar w:fldCharType="end"/>
      </w:r>
      <w:r w:rsidRPr="00B35E07">
        <w:rPr>
          <w:rFonts w:ascii="Arial" w:hAnsi="Arial" w:cs="Arial"/>
        </w:rPr>
        <w:t>: Efficiency of bank 7</w:t>
      </w:r>
      <w:bookmarkEnd w:id="90"/>
    </w:p>
    <w:p w14:paraId="0AE25251"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5C04BDB3" wp14:editId="3CEE72B7">
            <wp:extent cx="3499485" cy="2414270"/>
            <wp:effectExtent l="0" t="0" r="5715"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99485" cy="2414270"/>
                    </a:xfrm>
                    <a:prstGeom prst="rect">
                      <a:avLst/>
                    </a:prstGeom>
                    <a:noFill/>
                  </pic:spPr>
                </pic:pic>
              </a:graphicData>
            </a:graphic>
          </wp:inline>
        </w:drawing>
      </w:r>
    </w:p>
    <w:p w14:paraId="277CA373" w14:textId="77777777" w:rsidR="00726370" w:rsidRPr="00B35E07" w:rsidRDefault="00726370" w:rsidP="00726370">
      <w:pPr>
        <w:keepNext/>
        <w:spacing w:after="0" w:line="360" w:lineRule="auto"/>
        <w:jc w:val="center"/>
        <w:rPr>
          <w:rFonts w:ascii="Arial" w:hAnsi="Arial" w:cs="Arial"/>
        </w:rPr>
      </w:pPr>
    </w:p>
    <w:p w14:paraId="1284726B" w14:textId="4DC658D5"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7</w:t>
      </w:r>
      <w:r w:rsidRPr="00B35E07">
        <w:rPr>
          <w:rFonts w:ascii="Arial" w:hAnsi="Arial" w:cs="Arial"/>
          <w:sz w:val="24"/>
          <w:szCs w:val="24"/>
          <w:vertAlign w:val="superscript"/>
        </w:rPr>
        <w:t>th</w:t>
      </w:r>
      <w:r w:rsidRPr="00B35E07">
        <w:rPr>
          <w:rFonts w:ascii="Arial" w:hAnsi="Arial" w:cs="Arial"/>
          <w:sz w:val="24"/>
          <w:szCs w:val="24"/>
        </w:rPr>
        <w:t xml:space="preserve"> bank, Barclays has a ‘pure’ efficiency score of 100% and a scale efficiency score of 100%. It is facing a constant return to scale, CRS. This bank, is effectively managed and operated and operating at an optimal level.</w:t>
      </w:r>
    </w:p>
    <w:p w14:paraId="1B295885" w14:textId="5B8F8105" w:rsidR="00726370" w:rsidRPr="00B35E07" w:rsidRDefault="00726370" w:rsidP="00762CFB">
      <w:pPr>
        <w:pStyle w:val="Heading3"/>
        <w:rPr>
          <w:rFonts w:ascii="Arial" w:hAnsi="Arial" w:cs="Arial"/>
          <w:b/>
          <w:bCs/>
          <w:color w:val="auto"/>
        </w:rPr>
      </w:pPr>
      <w:bookmarkStart w:id="91" w:name="_Toc27579807"/>
      <w:r w:rsidRPr="00B35E07">
        <w:rPr>
          <w:rFonts w:ascii="Arial" w:hAnsi="Arial" w:cs="Arial"/>
          <w:b/>
          <w:bCs/>
          <w:color w:val="auto"/>
        </w:rPr>
        <w:t>4.1.8: Results for bank:     8</w:t>
      </w:r>
      <w:bookmarkEnd w:id="91"/>
    </w:p>
    <w:p w14:paraId="1C35ACFA" w14:textId="77777777" w:rsidR="00726370" w:rsidRPr="00B35E07" w:rsidRDefault="00726370" w:rsidP="00726370">
      <w:pPr>
        <w:pStyle w:val="Caption"/>
        <w:rPr>
          <w:rFonts w:ascii="Arial" w:hAnsi="Arial" w:cs="Arial"/>
        </w:rPr>
      </w:pPr>
      <w:bookmarkStart w:id="92" w:name="_Toc27427416"/>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9</w:t>
      </w:r>
      <w:r w:rsidRPr="00B35E07">
        <w:rPr>
          <w:rFonts w:ascii="Arial" w:hAnsi="Arial" w:cs="Arial"/>
          <w:noProof/>
        </w:rPr>
        <w:fldChar w:fldCharType="end"/>
      </w:r>
      <w:r w:rsidRPr="00B35E07">
        <w:rPr>
          <w:rFonts w:ascii="Arial" w:hAnsi="Arial" w:cs="Arial"/>
        </w:rPr>
        <w:t>: Efficiency of bank 8</w:t>
      </w:r>
      <w:bookmarkEnd w:id="92"/>
    </w:p>
    <w:p w14:paraId="5239B14F" w14:textId="77777777" w:rsidR="00726370" w:rsidRPr="00B35E07" w:rsidRDefault="00726370" w:rsidP="00726370">
      <w:pPr>
        <w:keepNext/>
        <w:spacing w:after="0" w:line="360" w:lineRule="auto"/>
        <w:jc w:val="center"/>
        <w:rPr>
          <w:rFonts w:ascii="Arial" w:hAnsi="Arial" w:cs="Arial"/>
        </w:rPr>
      </w:pPr>
      <w:r w:rsidRPr="00B35E07">
        <w:rPr>
          <w:rFonts w:ascii="Arial" w:hAnsi="Arial" w:cs="Arial"/>
          <w:noProof/>
        </w:rPr>
        <w:drawing>
          <wp:inline distT="0" distB="0" distL="0" distR="0" wp14:anchorId="22B3A588" wp14:editId="60E21E15">
            <wp:extent cx="3306043" cy="274543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0681" cy="2749281"/>
                    </a:xfrm>
                    <a:prstGeom prst="rect">
                      <a:avLst/>
                    </a:prstGeom>
                    <a:noFill/>
                    <a:ln>
                      <a:noFill/>
                    </a:ln>
                  </pic:spPr>
                </pic:pic>
              </a:graphicData>
            </a:graphic>
          </wp:inline>
        </w:drawing>
      </w:r>
    </w:p>
    <w:p w14:paraId="0A541046"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8</w:t>
      </w:r>
      <w:r w:rsidRPr="00B35E07">
        <w:rPr>
          <w:rFonts w:ascii="Arial" w:hAnsi="Arial" w:cs="Arial"/>
          <w:sz w:val="24"/>
          <w:szCs w:val="24"/>
          <w:vertAlign w:val="superscript"/>
        </w:rPr>
        <w:t>th</w:t>
      </w:r>
      <w:r w:rsidRPr="00B35E07">
        <w:rPr>
          <w:rFonts w:ascii="Arial" w:hAnsi="Arial" w:cs="Arial"/>
          <w:sz w:val="24"/>
          <w:szCs w:val="24"/>
        </w:rPr>
        <w:t xml:space="preserve"> bank, Standard Chartered has a ‘pure’ efficiency score of 94.6% and a scale efficiency score of </w:t>
      </w:r>
      <w:r w:rsidRPr="00B35E07">
        <w:rPr>
          <w:rFonts w:ascii="Arial" w:hAnsi="Arial" w:cs="Arial"/>
          <w:sz w:val="24"/>
          <w:szCs w:val="24"/>
        </w:rPr>
        <w:lastRenderedPageBreak/>
        <w:t>97.1%. It is facing an increasing return to scale, IRS. By boosting the operation of the bank, 5.4% (100%-94.6%) of inputs could be saved; likewise, by regulating the bank to its optimal level, 2.9% (100%-97.1%) of inputs could be controlled and saved.</w:t>
      </w:r>
    </w:p>
    <w:p w14:paraId="3275B7C6" w14:textId="4D4ACB61"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Likewise, it is clearly seen that the bank could produce the same quantity of output 1 and 2 and a bit more of output 3 with fewer inputs: 95.512 staff costs instead of 101, 214.899 deposits instead of 576 and 214.666 shareholder equity instead of 227. The decrease in inputs 1 and 3 are equal to 5.4% of the original values, radiant movement column. The case of input 2 is a bit different. Therefore, to be efficient, it has to decrease not only by 31.297% but also by an additional 329.805 (from the ‘slack movement’ column). Overall, the bank has to reduce its 2</w:t>
      </w:r>
      <w:r w:rsidRPr="00B35E07">
        <w:rPr>
          <w:rFonts w:ascii="Arial" w:hAnsi="Arial" w:cs="Arial"/>
          <w:sz w:val="24"/>
          <w:szCs w:val="24"/>
          <w:vertAlign w:val="superscript"/>
        </w:rPr>
        <w:t>nd</w:t>
      </w:r>
      <w:r w:rsidRPr="00B35E07">
        <w:rPr>
          <w:rFonts w:ascii="Arial" w:hAnsi="Arial" w:cs="Arial"/>
          <w:sz w:val="24"/>
          <w:szCs w:val="24"/>
        </w:rPr>
        <w:t xml:space="preserve"> input by minus 361.102 [(-31.297) + (-329.805)] to be more efficient. This represents 63% [(- 361.102 / 576) x 100]. To improve and make progress in its efficiency, the bank has to refer to bank 5,4,6 and 3 which are identified as its peers.</w:t>
      </w:r>
    </w:p>
    <w:p w14:paraId="691800B1" w14:textId="77777777" w:rsidR="00726370" w:rsidRPr="00B35E07" w:rsidRDefault="00726370" w:rsidP="00726370">
      <w:pPr>
        <w:pStyle w:val="Heading3"/>
        <w:rPr>
          <w:rFonts w:ascii="Arial" w:hAnsi="Arial" w:cs="Arial"/>
          <w:b/>
          <w:bCs/>
          <w:color w:val="auto"/>
        </w:rPr>
      </w:pPr>
      <w:bookmarkStart w:id="93" w:name="_Toc27579808"/>
      <w:r w:rsidRPr="00B35E07">
        <w:rPr>
          <w:rFonts w:ascii="Arial" w:hAnsi="Arial" w:cs="Arial"/>
          <w:b/>
          <w:bCs/>
          <w:color w:val="auto"/>
        </w:rPr>
        <w:t>4.1.9: Results for bank:     9</w:t>
      </w:r>
      <w:bookmarkEnd w:id="93"/>
    </w:p>
    <w:p w14:paraId="58DF775E" w14:textId="77777777" w:rsidR="00726370" w:rsidRPr="00B35E07" w:rsidRDefault="00726370" w:rsidP="00726370">
      <w:pPr>
        <w:pStyle w:val="Caption"/>
        <w:rPr>
          <w:rFonts w:ascii="Arial" w:hAnsi="Arial" w:cs="Arial"/>
        </w:rPr>
      </w:pPr>
    </w:p>
    <w:p w14:paraId="0FF32EAA" w14:textId="77777777" w:rsidR="00726370" w:rsidRPr="00B35E07" w:rsidRDefault="00726370" w:rsidP="00726370">
      <w:pPr>
        <w:pStyle w:val="Caption"/>
        <w:rPr>
          <w:rFonts w:ascii="Arial" w:hAnsi="Arial" w:cs="Arial"/>
        </w:rPr>
      </w:pPr>
      <w:bookmarkStart w:id="94" w:name="_Toc27427417"/>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10</w:t>
      </w:r>
      <w:r w:rsidRPr="00B35E07">
        <w:rPr>
          <w:rFonts w:ascii="Arial" w:hAnsi="Arial" w:cs="Arial"/>
          <w:noProof/>
        </w:rPr>
        <w:fldChar w:fldCharType="end"/>
      </w:r>
      <w:r w:rsidRPr="00B35E07">
        <w:rPr>
          <w:rFonts w:ascii="Arial" w:hAnsi="Arial" w:cs="Arial"/>
        </w:rPr>
        <w:t>: Efficiency of bank 9</w:t>
      </w:r>
      <w:bookmarkEnd w:id="94"/>
    </w:p>
    <w:p w14:paraId="7F51D73E" w14:textId="77777777" w:rsidR="00726370" w:rsidRPr="00B35E07" w:rsidRDefault="00726370" w:rsidP="00726370">
      <w:pPr>
        <w:spacing w:after="0" w:line="360" w:lineRule="auto"/>
        <w:jc w:val="center"/>
        <w:rPr>
          <w:rFonts w:ascii="Arial" w:hAnsi="Arial" w:cs="Arial"/>
          <w:sz w:val="24"/>
          <w:szCs w:val="24"/>
        </w:rPr>
      </w:pPr>
      <w:r w:rsidRPr="00B35E07">
        <w:rPr>
          <w:rFonts w:ascii="Arial" w:hAnsi="Arial" w:cs="Arial"/>
          <w:noProof/>
        </w:rPr>
        <w:drawing>
          <wp:inline distT="0" distB="0" distL="0" distR="0" wp14:anchorId="5DA8F700" wp14:editId="3618A001">
            <wp:extent cx="3381817" cy="265293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86186" cy="2656359"/>
                    </a:xfrm>
                    <a:prstGeom prst="rect">
                      <a:avLst/>
                    </a:prstGeom>
                    <a:noFill/>
                    <a:ln>
                      <a:noFill/>
                    </a:ln>
                  </pic:spPr>
                </pic:pic>
              </a:graphicData>
            </a:graphic>
          </wp:inline>
        </w:drawing>
      </w:r>
    </w:p>
    <w:p w14:paraId="01BB5B2A" w14:textId="77777777" w:rsidR="00726370" w:rsidRPr="00B35E07" w:rsidRDefault="00726370" w:rsidP="00726370">
      <w:pPr>
        <w:spacing w:after="0" w:line="360" w:lineRule="auto"/>
        <w:rPr>
          <w:rFonts w:ascii="Arial" w:hAnsi="Arial" w:cs="Arial"/>
          <w:sz w:val="24"/>
          <w:szCs w:val="24"/>
        </w:rPr>
      </w:pPr>
    </w:p>
    <w:p w14:paraId="0BA514A1"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9</w:t>
      </w:r>
      <w:r w:rsidRPr="00B35E07">
        <w:rPr>
          <w:rFonts w:ascii="Arial" w:hAnsi="Arial" w:cs="Arial"/>
          <w:sz w:val="24"/>
          <w:szCs w:val="24"/>
          <w:vertAlign w:val="superscript"/>
        </w:rPr>
        <w:t>th</w:t>
      </w:r>
      <w:r w:rsidRPr="00B35E07">
        <w:rPr>
          <w:rFonts w:ascii="Arial" w:hAnsi="Arial" w:cs="Arial"/>
          <w:sz w:val="24"/>
          <w:szCs w:val="24"/>
        </w:rPr>
        <w:t xml:space="preserve"> bank, Equity has a ‘pure’ efficiency score of 96.4% and a scale efficiency score of 99.8%. It is facing an increasing return to scale, IRS. By boosting the operation of the bank, 3.6% </w:t>
      </w:r>
      <w:r w:rsidRPr="00B35E07">
        <w:rPr>
          <w:rFonts w:ascii="Arial" w:hAnsi="Arial" w:cs="Arial"/>
          <w:sz w:val="24"/>
          <w:szCs w:val="24"/>
        </w:rPr>
        <w:lastRenderedPageBreak/>
        <w:t>(100%-96.4%) of inputs could be saved; likewise, by regulating the bank to its optimal level, 0.2% (100%-99.8%) of inputs could be controlled and saved.</w:t>
      </w:r>
    </w:p>
    <w:p w14:paraId="57152B12"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Likewise, it is clearly seen that the bank could produce the same quantity of output 1 and output 3. The second output was achieved by more than 574.529 of its original output with fewer inputs of 110.817 staff costs instead of 115, 190.328 deposits were used instead of 587 and 90.748 shareholders equity rather than 723. The decrease in input 1 is equal to 4.2% of the original value, radiant movement column. The case for inputs 2 and 3 is a bit different. Therefore, to be efficient, it has to decrease its second and third input not only by 21.352% and 26.299% but also by an additional 375.32 and 605.952 (from the ‘slack movement’ column) respectively. Overall. The bank has to reduce its 2</w:t>
      </w:r>
      <w:r w:rsidRPr="00B35E07">
        <w:rPr>
          <w:rFonts w:ascii="Arial" w:hAnsi="Arial" w:cs="Arial"/>
          <w:sz w:val="24"/>
          <w:szCs w:val="24"/>
          <w:vertAlign w:val="superscript"/>
        </w:rPr>
        <w:t xml:space="preserve">nd </w:t>
      </w:r>
      <w:r w:rsidRPr="00B35E07">
        <w:rPr>
          <w:rFonts w:ascii="Arial" w:hAnsi="Arial" w:cs="Arial"/>
          <w:sz w:val="24"/>
          <w:szCs w:val="24"/>
        </w:rPr>
        <w:t>and 3</w:t>
      </w:r>
      <w:r w:rsidRPr="00B35E07">
        <w:rPr>
          <w:rFonts w:ascii="Arial" w:hAnsi="Arial" w:cs="Arial"/>
          <w:sz w:val="24"/>
          <w:szCs w:val="24"/>
          <w:vertAlign w:val="superscript"/>
        </w:rPr>
        <w:t xml:space="preserve">rd </w:t>
      </w:r>
      <w:r w:rsidRPr="00B35E07">
        <w:rPr>
          <w:rFonts w:ascii="Arial" w:hAnsi="Arial" w:cs="Arial"/>
          <w:sz w:val="24"/>
          <w:szCs w:val="24"/>
        </w:rPr>
        <w:t xml:space="preserve">inputs by minus 396.672 [(-21.352) + (-375.320)] and minus 632.251 [(-26.299) + (-605.952)] respectively to be more efficient. </w:t>
      </w:r>
    </w:p>
    <w:p w14:paraId="6222466B"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This represents 67.5% [(- 396.672 / 587) x 100] and 87.45% [(- 632.251 / 723) x 100] respectively. To improve and make progress in its efficiency, the bank has to refer to bank 11, 4 and 5 which are identified as its peers.</w:t>
      </w:r>
    </w:p>
    <w:p w14:paraId="57F44F36" w14:textId="77777777" w:rsidR="00726370" w:rsidRPr="00B35E07" w:rsidRDefault="00726370" w:rsidP="00726370">
      <w:pPr>
        <w:spacing w:after="0" w:line="360" w:lineRule="auto"/>
        <w:rPr>
          <w:rFonts w:ascii="Arial" w:hAnsi="Arial" w:cs="Arial"/>
          <w:b/>
          <w:bCs/>
          <w:sz w:val="24"/>
          <w:szCs w:val="24"/>
        </w:rPr>
      </w:pPr>
    </w:p>
    <w:p w14:paraId="528FAA60" w14:textId="77777777" w:rsidR="00726370" w:rsidRPr="00B35E07" w:rsidRDefault="00726370" w:rsidP="00726370">
      <w:pPr>
        <w:pStyle w:val="Heading3"/>
        <w:rPr>
          <w:rFonts w:ascii="Arial" w:hAnsi="Arial" w:cs="Arial"/>
          <w:b/>
          <w:bCs/>
          <w:color w:val="auto"/>
        </w:rPr>
      </w:pPr>
      <w:bookmarkStart w:id="95" w:name="_Toc27579809"/>
      <w:r w:rsidRPr="00B35E07">
        <w:rPr>
          <w:rFonts w:ascii="Arial" w:hAnsi="Arial" w:cs="Arial"/>
          <w:b/>
          <w:bCs/>
          <w:color w:val="auto"/>
        </w:rPr>
        <w:t>4.1.10: Results for bank:     10</w:t>
      </w:r>
      <w:bookmarkEnd w:id="95"/>
    </w:p>
    <w:p w14:paraId="6C8803F5" w14:textId="77777777" w:rsidR="00726370" w:rsidRPr="00B35E07" w:rsidRDefault="00726370" w:rsidP="00726370">
      <w:pPr>
        <w:pStyle w:val="Caption"/>
        <w:rPr>
          <w:rFonts w:ascii="Arial" w:hAnsi="Arial" w:cs="Arial"/>
        </w:rPr>
      </w:pPr>
    </w:p>
    <w:p w14:paraId="390CBB1A" w14:textId="77777777" w:rsidR="00726370" w:rsidRPr="00B35E07" w:rsidRDefault="00726370" w:rsidP="00726370">
      <w:pPr>
        <w:pStyle w:val="Caption"/>
        <w:rPr>
          <w:rFonts w:ascii="Arial" w:hAnsi="Arial" w:cs="Arial"/>
        </w:rPr>
      </w:pPr>
      <w:bookmarkStart w:id="96" w:name="_Toc27427418"/>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11</w:t>
      </w:r>
      <w:r w:rsidRPr="00B35E07">
        <w:rPr>
          <w:rFonts w:ascii="Arial" w:hAnsi="Arial" w:cs="Arial"/>
          <w:noProof/>
        </w:rPr>
        <w:fldChar w:fldCharType="end"/>
      </w:r>
      <w:r w:rsidRPr="00B35E07">
        <w:rPr>
          <w:rFonts w:ascii="Arial" w:hAnsi="Arial" w:cs="Arial"/>
        </w:rPr>
        <w:t>: Efficiency of bank 10</w:t>
      </w:r>
      <w:bookmarkEnd w:id="96"/>
    </w:p>
    <w:p w14:paraId="387299E8" w14:textId="77777777" w:rsidR="00726370" w:rsidRPr="00B35E07" w:rsidRDefault="00726370" w:rsidP="00726370">
      <w:pPr>
        <w:keepNext/>
        <w:spacing w:after="0" w:line="360" w:lineRule="auto"/>
        <w:jc w:val="center"/>
        <w:rPr>
          <w:rFonts w:ascii="Arial" w:hAnsi="Arial" w:cs="Arial"/>
        </w:rPr>
      </w:pPr>
      <w:r w:rsidRPr="00B35E07">
        <w:rPr>
          <w:rFonts w:ascii="Arial" w:hAnsi="Arial" w:cs="Arial"/>
          <w:noProof/>
        </w:rPr>
        <w:drawing>
          <wp:inline distT="0" distB="0" distL="0" distR="0" wp14:anchorId="69BF1A81" wp14:editId="6368C664">
            <wp:extent cx="3323944" cy="2607531"/>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29835" cy="2612152"/>
                    </a:xfrm>
                    <a:prstGeom prst="rect">
                      <a:avLst/>
                    </a:prstGeom>
                    <a:noFill/>
                    <a:ln>
                      <a:noFill/>
                    </a:ln>
                  </pic:spPr>
                </pic:pic>
              </a:graphicData>
            </a:graphic>
          </wp:inline>
        </w:drawing>
      </w:r>
    </w:p>
    <w:p w14:paraId="1F871B5F"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From the above table, it clearly illustrates that the 10</w:t>
      </w:r>
      <w:r w:rsidRPr="00B35E07">
        <w:rPr>
          <w:rFonts w:ascii="Arial" w:hAnsi="Arial" w:cs="Arial"/>
          <w:sz w:val="24"/>
          <w:szCs w:val="24"/>
          <w:vertAlign w:val="superscript"/>
        </w:rPr>
        <w:t>th</w:t>
      </w:r>
      <w:r w:rsidRPr="00B35E07">
        <w:rPr>
          <w:rFonts w:ascii="Arial" w:hAnsi="Arial" w:cs="Arial"/>
          <w:sz w:val="24"/>
          <w:szCs w:val="24"/>
        </w:rPr>
        <w:t xml:space="preserve"> bank, Cooperative has a ‘pure’ efficiency score of 85.2% and a scale efficiency score of 99.8%. It is </w:t>
      </w:r>
      <w:r w:rsidRPr="00B35E07">
        <w:rPr>
          <w:rFonts w:ascii="Arial" w:hAnsi="Arial" w:cs="Arial"/>
          <w:sz w:val="24"/>
          <w:szCs w:val="24"/>
        </w:rPr>
        <w:lastRenderedPageBreak/>
        <w:t>facing an increasing return to scale, IRS. By boosting the operation of the bank, 14.8% (100%-85.2%) of inputs could be saved; likewise, by regulating the bank to its optimal level, 0.2% (100%-99.8%) of inputs could be controlled and saved.</w:t>
      </w:r>
    </w:p>
    <w:p w14:paraId="1D31C6EF"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Likewise, it is clearly seen that the bank could produce the same quantity of output 1 and output 3. The second output was achieved by more than 574.529 of its original output with fewer inputs of 110.817 staff costs instead of 130, 190.328 deposits were used instead of 535 and 90.748 shareholders’ equity rather than 810. The decrease in input 1 is equal to 19.183% of the original value, radiant movement column. The case for inputs 2 and 3 is a bit different. Therefore, to be efficient, it has to decrease its second and third input not only by 78.946% and 119.526% but also by an additional 265.726 and 599.726 (from the ‘slack movement’ column) respectively. Overall. The bank has to reduce its 2</w:t>
      </w:r>
      <w:r w:rsidRPr="00B35E07">
        <w:rPr>
          <w:rFonts w:ascii="Arial" w:hAnsi="Arial" w:cs="Arial"/>
          <w:sz w:val="24"/>
          <w:szCs w:val="24"/>
          <w:vertAlign w:val="superscript"/>
        </w:rPr>
        <w:t xml:space="preserve">nd </w:t>
      </w:r>
      <w:r w:rsidRPr="00B35E07">
        <w:rPr>
          <w:rFonts w:ascii="Arial" w:hAnsi="Arial" w:cs="Arial"/>
          <w:sz w:val="24"/>
          <w:szCs w:val="24"/>
        </w:rPr>
        <w:t>and 3</w:t>
      </w:r>
      <w:r w:rsidRPr="00B35E07">
        <w:rPr>
          <w:rFonts w:ascii="Arial" w:hAnsi="Arial" w:cs="Arial"/>
          <w:sz w:val="24"/>
          <w:szCs w:val="24"/>
          <w:vertAlign w:val="superscript"/>
        </w:rPr>
        <w:t xml:space="preserve">rd </w:t>
      </w:r>
      <w:r w:rsidRPr="00B35E07">
        <w:rPr>
          <w:rFonts w:ascii="Arial" w:hAnsi="Arial" w:cs="Arial"/>
          <w:sz w:val="24"/>
          <w:szCs w:val="24"/>
        </w:rPr>
        <w:t xml:space="preserve">inputs by minus 344.672 [(-78.946) + (-265.726)] and minus 719.252 [(-119.526) + (-599.726)] respectively to be more efficient. </w:t>
      </w:r>
    </w:p>
    <w:p w14:paraId="19A973E0"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This represents 64.42% [(- 344.672 / 535) x 100] and 88.80% [(- 719.252 / 810) x 100] respectively. To improve and make progress in its efficiency, the bank has to refer to bank 11, 4 and 5 which are identified as its peers.</w:t>
      </w:r>
    </w:p>
    <w:p w14:paraId="14CF22EE" w14:textId="77777777" w:rsidR="00726370" w:rsidRPr="00B35E07" w:rsidRDefault="00726370" w:rsidP="00726370">
      <w:pPr>
        <w:spacing w:after="0" w:line="360" w:lineRule="auto"/>
        <w:jc w:val="both"/>
        <w:rPr>
          <w:rFonts w:ascii="Arial" w:hAnsi="Arial" w:cs="Arial"/>
          <w:sz w:val="24"/>
          <w:szCs w:val="24"/>
        </w:rPr>
      </w:pPr>
    </w:p>
    <w:p w14:paraId="697BD408" w14:textId="77777777" w:rsidR="00726370" w:rsidRPr="00B35E07" w:rsidRDefault="00726370" w:rsidP="00726370">
      <w:pPr>
        <w:pStyle w:val="Heading3"/>
        <w:rPr>
          <w:rFonts w:ascii="Arial" w:hAnsi="Arial" w:cs="Arial"/>
          <w:b/>
          <w:bCs/>
          <w:color w:val="auto"/>
        </w:rPr>
      </w:pPr>
      <w:bookmarkStart w:id="97" w:name="_Toc27579810"/>
      <w:r w:rsidRPr="00B35E07">
        <w:rPr>
          <w:rFonts w:ascii="Arial" w:hAnsi="Arial" w:cs="Arial"/>
          <w:b/>
          <w:bCs/>
          <w:color w:val="auto"/>
        </w:rPr>
        <w:t>4.1.11: Results for bank:     11</w:t>
      </w:r>
      <w:bookmarkEnd w:id="97"/>
    </w:p>
    <w:p w14:paraId="4E82335D" w14:textId="77777777" w:rsidR="00726370" w:rsidRPr="00B35E07" w:rsidRDefault="00726370" w:rsidP="00726370">
      <w:pPr>
        <w:pStyle w:val="Caption"/>
        <w:rPr>
          <w:rFonts w:ascii="Arial" w:hAnsi="Arial" w:cs="Arial"/>
        </w:rPr>
      </w:pPr>
    </w:p>
    <w:p w14:paraId="73F9454F" w14:textId="77777777" w:rsidR="00726370" w:rsidRPr="00B35E07" w:rsidRDefault="00726370" w:rsidP="00726370">
      <w:pPr>
        <w:pStyle w:val="Caption"/>
        <w:rPr>
          <w:rFonts w:ascii="Arial" w:hAnsi="Arial" w:cs="Arial"/>
        </w:rPr>
      </w:pPr>
      <w:bookmarkStart w:id="98" w:name="_Toc27427419"/>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12</w:t>
      </w:r>
      <w:r w:rsidRPr="00B35E07">
        <w:rPr>
          <w:rFonts w:ascii="Arial" w:hAnsi="Arial" w:cs="Arial"/>
          <w:noProof/>
        </w:rPr>
        <w:fldChar w:fldCharType="end"/>
      </w:r>
      <w:r w:rsidRPr="00B35E07">
        <w:rPr>
          <w:rFonts w:ascii="Arial" w:hAnsi="Arial" w:cs="Arial"/>
        </w:rPr>
        <w:t>: Efficiency of bank 11</w:t>
      </w:r>
      <w:bookmarkEnd w:id="98"/>
    </w:p>
    <w:p w14:paraId="3CE4CF53" w14:textId="77777777" w:rsidR="00726370" w:rsidRPr="00B35E07" w:rsidRDefault="00726370" w:rsidP="00726370">
      <w:pPr>
        <w:spacing w:after="0" w:line="360" w:lineRule="auto"/>
        <w:jc w:val="center"/>
        <w:rPr>
          <w:rFonts w:ascii="Arial" w:hAnsi="Arial" w:cs="Arial"/>
          <w:b/>
          <w:bCs/>
          <w:sz w:val="24"/>
          <w:szCs w:val="24"/>
        </w:rPr>
      </w:pPr>
      <w:r w:rsidRPr="00B35E07">
        <w:rPr>
          <w:rFonts w:ascii="Arial" w:hAnsi="Arial" w:cs="Arial"/>
          <w:noProof/>
        </w:rPr>
        <w:drawing>
          <wp:inline distT="0" distB="0" distL="0" distR="0" wp14:anchorId="458FCA03" wp14:editId="3845AD35">
            <wp:extent cx="3332803" cy="2297574"/>
            <wp:effectExtent l="0" t="0" r="127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36120" cy="2299861"/>
                    </a:xfrm>
                    <a:prstGeom prst="rect">
                      <a:avLst/>
                    </a:prstGeom>
                    <a:noFill/>
                    <a:ln>
                      <a:noFill/>
                    </a:ln>
                  </pic:spPr>
                </pic:pic>
              </a:graphicData>
            </a:graphic>
          </wp:inline>
        </w:drawing>
      </w:r>
    </w:p>
    <w:p w14:paraId="30F28516" w14:textId="77777777" w:rsidR="00726370" w:rsidRPr="00B35E07" w:rsidRDefault="00726370" w:rsidP="00726370">
      <w:pPr>
        <w:spacing w:after="0" w:line="360" w:lineRule="auto"/>
        <w:rPr>
          <w:rFonts w:ascii="Arial" w:hAnsi="Arial" w:cs="Arial"/>
          <w:b/>
          <w:bCs/>
          <w:sz w:val="24"/>
          <w:szCs w:val="24"/>
        </w:rPr>
      </w:pPr>
    </w:p>
    <w:p w14:paraId="1365437F" w14:textId="30A97209" w:rsidR="00726370" w:rsidRPr="00B82F07" w:rsidRDefault="00726370" w:rsidP="00B82F07">
      <w:pPr>
        <w:spacing w:after="0" w:line="360" w:lineRule="auto"/>
        <w:ind w:firstLine="720"/>
        <w:jc w:val="both"/>
        <w:rPr>
          <w:rFonts w:ascii="Arial" w:hAnsi="Arial" w:cs="Arial"/>
          <w:sz w:val="24"/>
          <w:szCs w:val="24"/>
        </w:rPr>
      </w:pPr>
      <w:r w:rsidRPr="00B35E07">
        <w:rPr>
          <w:rFonts w:ascii="Arial" w:hAnsi="Arial" w:cs="Arial"/>
          <w:sz w:val="24"/>
          <w:szCs w:val="24"/>
        </w:rPr>
        <w:lastRenderedPageBreak/>
        <w:t>From the above table, it clearly illustrates that the 11</w:t>
      </w:r>
      <w:r w:rsidRPr="00B35E07">
        <w:rPr>
          <w:rFonts w:ascii="Arial" w:hAnsi="Arial" w:cs="Arial"/>
          <w:sz w:val="24"/>
          <w:szCs w:val="24"/>
          <w:vertAlign w:val="superscript"/>
        </w:rPr>
        <w:t>th</w:t>
      </w:r>
      <w:r w:rsidRPr="00B35E07">
        <w:rPr>
          <w:rFonts w:ascii="Arial" w:hAnsi="Arial" w:cs="Arial"/>
          <w:sz w:val="24"/>
          <w:szCs w:val="24"/>
        </w:rPr>
        <w:t xml:space="preserve"> bank, I&amp;M has a ‘pure’ efficiency score of 100% and a scale efficiency score of 100%. It is facing a constant return to scale, CRS. This bank, is effectively managed and operated and operating at an optimal level.</w:t>
      </w:r>
    </w:p>
    <w:p w14:paraId="24F00803" w14:textId="77777777" w:rsidR="00726370" w:rsidRPr="00B35E07" w:rsidRDefault="00726370" w:rsidP="00726370">
      <w:pPr>
        <w:rPr>
          <w:rFonts w:ascii="Arial" w:hAnsi="Arial" w:cs="Arial"/>
        </w:rPr>
      </w:pPr>
    </w:p>
    <w:p w14:paraId="07B6E280" w14:textId="57BD474D" w:rsidR="00726370" w:rsidRPr="00B35E07" w:rsidRDefault="00726370" w:rsidP="00726370">
      <w:pPr>
        <w:pStyle w:val="Heading2"/>
        <w:rPr>
          <w:rFonts w:ascii="Arial" w:hAnsi="Arial" w:cs="Arial"/>
          <w:b/>
          <w:bCs/>
          <w:color w:val="auto"/>
          <w:sz w:val="24"/>
          <w:szCs w:val="24"/>
        </w:rPr>
      </w:pPr>
      <w:bookmarkStart w:id="99" w:name="_Toc27579811"/>
      <w:r w:rsidRPr="00B35E07">
        <w:rPr>
          <w:rFonts w:ascii="Arial" w:hAnsi="Arial" w:cs="Arial"/>
          <w:b/>
          <w:bCs/>
          <w:color w:val="auto"/>
          <w:sz w:val="24"/>
          <w:szCs w:val="24"/>
        </w:rPr>
        <w:t>4.2: Capital Management</w:t>
      </w:r>
      <w:bookmarkEnd w:id="99"/>
    </w:p>
    <w:p w14:paraId="0E1BF277" w14:textId="77777777" w:rsidR="00726370" w:rsidRPr="00B35E07" w:rsidRDefault="00726370" w:rsidP="00726370">
      <w:pPr>
        <w:spacing w:after="0" w:line="360" w:lineRule="auto"/>
        <w:rPr>
          <w:rFonts w:ascii="Arial" w:hAnsi="Arial" w:cs="Arial"/>
          <w:b/>
          <w:bCs/>
          <w:sz w:val="24"/>
          <w:szCs w:val="24"/>
        </w:rPr>
      </w:pPr>
    </w:p>
    <w:p w14:paraId="613167EA"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This is defined as the ability to withstand under current capital structure and signifies undetectable risk of default. It is used to protect depositors and promote the stability, strength and efficiency of financial systems. It is measured using capital adequacy ratio to elaborates the minimum amount of capital that a commercial bank has to withhold as regulated by the Central bank of Kenya (Olalekan &amp; Adeyinka, 2013).</w:t>
      </w:r>
    </w:p>
    <w:p w14:paraId="3F6C6E0D" w14:textId="77777777" w:rsidR="00726370" w:rsidRPr="00B35E07" w:rsidRDefault="00726370" w:rsidP="00726370">
      <w:pPr>
        <w:spacing w:after="0" w:line="360" w:lineRule="auto"/>
        <w:jc w:val="center"/>
        <w:rPr>
          <w:rFonts w:ascii="Arial" w:hAnsi="Arial" w:cs="Arial"/>
          <w:sz w:val="24"/>
          <w:szCs w:val="24"/>
        </w:rPr>
      </w:pPr>
      <w:r w:rsidRPr="00B35E07">
        <w:rPr>
          <w:rFonts w:ascii="Arial" w:hAnsi="Arial" w:cs="Arial"/>
          <w:noProof/>
          <w:sz w:val="24"/>
          <w:szCs w:val="24"/>
        </w:rPr>
        <w:drawing>
          <wp:inline distT="0" distB="0" distL="0" distR="0" wp14:anchorId="6412951B" wp14:editId="37EF1842">
            <wp:extent cx="3968750" cy="2475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68750" cy="2475230"/>
                    </a:xfrm>
                    <a:prstGeom prst="rect">
                      <a:avLst/>
                    </a:prstGeom>
                    <a:noFill/>
                  </pic:spPr>
                </pic:pic>
              </a:graphicData>
            </a:graphic>
          </wp:inline>
        </w:drawing>
      </w:r>
    </w:p>
    <w:p w14:paraId="3DC6ADBB" w14:textId="77777777" w:rsidR="00726370" w:rsidRPr="00B35E07" w:rsidRDefault="00726370" w:rsidP="00726370">
      <w:pPr>
        <w:pStyle w:val="Caption"/>
        <w:jc w:val="center"/>
        <w:rPr>
          <w:rFonts w:ascii="Arial" w:hAnsi="Arial" w:cs="Arial"/>
        </w:rPr>
      </w:pPr>
      <w:bookmarkStart w:id="100" w:name="_Toc27427460"/>
      <w:r w:rsidRPr="00B35E07">
        <w:rPr>
          <w:rFonts w:ascii="Arial" w:hAnsi="Arial" w:cs="Arial"/>
        </w:rPr>
        <w:t xml:space="preserve">Figure </w:t>
      </w:r>
      <w:r w:rsidRPr="00B35E07">
        <w:rPr>
          <w:rFonts w:ascii="Arial" w:hAnsi="Arial" w:cs="Arial"/>
        </w:rPr>
        <w:fldChar w:fldCharType="begin"/>
      </w:r>
      <w:r w:rsidRPr="00B35E07">
        <w:rPr>
          <w:rFonts w:ascii="Arial" w:hAnsi="Arial" w:cs="Arial"/>
        </w:rPr>
        <w:instrText xml:space="preserve"> SEQ Figure \* ARABIC </w:instrText>
      </w:r>
      <w:r w:rsidRPr="00B35E07">
        <w:rPr>
          <w:rFonts w:ascii="Arial" w:hAnsi="Arial" w:cs="Arial"/>
        </w:rPr>
        <w:fldChar w:fldCharType="separate"/>
      </w:r>
      <w:r w:rsidRPr="00B35E07">
        <w:rPr>
          <w:rFonts w:ascii="Arial" w:hAnsi="Arial" w:cs="Arial"/>
          <w:noProof/>
        </w:rPr>
        <w:t>2</w:t>
      </w:r>
      <w:r w:rsidRPr="00B35E07">
        <w:rPr>
          <w:rFonts w:ascii="Arial" w:hAnsi="Arial" w:cs="Arial"/>
          <w:noProof/>
        </w:rPr>
        <w:fldChar w:fldCharType="end"/>
      </w:r>
      <w:r w:rsidRPr="00B35E07">
        <w:rPr>
          <w:rFonts w:ascii="Arial" w:hAnsi="Arial" w:cs="Arial"/>
        </w:rPr>
        <w:t>: Capital Adequacy Ratio</w:t>
      </w:r>
      <w:bookmarkEnd w:id="100"/>
    </w:p>
    <w:p w14:paraId="0A03C3F1" w14:textId="77777777" w:rsidR="00726370" w:rsidRPr="00B35E07" w:rsidRDefault="00726370" w:rsidP="00726370">
      <w:pPr>
        <w:spacing w:after="0" w:line="360" w:lineRule="auto"/>
        <w:ind w:firstLine="720"/>
        <w:jc w:val="both"/>
        <w:rPr>
          <w:rFonts w:ascii="Arial" w:hAnsi="Arial" w:cs="Arial"/>
          <w:b/>
          <w:bCs/>
          <w:sz w:val="24"/>
          <w:szCs w:val="24"/>
        </w:rPr>
      </w:pPr>
      <w:r w:rsidRPr="00B35E07">
        <w:rPr>
          <w:rFonts w:ascii="Arial" w:hAnsi="Arial" w:cs="Arial"/>
          <w:sz w:val="24"/>
          <w:szCs w:val="24"/>
        </w:rPr>
        <w:t xml:space="preserve">Figure 2 elaborates the industry mean of capital adequacy ratio obtained by the banks listed on NSE from 2013 to 2017. In 2013 the banks achieved 20.14%, followed by a decrease to 18.19% in 2014 and a 0.19% decrease in 2015. In 2016, capital adequacy went up by 0.33% to 18.33% followed by a further decline in 2017 of 0.91%. The findings show that capital adequacy was highest in the year 2013 with 20.14% and lowest in 2017 at 17.42%.  </w:t>
      </w:r>
    </w:p>
    <w:p w14:paraId="4D80A255"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Capital adequacy for the banking industry is seen to be shifting often in this 5-year period.</w:t>
      </w:r>
    </w:p>
    <w:p w14:paraId="5AE0700B" w14:textId="77777777" w:rsidR="00726370" w:rsidRPr="00B35E07" w:rsidRDefault="00726370" w:rsidP="00726370">
      <w:pPr>
        <w:spacing w:after="0" w:line="360" w:lineRule="auto"/>
        <w:jc w:val="both"/>
        <w:rPr>
          <w:rFonts w:ascii="Arial" w:hAnsi="Arial" w:cs="Arial"/>
          <w:sz w:val="24"/>
          <w:szCs w:val="24"/>
        </w:rPr>
      </w:pPr>
    </w:p>
    <w:p w14:paraId="6F3735AD"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lastRenderedPageBreak/>
        <w:t>Over the 5 year-period, it is clearly seen that CAR was not constant and stable and has been fluctuating decreasing across the 5 years from 2013 to 2017. According to Ongore and Kusa (2013), CAR; is essential and must be sufficient enough to absorb any shock that a bank may experience and likewise for liquidity purposes. This is because bank deposits are delicate and likely to bank runs. Therefore, capital adequacy ratio is an indication used to protect depositors and promote the stability, strength and efficiency of a bank in terms of insolvency risk. Banks with high enough capitalization are able to encounter the regulator’s capital prerequisites after which they can provide sufficient funds as loans (Onuonga, 2014). Added, banks with high capital ratio or an increasing CAR across the determined years are concluded to be less risky, this is due to circumstances where there is deteriorating of asset quality and bank lacks sufficient loan loss reserves or provisions to write off the bad loans, the bank can utilize its capital or equity to write off the balance (Rao and Lakew ,2012).</w:t>
      </w:r>
    </w:p>
    <w:p w14:paraId="34132C54" w14:textId="77777777" w:rsidR="00726370" w:rsidRPr="00B35E07" w:rsidRDefault="00726370" w:rsidP="00726370">
      <w:pPr>
        <w:pStyle w:val="Heading2"/>
        <w:rPr>
          <w:rFonts w:ascii="Arial" w:hAnsi="Arial" w:cs="Arial"/>
          <w:b/>
          <w:bCs/>
          <w:color w:val="auto"/>
          <w:sz w:val="24"/>
          <w:szCs w:val="24"/>
        </w:rPr>
      </w:pPr>
      <w:bookmarkStart w:id="101" w:name="_Toc27579812"/>
      <w:r w:rsidRPr="00B35E07">
        <w:rPr>
          <w:rFonts w:ascii="Arial" w:hAnsi="Arial" w:cs="Arial"/>
          <w:b/>
          <w:bCs/>
          <w:color w:val="auto"/>
          <w:sz w:val="24"/>
          <w:szCs w:val="24"/>
        </w:rPr>
        <w:t>4.3: Earnings</w:t>
      </w:r>
      <w:bookmarkEnd w:id="101"/>
    </w:p>
    <w:p w14:paraId="5E985D5E" w14:textId="77777777" w:rsidR="00726370" w:rsidRPr="00B35E07" w:rsidRDefault="00726370" w:rsidP="00726370">
      <w:pPr>
        <w:spacing w:after="0" w:line="360" w:lineRule="auto"/>
        <w:rPr>
          <w:rFonts w:ascii="Arial" w:hAnsi="Arial" w:cs="Arial"/>
          <w:sz w:val="24"/>
          <w:szCs w:val="24"/>
        </w:rPr>
      </w:pPr>
    </w:p>
    <w:p w14:paraId="1642CA99"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This is the potential to develop suitable and relevant returns to be capable of expanding, hold on to competitiveness and addition of capital to the commercial banks and financial institution. It is measured using cost to income ratio to measure the costs of managing a business in association to its operating income and it an essential and vital mechanism in evaluation of banks.</w:t>
      </w:r>
    </w:p>
    <w:p w14:paraId="1B631531" w14:textId="77777777" w:rsidR="00726370" w:rsidRPr="00B35E07" w:rsidRDefault="00726370" w:rsidP="00726370">
      <w:pPr>
        <w:spacing w:after="0" w:line="360" w:lineRule="auto"/>
        <w:jc w:val="center"/>
        <w:rPr>
          <w:rFonts w:ascii="Arial" w:hAnsi="Arial" w:cs="Arial"/>
          <w:sz w:val="24"/>
          <w:szCs w:val="24"/>
        </w:rPr>
      </w:pPr>
      <w:r w:rsidRPr="00B35E07">
        <w:rPr>
          <w:rFonts w:ascii="Arial" w:hAnsi="Arial" w:cs="Arial"/>
          <w:noProof/>
          <w:sz w:val="24"/>
          <w:szCs w:val="24"/>
        </w:rPr>
        <w:drawing>
          <wp:inline distT="0" distB="0" distL="0" distR="0" wp14:anchorId="6A826195" wp14:editId="26E68784">
            <wp:extent cx="3505200" cy="228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200" cy="2286000"/>
                    </a:xfrm>
                    <a:prstGeom prst="rect">
                      <a:avLst/>
                    </a:prstGeom>
                    <a:noFill/>
                  </pic:spPr>
                </pic:pic>
              </a:graphicData>
            </a:graphic>
          </wp:inline>
        </w:drawing>
      </w:r>
    </w:p>
    <w:p w14:paraId="4330C8D3" w14:textId="77777777" w:rsidR="00726370" w:rsidRPr="00B35E07" w:rsidRDefault="00726370" w:rsidP="00726370">
      <w:pPr>
        <w:pStyle w:val="Caption"/>
        <w:jc w:val="center"/>
        <w:rPr>
          <w:rFonts w:ascii="Arial" w:hAnsi="Arial" w:cs="Arial"/>
        </w:rPr>
      </w:pPr>
      <w:bookmarkStart w:id="102" w:name="_Toc27427461"/>
      <w:r w:rsidRPr="00B35E07">
        <w:rPr>
          <w:rFonts w:ascii="Arial" w:hAnsi="Arial" w:cs="Arial"/>
        </w:rPr>
        <w:t xml:space="preserve">Figure </w:t>
      </w:r>
      <w:r w:rsidRPr="00B35E07">
        <w:rPr>
          <w:rFonts w:ascii="Arial" w:hAnsi="Arial" w:cs="Arial"/>
        </w:rPr>
        <w:fldChar w:fldCharType="begin"/>
      </w:r>
      <w:r w:rsidRPr="00B35E07">
        <w:rPr>
          <w:rFonts w:ascii="Arial" w:hAnsi="Arial" w:cs="Arial"/>
        </w:rPr>
        <w:instrText xml:space="preserve"> SEQ Figure \* ARABIC </w:instrText>
      </w:r>
      <w:r w:rsidRPr="00B35E07">
        <w:rPr>
          <w:rFonts w:ascii="Arial" w:hAnsi="Arial" w:cs="Arial"/>
        </w:rPr>
        <w:fldChar w:fldCharType="separate"/>
      </w:r>
      <w:r w:rsidRPr="00B35E07">
        <w:rPr>
          <w:rFonts w:ascii="Arial" w:hAnsi="Arial" w:cs="Arial"/>
          <w:noProof/>
        </w:rPr>
        <w:t>3</w:t>
      </w:r>
      <w:r w:rsidRPr="00B35E07">
        <w:rPr>
          <w:rFonts w:ascii="Arial" w:hAnsi="Arial" w:cs="Arial"/>
          <w:noProof/>
        </w:rPr>
        <w:fldChar w:fldCharType="end"/>
      </w:r>
      <w:r w:rsidRPr="00B35E07">
        <w:rPr>
          <w:rFonts w:ascii="Arial" w:hAnsi="Arial" w:cs="Arial"/>
        </w:rPr>
        <w:t>: Cost to Income Ratio</w:t>
      </w:r>
      <w:bookmarkEnd w:id="102"/>
    </w:p>
    <w:p w14:paraId="41952031" w14:textId="77777777" w:rsidR="00726370" w:rsidRPr="00B35E07" w:rsidRDefault="00726370" w:rsidP="00726370">
      <w:pPr>
        <w:spacing w:after="0" w:line="360" w:lineRule="auto"/>
        <w:rPr>
          <w:rFonts w:ascii="Arial" w:hAnsi="Arial" w:cs="Arial"/>
          <w:sz w:val="24"/>
          <w:szCs w:val="24"/>
        </w:rPr>
      </w:pPr>
    </w:p>
    <w:p w14:paraId="1100D3F7"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lastRenderedPageBreak/>
        <w:t>Figure 3 elaborates the industry mean of cost to income ratio obtained by the banks listed on NSE from 2013 to 2017. In 2013 the banks achieved a ratio of 0.442, followed by a decrease to 0.394 in 2014 and a 0.049 increase in 2015. In 2016, cost to income ratio went up slightly by 0.002 to 0.445 followed by a further increase in 2017 by 0.053 to 0.498. The findings show that cost to income ratio was on average in the year 2013 with 0.442 and highest in 2017 at 0.498. Cost to income ratio for the banking industry is seen to be increasing slowly in this 5-year period.</w:t>
      </w:r>
    </w:p>
    <w:p w14:paraId="67D06E3D" w14:textId="77777777" w:rsidR="00726370" w:rsidRPr="00B35E07" w:rsidRDefault="00726370" w:rsidP="00726370">
      <w:pPr>
        <w:spacing w:after="0" w:line="360" w:lineRule="auto"/>
        <w:jc w:val="both"/>
        <w:rPr>
          <w:rFonts w:ascii="Arial" w:hAnsi="Arial" w:cs="Arial"/>
          <w:sz w:val="24"/>
          <w:szCs w:val="24"/>
        </w:rPr>
      </w:pPr>
    </w:p>
    <w:p w14:paraId="42220D40"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Over the 5 year-period, it is clearly seen that Cost to Income ratio increased gradually at a slower pace across the 5-year period from 2013 to 2017. This implies that the earnings of the commercial banks in NSE is high and is able to raise its own capital base, pay attractive dividends to its shareholders, finance expansion ventures as well as construct and increase the loan loss provisions of the banks or reserves as well. Efficient banks have a high probability to absorb loan losses together with inspiring public confidence which is important for their continued growth and success. Likewise, efficient and effective liability and asset management is vital for commercial banks to begin enjoying good returns to increase their provision for loan losses reserves (Muhmad &amp; Hashim, 2015).</w:t>
      </w:r>
    </w:p>
    <w:p w14:paraId="2F632A17" w14:textId="77777777" w:rsidR="00726370" w:rsidRPr="00B35E07" w:rsidRDefault="00726370" w:rsidP="00726370">
      <w:pPr>
        <w:spacing w:after="0" w:line="360" w:lineRule="auto"/>
        <w:rPr>
          <w:rFonts w:ascii="Arial" w:hAnsi="Arial" w:cs="Arial"/>
          <w:b/>
          <w:bCs/>
          <w:sz w:val="24"/>
          <w:szCs w:val="24"/>
        </w:rPr>
      </w:pPr>
    </w:p>
    <w:p w14:paraId="0A528608" w14:textId="77777777" w:rsidR="00726370" w:rsidRPr="00B35E07" w:rsidRDefault="00726370" w:rsidP="00726370">
      <w:pPr>
        <w:pStyle w:val="Heading2"/>
        <w:rPr>
          <w:rFonts w:ascii="Arial" w:hAnsi="Arial" w:cs="Arial"/>
          <w:b/>
          <w:bCs/>
          <w:color w:val="auto"/>
          <w:sz w:val="24"/>
          <w:szCs w:val="24"/>
        </w:rPr>
      </w:pPr>
      <w:bookmarkStart w:id="103" w:name="_Toc27579813"/>
      <w:r w:rsidRPr="00B35E07">
        <w:rPr>
          <w:rFonts w:ascii="Arial" w:hAnsi="Arial" w:cs="Arial"/>
          <w:b/>
          <w:bCs/>
          <w:color w:val="auto"/>
          <w:sz w:val="24"/>
          <w:szCs w:val="24"/>
        </w:rPr>
        <w:t>4.4: Loan to Deposit Ratio</w:t>
      </w:r>
      <w:bookmarkEnd w:id="103"/>
    </w:p>
    <w:p w14:paraId="1AEC93EF"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74E9AC7D" wp14:editId="438B39EF">
            <wp:extent cx="2962910" cy="198120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62910" cy="1981200"/>
                    </a:xfrm>
                    <a:prstGeom prst="rect">
                      <a:avLst/>
                    </a:prstGeom>
                    <a:noFill/>
                  </pic:spPr>
                </pic:pic>
              </a:graphicData>
            </a:graphic>
          </wp:inline>
        </w:drawing>
      </w:r>
    </w:p>
    <w:p w14:paraId="00F4060E" w14:textId="77777777" w:rsidR="00726370" w:rsidRPr="00B35E07" w:rsidRDefault="00726370" w:rsidP="00726370">
      <w:pPr>
        <w:pStyle w:val="Caption"/>
        <w:jc w:val="center"/>
        <w:rPr>
          <w:rFonts w:ascii="Arial" w:hAnsi="Arial" w:cs="Arial"/>
        </w:rPr>
      </w:pPr>
      <w:bookmarkStart w:id="104" w:name="_Toc27427462"/>
      <w:r w:rsidRPr="00B35E07">
        <w:rPr>
          <w:rFonts w:ascii="Arial" w:hAnsi="Arial" w:cs="Arial"/>
        </w:rPr>
        <w:t xml:space="preserve">Figure </w:t>
      </w:r>
      <w:r w:rsidRPr="00B35E07">
        <w:rPr>
          <w:rFonts w:ascii="Arial" w:hAnsi="Arial" w:cs="Arial"/>
        </w:rPr>
        <w:fldChar w:fldCharType="begin"/>
      </w:r>
      <w:r w:rsidRPr="00B35E07">
        <w:rPr>
          <w:rFonts w:ascii="Arial" w:hAnsi="Arial" w:cs="Arial"/>
        </w:rPr>
        <w:instrText xml:space="preserve"> SEQ Figure \* ARABIC </w:instrText>
      </w:r>
      <w:r w:rsidRPr="00B35E07">
        <w:rPr>
          <w:rFonts w:ascii="Arial" w:hAnsi="Arial" w:cs="Arial"/>
        </w:rPr>
        <w:fldChar w:fldCharType="separate"/>
      </w:r>
      <w:r w:rsidRPr="00B35E07">
        <w:rPr>
          <w:rFonts w:ascii="Arial" w:hAnsi="Arial" w:cs="Arial"/>
          <w:noProof/>
        </w:rPr>
        <w:t>4</w:t>
      </w:r>
      <w:r w:rsidRPr="00B35E07">
        <w:rPr>
          <w:rFonts w:ascii="Arial" w:hAnsi="Arial" w:cs="Arial"/>
          <w:noProof/>
        </w:rPr>
        <w:fldChar w:fldCharType="end"/>
      </w:r>
      <w:r w:rsidRPr="00B35E07">
        <w:rPr>
          <w:rFonts w:ascii="Arial" w:hAnsi="Arial" w:cs="Arial"/>
        </w:rPr>
        <w:t>: Loan to Deposit Ratio</w:t>
      </w:r>
      <w:bookmarkEnd w:id="104"/>
    </w:p>
    <w:p w14:paraId="2C98EC7A" w14:textId="77777777" w:rsidR="00726370" w:rsidRPr="00B35E07" w:rsidRDefault="00726370" w:rsidP="00726370">
      <w:pPr>
        <w:spacing w:after="0" w:line="360" w:lineRule="auto"/>
        <w:rPr>
          <w:rFonts w:ascii="Arial" w:hAnsi="Arial" w:cs="Arial"/>
          <w:sz w:val="24"/>
          <w:szCs w:val="24"/>
        </w:rPr>
      </w:pPr>
    </w:p>
    <w:p w14:paraId="01B4D04E"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 xml:space="preserve">Figure 4 shows the industry mean of loan to deposit ratio obtained by the banks listed on NSE from 2013 to 2017. In 2013 the banks obtained a ratio of </w:t>
      </w:r>
      <w:r w:rsidRPr="00B35E07">
        <w:rPr>
          <w:rFonts w:ascii="Arial" w:hAnsi="Arial" w:cs="Arial"/>
          <w:sz w:val="24"/>
          <w:szCs w:val="24"/>
        </w:rPr>
        <w:lastRenderedPageBreak/>
        <w:t>0.826, followed by a rise to 0.859 in 2014 and a slight increase of 0.006 in 2015 to 0.865. In 2016, loan to deposit ratio decrease to 0.861 followed by a further decline in 2017 by 0.053 to 0.808. The results show that loan to deposit ratio was on low in the year 2013, increased further and then declined way more in 2017 to 0.808. Therefore, loan to deposit ratio for the banking sector is seen to have a slow growth from 2014 to 2016 and declining further in 2017.</w:t>
      </w:r>
    </w:p>
    <w:p w14:paraId="1B6EE3D9" w14:textId="77777777" w:rsidR="00726370" w:rsidRPr="00B35E07" w:rsidRDefault="00726370" w:rsidP="00726370">
      <w:pPr>
        <w:rPr>
          <w:rFonts w:ascii="Arial" w:hAnsi="Arial" w:cs="Arial"/>
        </w:rPr>
      </w:pPr>
    </w:p>
    <w:p w14:paraId="10A7DFFF" w14:textId="4F95A33F" w:rsidR="00726370" w:rsidRPr="00B35E07" w:rsidRDefault="00726370" w:rsidP="00726370">
      <w:pPr>
        <w:pStyle w:val="Heading2"/>
        <w:rPr>
          <w:rFonts w:ascii="Arial" w:hAnsi="Arial" w:cs="Arial"/>
          <w:b/>
          <w:bCs/>
          <w:color w:val="auto"/>
          <w:sz w:val="24"/>
          <w:szCs w:val="24"/>
        </w:rPr>
      </w:pPr>
      <w:bookmarkStart w:id="105" w:name="_Toc27579814"/>
      <w:r w:rsidRPr="00B35E07">
        <w:rPr>
          <w:rFonts w:ascii="Arial" w:hAnsi="Arial" w:cs="Arial"/>
          <w:b/>
          <w:bCs/>
          <w:color w:val="auto"/>
          <w:sz w:val="24"/>
          <w:szCs w:val="24"/>
        </w:rPr>
        <w:t>4.5: Annual GDP Growth</w:t>
      </w:r>
      <w:bookmarkEnd w:id="105"/>
    </w:p>
    <w:p w14:paraId="1348F672"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4F3A6FD9" wp14:editId="0FE1B280">
            <wp:extent cx="2707005" cy="23348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07005" cy="2334895"/>
                    </a:xfrm>
                    <a:prstGeom prst="rect">
                      <a:avLst/>
                    </a:prstGeom>
                    <a:noFill/>
                  </pic:spPr>
                </pic:pic>
              </a:graphicData>
            </a:graphic>
          </wp:inline>
        </w:drawing>
      </w:r>
    </w:p>
    <w:p w14:paraId="71233A1B" w14:textId="77777777" w:rsidR="00726370" w:rsidRPr="00B35E07" w:rsidRDefault="00726370" w:rsidP="00726370">
      <w:pPr>
        <w:pStyle w:val="Caption"/>
        <w:jc w:val="center"/>
        <w:rPr>
          <w:rFonts w:ascii="Arial" w:hAnsi="Arial" w:cs="Arial"/>
          <w:sz w:val="36"/>
          <w:szCs w:val="36"/>
        </w:rPr>
      </w:pPr>
      <w:bookmarkStart w:id="106" w:name="_Toc27427463"/>
      <w:r w:rsidRPr="00B35E07">
        <w:rPr>
          <w:rFonts w:ascii="Arial" w:hAnsi="Arial" w:cs="Arial"/>
        </w:rPr>
        <w:t xml:space="preserve">Figure </w:t>
      </w:r>
      <w:r w:rsidRPr="00B35E07">
        <w:rPr>
          <w:rFonts w:ascii="Arial" w:hAnsi="Arial" w:cs="Arial"/>
        </w:rPr>
        <w:fldChar w:fldCharType="begin"/>
      </w:r>
      <w:r w:rsidRPr="00B35E07">
        <w:rPr>
          <w:rFonts w:ascii="Arial" w:hAnsi="Arial" w:cs="Arial"/>
        </w:rPr>
        <w:instrText xml:space="preserve"> SEQ Figure \* ARABIC </w:instrText>
      </w:r>
      <w:r w:rsidRPr="00B35E07">
        <w:rPr>
          <w:rFonts w:ascii="Arial" w:hAnsi="Arial" w:cs="Arial"/>
        </w:rPr>
        <w:fldChar w:fldCharType="separate"/>
      </w:r>
      <w:r w:rsidRPr="00B35E07">
        <w:rPr>
          <w:rFonts w:ascii="Arial" w:hAnsi="Arial" w:cs="Arial"/>
          <w:noProof/>
        </w:rPr>
        <w:t>5</w:t>
      </w:r>
      <w:r w:rsidRPr="00B35E07">
        <w:rPr>
          <w:rFonts w:ascii="Arial" w:hAnsi="Arial" w:cs="Arial"/>
          <w:noProof/>
        </w:rPr>
        <w:fldChar w:fldCharType="end"/>
      </w:r>
      <w:r w:rsidRPr="00B35E07">
        <w:rPr>
          <w:rFonts w:ascii="Arial" w:hAnsi="Arial" w:cs="Arial"/>
        </w:rPr>
        <w:t>: Annual GDP Growth</w:t>
      </w:r>
      <w:bookmarkEnd w:id="106"/>
    </w:p>
    <w:p w14:paraId="6F791953"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Figure 5 shows the industry mean of annual average GDP of Kenya from 2013 to 2017. In 2013, the GDP is seen to be high with an average of 5.9%, then declined in 2014 to 5.4%. It is then seen to increase slightly in 2015 by 0.3% to 5.7 and increasing further slightly in 2016 to 5.9% followed by a further decline in 2017 by 1% to 4.9%. The results show that the annual average GDP growth was high in 2013 and lowest in 2017.</w:t>
      </w:r>
    </w:p>
    <w:p w14:paraId="13CD82F6" w14:textId="77777777" w:rsidR="00726370" w:rsidRPr="00B35E07" w:rsidRDefault="00726370" w:rsidP="00726370">
      <w:pPr>
        <w:spacing w:after="0" w:line="360" w:lineRule="auto"/>
        <w:jc w:val="both"/>
        <w:rPr>
          <w:rFonts w:ascii="Arial" w:hAnsi="Arial" w:cs="Arial"/>
          <w:sz w:val="24"/>
          <w:szCs w:val="24"/>
        </w:rPr>
      </w:pPr>
    </w:p>
    <w:p w14:paraId="4E25C9F1"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GDP is seen to be having a slower growth and rapidly decreased in 2017. This implies that in Kenya, there has been a slower development in production of goods and services as supported by Abdullah, Ahmad, Bujang, (2015) which affects the economy of the country and likewise this results in contribution of higher LLP to encounter the expected losses generated from the loan portfolio.</w:t>
      </w:r>
    </w:p>
    <w:p w14:paraId="7FB2D0B1" w14:textId="77777777" w:rsidR="00726370" w:rsidRPr="00B35E07" w:rsidRDefault="00726370" w:rsidP="00726370">
      <w:pPr>
        <w:spacing w:after="0" w:line="360" w:lineRule="auto"/>
        <w:jc w:val="both"/>
        <w:rPr>
          <w:rFonts w:ascii="Arial" w:hAnsi="Arial" w:cs="Arial"/>
          <w:b/>
          <w:bCs/>
          <w:sz w:val="24"/>
          <w:szCs w:val="24"/>
        </w:rPr>
      </w:pPr>
    </w:p>
    <w:p w14:paraId="389ABD92" w14:textId="77777777" w:rsidR="00726370" w:rsidRPr="00B35E07" w:rsidRDefault="00726370" w:rsidP="00726370">
      <w:pPr>
        <w:spacing w:after="0" w:line="360" w:lineRule="auto"/>
        <w:jc w:val="both"/>
        <w:rPr>
          <w:rFonts w:ascii="Arial" w:hAnsi="Arial" w:cs="Arial"/>
          <w:b/>
          <w:bCs/>
          <w:sz w:val="24"/>
          <w:szCs w:val="24"/>
        </w:rPr>
      </w:pPr>
    </w:p>
    <w:p w14:paraId="23674A2E" w14:textId="77777777" w:rsidR="00726370" w:rsidRPr="00B35E07" w:rsidRDefault="00726370" w:rsidP="00726370">
      <w:pPr>
        <w:pStyle w:val="Heading2"/>
        <w:rPr>
          <w:rFonts w:ascii="Arial" w:hAnsi="Arial" w:cs="Arial"/>
          <w:b/>
          <w:bCs/>
          <w:color w:val="auto"/>
          <w:sz w:val="24"/>
          <w:szCs w:val="24"/>
        </w:rPr>
      </w:pPr>
      <w:bookmarkStart w:id="107" w:name="_Toc27579815"/>
      <w:r w:rsidRPr="00B35E07">
        <w:rPr>
          <w:rFonts w:ascii="Arial" w:hAnsi="Arial" w:cs="Arial"/>
          <w:b/>
          <w:bCs/>
          <w:color w:val="auto"/>
          <w:sz w:val="24"/>
          <w:szCs w:val="24"/>
        </w:rPr>
        <w:lastRenderedPageBreak/>
        <w:t>4.6: Annual Average Inflation</w:t>
      </w:r>
      <w:bookmarkEnd w:id="107"/>
    </w:p>
    <w:p w14:paraId="4C958CC5" w14:textId="77777777" w:rsidR="00726370" w:rsidRPr="00B35E07" w:rsidRDefault="00726370" w:rsidP="00726370">
      <w:pPr>
        <w:spacing w:after="0" w:line="360" w:lineRule="auto"/>
        <w:jc w:val="both"/>
        <w:rPr>
          <w:rFonts w:ascii="Arial" w:hAnsi="Arial" w:cs="Arial"/>
          <w:sz w:val="24"/>
          <w:szCs w:val="24"/>
        </w:rPr>
      </w:pPr>
    </w:p>
    <w:p w14:paraId="2046350A"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Inflation rate simply affects the borrower’s ability to pay back loans and is simply affected by interest rates adjustments in Kenya. Therefore, the stability in inflation rates is mainly regulated by the Central Bank of Kenya. Hence, the consumer purchasing power is reduced greatly when the inflation rises due to consumers not able to lend and invest and eventually repay back loans as well.</w:t>
      </w:r>
    </w:p>
    <w:p w14:paraId="406D8172" w14:textId="77777777" w:rsidR="00726370" w:rsidRPr="00B35E07" w:rsidRDefault="00726370" w:rsidP="00726370">
      <w:pPr>
        <w:spacing w:after="0" w:line="360" w:lineRule="auto"/>
        <w:jc w:val="center"/>
        <w:rPr>
          <w:rFonts w:ascii="Arial" w:hAnsi="Arial" w:cs="Arial"/>
          <w:sz w:val="24"/>
          <w:szCs w:val="24"/>
        </w:rPr>
      </w:pPr>
      <w:r w:rsidRPr="00B35E07">
        <w:rPr>
          <w:rFonts w:ascii="Arial" w:hAnsi="Arial" w:cs="Arial"/>
          <w:noProof/>
          <w:sz w:val="24"/>
          <w:szCs w:val="24"/>
        </w:rPr>
        <w:drawing>
          <wp:inline distT="0" distB="0" distL="0" distR="0" wp14:anchorId="608983BB" wp14:editId="168F95B9">
            <wp:extent cx="2840990" cy="24993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40990" cy="2499360"/>
                    </a:xfrm>
                    <a:prstGeom prst="rect">
                      <a:avLst/>
                    </a:prstGeom>
                    <a:noFill/>
                  </pic:spPr>
                </pic:pic>
              </a:graphicData>
            </a:graphic>
          </wp:inline>
        </w:drawing>
      </w:r>
    </w:p>
    <w:p w14:paraId="440BD0D3" w14:textId="77777777" w:rsidR="00726370" w:rsidRPr="00B35E07" w:rsidRDefault="00726370" w:rsidP="00726370">
      <w:pPr>
        <w:pStyle w:val="Caption"/>
        <w:jc w:val="center"/>
        <w:rPr>
          <w:rFonts w:ascii="Arial" w:hAnsi="Arial" w:cs="Arial"/>
        </w:rPr>
      </w:pPr>
      <w:bookmarkStart w:id="108" w:name="_Toc27427464"/>
      <w:r w:rsidRPr="00B35E07">
        <w:rPr>
          <w:rFonts w:ascii="Arial" w:hAnsi="Arial" w:cs="Arial"/>
        </w:rPr>
        <w:t xml:space="preserve">Figure </w:t>
      </w:r>
      <w:r w:rsidRPr="00B35E07">
        <w:rPr>
          <w:rFonts w:ascii="Arial" w:hAnsi="Arial" w:cs="Arial"/>
        </w:rPr>
        <w:fldChar w:fldCharType="begin"/>
      </w:r>
      <w:r w:rsidRPr="00B35E07">
        <w:rPr>
          <w:rFonts w:ascii="Arial" w:hAnsi="Arial" w:cs="Arial"/>
        </w:rPr>
        <w:instrText xml:space="preserve"> SEQ Figure \* ARABIC </w:instrText>
      </w:r>
      <w:r w:rsidRPr="00B35E07">
        <w:rPr>
          <w:rFonts w:ascii="Arial" w:hAnsi="Arial" w:cs="Arial"/>
        </w:rPr>
        <w:fldChar w:fldCharType="separate"/>
      </w:r>
      <w:r w:rsidRPr="00B35E07">
        <w:rPr>
          <w:rFonts w:ascii="Arial" w:hAnsi="Arial" w:cs="Arial"/>
          <w:noProof/>
        </w:rPr>
        <w:t>6</w:t>
      </w:r>
      <w:r w:rsidRPr="00B35E07">
        <w:rPr>
          <w:rFonts w:ascii="Arial" w:hAnsi="Arial" w:cs="Arial"/>
          <w:noProof/>
        </w:rPr>
        <w:fldChar w:fldCharType="end"/>
      </w:r>
      <w:r w:rsidRPr="00B35E07">
        <w:rPr>
          <w:rFonts w:ascii="Arial" w:hAnsi="Arial" w:cs="Arial"/>
        </w:rPr>
        <w:t>: Annual Average Inflation</w:t>
      </w:r>
      <w:bookmarkEnd w:id="108"/>
    </w:p>
    <w:p w14:paraId="14570366" w14:textId="77777777" w:rsidR="00726370" w:rsidRPr="00B35E07" w:rsidRDefault="00726370" w:rsidP="00726370">
      <w:pPr>
        <w:spacing w:after="0" w:line="360" w:lineRule="auto"/>
        <w:rPr>
          <w:rFonts w:ascii="Arial" w:hAnsi="Arial" w:cs="Arial"/>
          <w:b/>
          <w:bCs/>
          <w:sz w:val="24"/>
          <w:szCs w:val="24"/>
        </w:rPr>
      </w:pPr>
    </w:p>
    <w:p w14:paraId="692A243D"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Figure 6 shows the annual average inflation in Kenya from 2013 to 2017. In 2013, the inflation is seen to be low with an average of 5.72%, then increased higher in 2014 by 1.16% to 6.88% then slightly declined to 6.58% and 6.30% in 2016 and 2017 respectively. It has then increased sharply in 2017 by 1.68% to 7.98%. The results show that the annual average inflation growth was low in 2013 with a slight diminishing growth from 2014 to 2016 and highest in 2017 to 7.98%. Annual average inflation has not been stable across the 5-year period.</w:t>
      </w:r>
    </w:p>
    <w:p w14:paraId="10BD1D3E" w14:textId="77777777" w:rsidR="00726370" w:rsidRPr="00B35E07" w:rsidRDefault="00726370" w:rsidP="00726370">
      <w:pPr>
        <w:spacing w:after="0" w:line="360" w:lineRule="auto"/>
        <w:jc w:val="both"/>
        <w:rPr>
          <w:rFonts w:ascii="Arial" w:hAnsi="Arial" w:cs="Arial"/>
          <w:b/>
          <w:bCs/>
          <w:sz w:val="24"/>
          <w:szCs w:val="24"/>
        </w:rPr>
      </w:pPr>
    </w:p>
    <w:p w14:paraId="760A1508" w14:textId="53A1BA3A"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 xml:space="preserve">An increasing inflation rate is demonstrated in Kenya across the 5-year period and as supported by Abdullah </w:t>
      </w:r>
      <w:r w:rsidRPr="00B35E07">
        <w:rPr>
          <w:rFonts w:ascii="Arial" w:hAnsi="Arial" w:cs="Arial"/>
          <w:i/>
          <w:iCs/>
          <w:sz w:val="24"/>
          <w:szCs w:val="24"/>
        </w:rPr>
        <w:t>et al</w:t>
      </w:r>
      <w:r w:rsidRPr="00B35E07">
        <w:rPr>
          <w:rFonts w:ascii="Arial" w:hAnsi="Arial" w:cs="Arial"/>
          <w:sz w:val="24"/>
          <w:szCs w:val="24"/>
        </w:rPr>
        <w:t xml:space="preserve">., (2015) in their research, that it is as a result of an increase in money supply in the economy that results in the general rise in the prices of goods and services; therefore as the cost of goods and services rise, the value of each dollar experiences a decrease, hence the inability </w:t>
      </w:r>
      <w:r w:rsidRPr="00B35E07">
        <w:rPr>
          <w:rFonts w:ascii="Arial" w:hAnsi="Arial" w:cs="Arial"/>
          <w:sz w:val="24"/>
          <w:szCs w:val="24"/>
        </w:rPr>
        <w:lastRenderedPageBreak/>
        <w:t xml:space="preserve">of a consumer to purchase the goods and services as compared to previous transaction. </w:t>
      </w:r>
    </w:p>
    <w:p w14:paraId="7E723016" w14:textId="77777777" w:rsidR="00726370" w:rsidRPr="00B35E07" w:rsidRDefault="00726370" w:rsidP="00726370">
      <w:pPr>
        <w:spacing w:after="0" w:line="360" w:lineRule="auto"/>
        <w:ind w:firstLine="720"/>
        <w:jc w:val="both"/>
        <w:rPr>
          <w:rFonts w:ascii="Arial" w:hAnsi="Arial" w:cs="Arial"/>
          <w:sz w:val="24"/>
          <w:szCs w:val="24"/>
        </w:rPr>
      </w:pPr>
    </w:p>
    <w:p w14:paraId="1BD3BA7A" w14:textId="0827B2FC" w:rsidR="00726370" w:rsidRPr="00B35E07" w:rsidRDefault="00726370" w:rsidP="00726370">
      <w:pPr>
        <w:pStyle w:val="Heading2"/>
        <w:rPr>
          <w:rFonts w:ascii="Arial" w:hAnsi="Arial" w:cs="Arial"/>
          <w:b/>
          <w:bCs/>
          <w:color w:val="auto"/>
          <w:sz w:val="24"/>
          <w:szCs w:val="24"/>
        </w:rPr>
      </w:pPr>
      <w:bookmarkStart w:id="109" w:name="_Toc27579816"/>
      <w:r w:rsidRPr="00B35E07">
        <w:rPr>
          <w:rFonts w:ascii="Arial" w:hAnsi="Arial" w:cs="Arial"/>
          <w:b/>
          <w:bCs/>
          <w:color w:val="auto"/>
          <w:sz w:val="24"/>
          <w:szCs w:val="24"/>
        </w:rPr>
        <w:t>4.7: Descriptive Statistics</w:t>
      </w:r>
      <w:bookmarkEnd w:id="109"/>
    </w:p>
    <w:p w14:paraId="24A59404" w14:textId="77777777" w:rsidR="00726370" w:rsidRPr="00B35E07" w:rsidRDefault="00726370" w:rsidP="00726370">
      <w:pPr>
        <w:spacing w:after="0" w:line="360" w:lineRule="auto"/>
        <w:jc w:val="both"/>
        <w:rPr>
          <w:rFonts w:ascii="Arial" w:hAnsi="Arial" w:cs="Arial"/>
          <w:sz w:val="24"/>
          <w:szCs w:val="24"/>
        </w:rPr>
      </w:pPr>
    </w:p>
    <w:p w14:paraId="7F2C320B"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Table 13 below elaborates and explains the descriptive statistics of all the variables in the research study. Descriptive statistics are utilized to analyse the impact of efficiency and probability of bank failure of commercial through Loan Loss Provision. It is utilized in predicting the kind of data and thereby aids to understand the trend over the period from 2013 to 2017. It clearly enumerates a useful summary on dispersion of data and measures of central tendency.</w:t>
      </w:r>
    </w:p>
    <w:p w14:paraId="5D88D2F8" w14:textId="77777777" w:rsidR="00726370" w:rsidRPr="00B35E07" w:rsidRDefault="00726370" w:rsidP="00726370">
      <w:pPr>
        <w:pStyle w:val="Caption"/>
        <w:rPr>
          <w:rFonts w:ascii="Arial" w:hAnsi="Arial" w:cs="Arial"/>
        </w:rPr>
      </w:pPr>
      <w:bookmarkStart w:id="110" w:name="_Toc27427420"/>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13</w:t>
      </w:r>
      <w:r w:rsidRPr="00B35E07">
        <w:rPr>
          <w:rFonts w:ascii="Arial" w:hAnsi="Arial" w:cs="Arial"/>
          <w:noProof/>
        </w:rPr>
        <w:fldChar w:fldCharType="end"/>
      </w:r>
      <w:r w:rsidRPr="00B35E07">
        <w:rPr>
          <w:rFonts w:ascii="Arial" w:hAnsi="Arial" w:cs="Arial"/>
        </w:rPr>
        <w:t>: Descriptive Statistics</w:t>
      </w:r>
      <w:bookmarkEnd w:id="110"/>
    </w:p>
    <w:p w14:paraId="6512616A" w14:textId="77777777" w:rsidR="00726370" w:rsidRPr="00B35E07" w:rsidRDefault="00726370" w:rsidP="00726370">
      <w:pPr>
        <w:spacing w:after="0" w:line="360" w:lineRule="auto"/>
        <w:rPr>
          <w:rFonts w:ascii="Arial" w:hAnsi="Arial" w:cs="Arial"/>
          <w:b/>
          <w:bCs/>
          <w:sz w:val="24"/>
          <w:szCs w:val="24"/>
          <w:u w:val="single"/>
        </w:rPr>
      </w:pPr>
      <w:r w:rsidRPr="00B35E07">
        <w:rPr>
          <w:rFonts w:ascii="Arial" w:hAnsi="Arial" w:cs="Arial"/>
          <w:noProof/>
        </w:rPr>
        <w:drawing>
          <wp:inline distT="0" distB="0" distL="0" distR="0" wp14:anchorId="1D6F8631" wp14:editId="5A7BD12D">
            <wp:extent cx="5731510" cy="2472690"/>
            <wp:effectExtent l="0" t="0" r="254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2472690"/>
                    </a:xfrm>
                    <a:prstGeom prst="rect">
                      <a:avLst/>
                    </a:prstGeom>
                    <a:noFill/>
                    <a:ln>
                      <a:noFill/>
                    </a:ln>
                  </pic:spPr>
                </pic:pic>
              </a:graphicData>
            </a:graphic>
          </wp:inline>
        </w:drawing>
      </w:r>
    </w:p>
    <w:p w14:paraId="0D2FF9E0" w14:textId="77777777" w:rsidR="00726370" w:rsidRPr="00B35E07" w:rsidRDefault="00726370" w:rsidP="00726370">
      <w:pPr>
        <w:spacing w:after="0" w:line="360" w:lineRule="auto"/>
        <w:rPr>
          <w:rFonts w:ascii="Arial" w:hAnsi="Arial" w:cs="Arial"/>
          <w:b/>
          <w:bCs/>
          <w:sz w:val="24"/>
          <w:szCs w:val="24"/>
          <w:u w:val="single"/>
        </w:rPr>
      </w:pPr>
    </w:p>
    <w:p w14:paraId="0491BC1A" w14:textId="77777777" w:rsidR="00726370" w:rsidRPr="00B35E07" w:rsidRDefault="00726370" w:rsidP="00726370">
      <w:pPr>
        <w:spacing w:after="0" w:line="360" w:lineRule="auto"/>
        <w:ind w:firstLine="360"/>
        <w:jc w:val="both"/>
        <w:rPr>
          <w:rFonts w:ascii="Arial" w:hAnsi="Arial" w:cs="Arial"/>
          <w:sz w:val="24"/>
          <w:szCs w:val="24"/>
        </w:rPr>
      </w:pPr>
      <w:r w:rsidRPr="00B35E07">
        <w:rPr>
          <w:rFonts w:ascii="Arial" w:hAnsi="Arial" w:cs="Arial"/>
          <w:sz w:val="24"/>
          <w:szCs w:val="24"/>
        </w:rPr>
        <w:t>Table 13 above elaborates a summary of the descriptive statistics for the dependent variable, moderator and independent variables. It highlights the variables of the 11 commercial banks listed on the NSE for the duration of 2013 to 2017. The results show that;</w:t>
      </w:r>
    </w:p>
    <w:p w14:paraId="65E9EDFC" w14:textId="77777777" w:rsidR="00726370" w:rsidRPr="00B35E07" w:rsidRDefault="00726370" w:rsidP="00726370">
      <w:pPr>
        <w:spacing w:after="0" w:line="360" w:lineRule="auto"/>
        <w:jc w:val="both"/>
        <w:rPr>
          <w:rFonts w:ascii="Arial" w:hAnsi="Arial" w:cs="Arial"/>
          <w:sz w:val="24"/>
          <w:szCs w:val="24"/>
        </w:rPr>
      </w:pPr>
    </w:p>
    <w:p w14:paraId="5A5BD3C2"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t>Loan to deposit ratio had an overall mean value of 84.4% and a standard deviation of 0.193 for the relevant period. The highest Loan to deposit ratio obtained was 140.5% and lowest 50.2%. This implies that the commercial banks in Kenya makes a high provision for loan losses.</w:t>
      </w:r>
    </w:p>
    <w:p w14:paraId="0FD792F2"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lastRenderedPageBreak/>
        <w:t>Log N, which is the size of assets of the commercial banks, had an overall mean of 8.30 and a standard deviation of 0.240. The highest Log N obtained was 8.744 and lowest 7.67.</w:t>
      </w:r>
    </w:p>
    <w:p w14:paraId="5C2CFCBE"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t>Loan Loss Provision to Total Assets ratio had an overall mean of 9.195% and a standard deviation of 0.006034 with a maximum ratio of 2.97% implying that the commercial banks in Kenya makes a very low provisions for loan losses.</w:t>
      </w:r>
    </w:p>
    <w:p w14:paraId="44E8F305"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t>Capital Adequacy Ratio, CAR had an overall mean of 18.42 with a standard deviation of 3.32.</w:t>
      </w:r>
    </w:p>
    <w:p w14:paraId="37BFD32B"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t>Cost to Income ratio had an overall mean of 0.444 with a standard deviation of 0.164.</w:t>
      </w:r>
    </w:p>
    <w:p w14:paraId="5514F5FB"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t>Annual GDP Growth had an overall mean of 5.56% which is the growth over the 5 years period with a standard deviation of 0.380. With the highest growth in 2013 and 2016 of 5.9% and lowest growth of 4.9% in 2017.</w:t>
      </w:r>
    </w:p>
    <w:p w14:paraId="202D8477"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t>Annual Average Inflation had an overall mean of 6.69 with a standard deviation of 0.756. GDP growth over 14 years period is 5.4 percent, with the highest growth in 2017 of 7.98 percent and the lowest growth of 5.72 percent in 2013.</w:t>
      </w:r>
    </w:p>
    <w:p w14:paraId="0D3F7A63" w14:textId="77777777" w:rsidR="00726370" w:rsidRPr="00B35E07" w:rsidRDefault="00726370" w:rsidP="00726370">
      <w:pPr>
        <w:pStyle w:val="ListParagraph"/>
        <w:numPr>
          <w:ilvl w:val="0"/>
          <w:numId w:val="6"/>
        </w:numPr>
        <w:spacing w:after="0" w:line="360" w:lineRule="auto"/>
        <w:jc w:val="both"/>
        <w:rPr>
          <w:rFonts w:ascii="Arial" w:hAnsi="Arial" w:cs="Arial"/>
          <w:sz w:val="24"/>
          <w:szCs w:val="24"/>
        </w:rPr>
      </w:pPr>
      <w:r w:rsidRPr="00B35E07">
        <w:rPr>
          <w:rFonts w:ascii="Arial" w:hAnsi="Arial" w:cs="Arial"/>
          <w:sz w:val="24"/>
          <w:szCs w:val="24"/>
        </w:rPr>
        <w:t>DEA had an overall mean score efficiency of 0.941 with a maximum score of 100% and minimum score of 81.1%.</w:t>
      </w:r>
    </w:p>
    <w:p w14:paraId="5746E16F" w14:textId="77777777" w:rsidR="00726370" w:rsidRPr="00B35E07" w:rsidRDefault="00726370" w:rsidP="00726370">
      <w:pPr>
        <w:pStyle w:val="Heading2"/>
        <w:rPr>
          <w:rFonts w:ascii="Arial" w:hAnsi="Arial" w:cs="Arial"/>
          <w:b/>
          <w:bCs/>
          <w:color w:val="auto"/>
          <w:sz w:val="24"/>
          <w:szCs w:val="24"/>
        </w:rPr>
      </w:pPr>
      <w:bookmarkStart w:id="111" w:name="_Toc27579817"/>
      <w:r w:rsidRPr="00B35E07">
        <w:rPr>
          <w:rFonts w:ascii="Arial" w:hAnsi="Arial" w:cs="Arial"/>
          <w:b/>
          <w:bCs/>
          <w:color w:val="auto"/>
          <w:sz w:val="24"/>
          <w:szCs w:val="24"/>
        </w:rPr>
        <w:t>4.8: Ordinary Linear Regression Analysis</w:t>
      </w:r>
      <w:bookmarkEnd w:id="111"/>
    </w:p>
    <w:p w14:paraId="55434560" w14:textId="77777777" w:rsidR="00726370" w:rsidRPr="00B35E07" w:rsidRDefault="00726370" w:rsidP="00726370">
      <w:pPr>
        <w:spacing w:after="0" w:line="360" w:lineRule="auto"/>
        <w:jc w:val="both"/>
        <w:rPr>
          <w:rFonts w:ascii="Arial" w:hAnsi="Arial" w:cs="Arial"/>
          <w:sz w:val="24"/>
          <w:szCs w:val="24"/>
        </w:rPr>
      </w:pPr>
    </w:p>
    <w:p w14:paraId="10C95CDA"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The model for the sample of the commercial banks listed on the NSE in table 14 below all together explains 21.68% variations of the LLPs. The results of the table imply that Loan Loss Provisions of the commercial banks to a large extent are dependent on the bank specific determinants such as Size of Assets and Loan Deposit ratio and the economic factors such as GDP and Inflation.</w:t>
      </w:r>
    </w:p>
    <w:p w14:paraId="0814E3F3" w14:textId="77777777" w:rsidR="00762CFB" w:rsidRPr="00B35E07" w:rsidRDefault="00762CFB" w:rsidP="00726370">
      <w:pPr>
        <w:pStyle w:val="Caption"/>
        <w:rPr>
          <w:rFonts w:ascii="Arial" w:hAnsi="Arial" w:cs="Arial"/>
        </w:rPr>
      </w:pPr>
      <w:bookmarkStart w:id="112" w:name="_Toc27427421"/>
    </w:p>
    <w:p w14:paraId="67524186" w14:textId="77777777" w:rsidR="00762CFB" w:rsidRPr="00B35E07" w:rsidRDefault="00762CFB" w:rsidP="00726370">
      <w:pPr>
        <w:pStyle w:val="Caption"/>
        <w:rPr>
          <w:rFonts w:ascii="Arial" w:hAnsi="Arial" w:cs="Arial"/>
        </w:rPr>
      </w:pPr>
    </w:p>
    <w:p w14:paraId="366F8BC7" w14:textId="77777777" w:rsidR="00762CFB" w:rsidRPr="00B35E07" w:rsidRDefault="00762CFB" w:rsidP="00726370">
      <w:pPr>
        <w:pStyle w:val="Caption"/>
        <w:rPr>
          <w:rFonts w:ascii="Arial" w:hAnsi="Arial" w:cs="Arial"/>
        </w:rPr>
      </w:pPr>
    </w:p>
    <w:p w14:paraId="1822ED7F" w14:textId="77777777" w:rsidR="00762CFB" w:rsidRPr="00B35E07" w:rsidRDefault="00762CFB" w:rsidP="00726370">
      <w:pPr>
        <w:pStyle w:val="Caption"/>
        <w:rPr>
          <w:rFonts w:ascii="Arial" w:hAnsi="Arial" w:cs="Arial"/>
        </w:rPr>
      </w:pPr>
    </w:p>
    <w:p w14:paraId="3FB8B8E1" w14:textId="77777777" w:rsidR="00762CFB" w:rsidRPr="00B35E07" w:rsidRDefault="00762CFB" w:rsidP="00726370">
      <w:pPr>
        <w:pStyle w:val="Caption"/>
        <w:rPr>
          <w:rFonts w:ascii="Arial" w:hAnsi="Arial" w:cs="Arial"/>
        </w:rPr>
      </w:pPr>
    </w:p>
    <w:p w14:paraId="17FBDD08" w14:textId="52B33302" w:rsidR="00726370" w:rsidRPr="00B35E07" w:rsidRDefault="00726370" w:rsidP="00726370">
      <w:pPr>
        <w:pStyle w:val="Caption"/>
        <w:rPr>
          <w:rFonts w:ascii="Arial" w:hAnsi="Arial" w:cs="Arial"/>
        </w:rPr>
      </w:pPr>
      <w:r w:rsidRPr="00B35E07">
        <w:rPr>
          <w:rFonts w:ascii="Arial" w:hAnsi="Arial" w:cs="Arial"/>
        </w:rPr>
        <w:lastRenderedPageBreak/>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14</w:t>
      </w:r>
      <w:r w:rsidRPr="00B35E07">
        <w:rPr>
          <w:rFonts w:ascii="Arial" w:hAnsi="Arial" w:cs="Arial"/>
          <w:noProof/>
        </w:rPr>
        <w:fldChar w:fldCharType="end"/>
      </w:r>
      <w:r w:rsidRPr="00B35E07">
        <w:rPr>
          <w:rFonts w:ascii="Arial" w:hAnsi="Arial" w:cs="Arial"/>
        </w:rPr>
        <w:t>: Pool Ordinary Least Square Method, OLS Results</w:t>
      </w:r>
      <w:bookmarkEnd w:id="112"/>
    </w:p>
    <w:p w14:paraId="345B3A79" w14:textId="77777777" w:rsidR="00726370" w:rsidRPr="00B35E07" w:rsidRDefault="00726370" w:rsidP="00726370">
      <w:pPr>
        <w:spacing w:after="0" w:line="360" w:lineRule="auto"/>
        <w:jc w:val="center"/>
        <w:rPr>
          <w:rFonts w:ascii="Arial" w:hAnsi="Arial" w:cs="Arial"/>
          <w:b/>
          <w:bCs/>
          <w:sz w:val="24"/>
          <w:szCs w:val="24"/>
        </w:rPr>
      </w:pPr>
      <w:r w:rsidRPr="00B35E07">
        <w:rPr>
          <w:rFonts w:ascii="Arial" w:hAnsi="Arial" w:cs="Arial"/>
          <w:noProof/>
        </w:rPr>
        <w:drawing>
          <wp:inline distT="0" distB="0" distL="0" distR="0" wp14:anchorId="5B14A135" wp14:editId="417963BE">
            <wp:extent cx="3889575" cy="31061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13810" cy="3125497"/>
                    </a:xfrm>
                    <a:prstGeom prst="rect">
                      <a:avLst/>
                    </a:prstGeom>
                    <a:noFill/>
                    <a:ln>
                      <a:noFill/>
                    </a:ln>
                  </pic:spPr>
                </pic:pic>
              </a:graphicData>
            </a:graphic>
          </wp:inline>
        </w:drawing>
      </w:r>
    </w:p>
    <w:p w14:paraId="2ADF0123" w14:textId="77777777" w:rsidR="00726370" w:rsidRPr="00B35E07" w:rsidRDefault="00726370" w:rsidP="00726370">
      <w:pPr>
        <w:spacing w:line="360" w:lineRule="auto"/>
        <w:jc w:val="center"/>
        <w:rPr>
          <w:rFonts w:ascii="Arial" w:hAnsi="Arial" w:cs="Arial"/>
          <w:sz w:val="24"/>
          <w:szCs w:val="24"/>
        </w:rPr>
      </w:pPr>
    </w:p>
    <w:p w14:paraId="483B52A3" w14:textId="77777777" w:rsidR="00726370" w:rsidRPr="00B35E07" w:rsidRDefault="00726370" w:rsidP="00726370">
      <w:pPr>
        <w:spacing w:line="360" w:lineRule="auto"/>
        <w:rPr>
          <w:rFonts w:ascii="Arial" w:hAnsi="Arial" w:cs="Arial"/>
          <w:b/>
          <w:bCs/>
          <w:sz w:val="24"/>
          <w:szCs w:val="24"/>
        </w:rPr>
      </w:pPr>
      <w:r w:rsidRPr="00B35E07">
        <w:rPr>
          <w:rFonts w:ascii="Arial" w:hAnsi="Arial" w:cs="Arial"/>
          <w:b/>
          <w:bCs/>
          <w:sz w:val="24"/>
          <w:szCs w:val="24"/>
        </w:rPr>
        <w:t>LLP = -0.14289 - 0.008767*CIR - 0.000182*CAR + 0.01353*Log N + 0.012495*LD -   0.029674*GDP + 0.0165*INFL</w:t>
      </w:r>
    </w:p>
    <w:p w14:paraId="26DE1687"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The results obtained from the regression model above is illustrated in table 14 above. The results elaborate that the variables; cost to income ratio, Capital Adequacy ratio and GDP have an inverse relationship with LLP, this shows that cost to income ratio, Capital Adequacy ratio and GDP have negative effect on LLP. The relationship of GDP is statistically significant at 95% confidence interval level while Cost to Income ratio and CAR is not statistically significant. The outcomes enumerate that a unit increase in Cost to income ratio, Capital Adequacy ratio and GDP will lead to 0.008767, 0.000182 and 0.029674 reduction in LLP respectively </w:t>
      </w:r>
      <w:r w:rsidRPr="00B35E07">
        <w:rPr>
          <w:rFonts w:ascii="Arial" w:hAnsi="Arial" w:cs="Arial"/>
          <w:i/>
          <w:iCs/>
          <w:sz w:val="24"/>
          <w:szCs w:val="24"/>
        </w:rPr>
        <w:t xml:space="preserve">ceteris paribus. </w:t>
      </w:r>
    </w:p>
    <w:p w14:paraId="3112EE51" w14:textId="77777777" w:rsidR="00726370" w:rsidRPr="00B35E07" w:rsidRDefault="00726370" w:rsidP="00726370">
      <w:pPr>
        <w:spacing w:line="360" w:lineRule="auto"/>
        <w:ind w:firstLine="720"/>
        <w:jc w:val="both"/>
        <w:rPr>
          <w:rFonts w:ascii="Arial" w:hAnsi="Arial" w:cs="Arial"/>
          <w:i/>
          <w:iCs/>
          <w:sz w:val="24"/>
          <w:szCs w:val="24"/>
        </w:rPr>
      </w:pPr>
      <w:r w:rsidRPr="00B35E07">
        <w:rPr>
          <w:rFonts w:ascii="Arial" w:hAnsi="Arial" w:cs="Arial"/>
          <w:sz w:val="24"/>
          <w:szCs w:val="24"/>
        </w:rPr>
        <w:t xml:space="preserve">However, the relationship between size of asset (Log N), loan deposit ratio and Inflation with LLP is opposite that of other variables. The results show that a positive relationship exists amongst them implying that an increase in size of asset (Log N), loan deposit ratio and Inflation will result to an increase in LLP. With all being statistically significant. To be clearer, the relationship shows that a unit increase in size of asset (Log N), loan deposit ratio and Inflation granted by </w:t>
      </w:r>
      <w:r w:rsidRPr="00B35E07">
        <w:rPr>
          <w:rFonts w:ascii="Arial" w:hAnsi="Arial" w:cs="Arial"/>
          <w:sz w:val="24"/>
          <w:szCs w:val="24"/>
        </w:rPr>
        <w:lastRenderedPageBreak/>
        <w:t xml:space="preserve">banks will results in the bank LLP to increase by 0.01353, 0.012495 and 0.0165 respectively </w:t>
      </w:r>
      <w:r w:rsidRPr="00B35E07">
        <w:rPr>
          <w:rFonts w:ascii="Arial" w:hAnsi="Arial" w:cs="Arial"/>
          <w:i/>
          <w:iCs/>
          <w:sz w:val="24"/>
          <w:szCs w:val="24"/>
        </w:rPr>
        <w:t xml:space="preserve">ceteris paribus. </w:t>
      </w:r>
    </w:p>
    <w:p w14:paraId="3E4D78E3" w14:textId="77777777" w:rsidR="00726370" w:rsidRPr="00B35E07" w:rsidRDefault="00726370" w:rsidP="00726370">
      <w:pPr>
        <w:pStyle w:val="Heading2"/>
        <w:rPr>
          <w:rFonts w:ascii="Arial" w:hAnsi="Arial" w:cs="Arial"/>
          <w:b/>
          <w:bCs/>
          <w:noProof/>
          <w:color w:val="auto"/>
          <w:sz w:val="24"/>
          <w:szCs w:val="24"/>
        </w:rPr>
      </w:pPr>
      <w:bookmarkStart w:id="113" w:name="_Toc27579818"/>
      <w:r w:rsidRPr="00B35E07">
        <w:rPr>
          <w:rFonts w:ascii="Arial" w:hAnsi="Arial" w:cs="Arial"/>
          <w:b/>
          <w:bCs/>
          <w:color w:val="auto"/>
          <w:sz w:val="24"/>
          <w:szCs w:val="24"/>
        </w:rPr>
        <w:t xml:space="preserve">4.9: </w:t>
      </w:r>
      <w:r w:rsidRPr="00B35E07">
        <w:rPr>
          <w:rFonts w:ascii="Arial" w:hAnsi="Arial" w:cs="Arial"/>
          <w:b/>
          <w:bCs/>
          <w:noProof/>
          <w:color w:val="auto"/>
          <w:sz w:val="24"/>
          <w:szCs w:val="24"/>
        </w:rPr>
        <w:t>Hierarchical Regression Analysis</w:t>
      </w:r>
      <w:bookmarkEnd w:id="113"/>
    </w:p>
    <w:p w14:paraId="3D235FAD" w14:textId="77777777" w:rsidR="00726370" w:rsidRPr="00B35E07" w:rsidRDefault="00726370" w:rsidP="00726370">
      <w:pPr>
        <w:spacing w:after="0" w:line="360" w:lineRule="auto"/>
        <w:ind w:firstLine="720"/>
        <w:jc w:val="both"/>
        <w:rPr>
          <w:rFonts w:ascii="Arial" w:hAnsi="Arial" w:cs="Arial"/>
          <w:noProof/>
          <w:sz w:val="24"/>
          <w:szCs w:val="24"/>
        </w:rPr>
      </w:pPr>
      <w:r w:rsidRPr="00B35E07">
        <w:rPr>
          <w:rFonts w:ascii="Arial" w:hAnsi="Arial" w:cs="Arial"/>
          <w:noProof/>
          <w:sz w:val="24"/>
          <w:szCs w:val="24"/>
        </w:rPr>
        <w:t>The research conceptualzied that the probability of bank failure of the commercial banks listed on the Nairobi Securities Exchange could be influenced by both the financial factors and the economic factors. Consequently, the moderation model that follows was estimated.</w:t>
      </w:r>
    </w:p>
    <w:p w14:paraId="111A4711" w14:textId="77777777" w:rsidR="00726370" w:rsidRPr="00B35E07" w:rsidRDefault="00726370" w:rsidP="00726370">
      <w:pPr>
        <w:spacing w:after="0" w:line="360" w:lineRule="auto"/>
        <w:jc w:val="both"/>
        <w:rPr>
          <w:rFonts w:ascii="Arial" w:hAnsi="Arial" w:cs="Arial"/>
          <w:noProof/>
          <w:sz w:val="24"/>
          <w:szCs w:val="24"/>
        </w:rPr>
      </w:pPr>
    </w:p>
    <w:p w14:paraId="38251B23" w14:textId="77777777" w:rsidR="00726370" w:rsidRPr="00B35E07" w:rsidRDefault="00726370" w:rsidP="00726370">
      <w:pPr>
        <w:spacing w:after="0" w:line="360" w:lineRule="auto"/>
        <w:rPr>
          <w:rFonts w:ascii="Arial" w:hAnsi="Arial" w:cs="Arial"/>
          <w:b/>
          <w:bCs/>
          <w:noProof/>
          <w:sz w:val="24"/>
          <w:szCs w:val="24"/>
        </w:rPr>
      </w:pPr>
      <w:r w:rsidRPr="00B35E07">
        <w:rPr>
          <w:rFonts w:ascii="Arial" w:hAnsi="Arial" w:cs="Arial"/>
          <w:b/>
          <w:bCs/>
          <w:noProof/>
          <w:sz w:val="24"/>
          <w:szCs w:val="24"/>
        </w:rPr>
        <w:t>Y= β</w:t>
      </w:r>
      <w:r w:rsidRPr="00B35E07">
        <w:rPr>
          <w:rFonts w:ascii="Arial" w:hAnsi="Arial" w:cs="Arial"/>
          <w:b/>
          <w:bCs/>
          <w:noProof/>
          <w:sz w:val="24"/>
          <w:szCs w:val="24"/>
          <w:vertAlign w:val="subscript"/>
        </w:rPr>
        <w:t xml:space="preserve">0 + </w:t>
      </w:r>
      <w:r w:rsidRPr="00B35E07">
        <w:rPr>
          <w:rFonts w:ascii="Arial" w:hAnsi="Arial" w:cs="Arial"/>
          <w:b/>
          <w:bCs/>
          <w:noProof/>
          <w:sz w:val="24"/>
          <w:szCs w:val="24"/>
        </w:rPr>
        <w:t>β</w:t>
      </w:r>
      <w:r w:rsidRPr="00B35E07">
        <w:rPr>
          <w:rFonts w:ascii="Arial" w:hAnsi="Arial" w:cs="Arial"/>
          <w:b/>
          <w:bCs/>
          <w:noProof/>
          <w:sz w:val="24"/>
          <w:szCs w:val="24"/>
          <w:vertAlign w:val="subscript"/>
        </w:rPr>
        <w:t>1</w:t>
      </w:r>
      <w:r w:rsidRPr="00B35E07">
        <w:rPr>
          <w:rFonts w:ascii="Arial" w:hAnsi="Arial" w:cs="Arial"/>
          <w:b/>
          <w:bCs/>
          <w:noProof/>
          <w:sz w:val="24"/>
          <w:szCs w:val="24"/>
        </w:rPr>
        <w:t xml:space="preserve">CIR </w:t>
      </w:r>
      <w:r w:rsidRPr="00B35E07">
        <w:rPr>
          <w:rFonts w:ascii="Arial" w:hAnsi="Arial" w:cs="Arial"/>
          <w:b/>
          <w:bCs/>
          <w:noProof/>
          <w:sz w:val="24"/>
          <w:szCs w:val="24"/>
          <w:vertAlign w:val="subscript"/>
        </w:rPr>
        <w:t xml:space="preserve">+ </w:t>
      </w:r>
      <w:r w:rsidRPr="00B35E07">
        <w:rPr>
          <w:rFonts w:ascii="Arial" w:hAnsi="Arial" w:cs="Arial"/>
          <w:b/>
          <w:bCs/>
          <w:noProof/>
          <w:sz w:val="24"/>
          <w:szCs w:val="24"/>
        </w:rPr>
        <w:t>β</w:t>
      </w:r>
      <w:r w:rsidRPr="00B35E07">
        <w:rPr>
          <w:rFonts w:ascii="Arial" w:hAnsi="Arial" w:cs="Arial"/>
          <w:b/>
          <w:bCs/>
          <w:noProof/>
          <w:sz w:val="24"/>
          <w:szCs w:val="24"/>
          <w:vertAlign w:val="subscript"/>
        </w:rPr>
        <w:t>2</w:t>
      </w:r>
      <w:r w:rsidRPr="00B35E07">
        <w:rPr>
          <w:rFonts w:ascii="Arial" w:hAnsi="Arial" w:cs="Arial"/>
          <w:b/>
          <w:bCs/>
          <w:noProof/>
          <w:sz w:val="24"/>
          <w:szCs w:val="24"/>
        </w:rPr>
        <w:t xml:space="preserve">CAR </w:t>
      </w:r>
      <w:r w:rsidRPr="00B35E07">
        <w:rPr>
          <w:rFonts w:ascii="Arial" w:hAnsi="Arial" w:cs="Arial"/>
          <w:b/>
          <w:bCs/>
          <w:noProof/>
          <w:sz w:val="24"/>
          <w:szCs w:val="24"/>
          <w:vertAlign w:val="subscript"/>
        </w:rPr>
        <w:t>+</w:t>
      </w:r>
      <w:r w:rsidRPr="00B35E07">
        <w:rPr>
          <w:rFonts w:ascii="Arial" w:hAnsi="Arial" w:cs="Arial"/>
          <w:b/>
          <w:bCs/>
          <w:noProof/>
          <w:sz w:val="24"/>
          <w:szCs w:val="24"/>
        </w:rPr>
        <w:t xml:space="preserve"> β</w:t>
      </w:r>
      <w:r w:rsidRPr="00B35E07">
        <w:rPr>
          <w:rFonts w:ascii="Arial" w:hAnsi="Arial" w:cs="Arial"/>
          <w:b/>
          <w:bCs/>
          <w:noProof/>
          <w:sz w:val="24"/>
          <w:szCs w:val="24"/>
          <w:vertAlign w:val="subscript"/>
        </w:rPr>
        <w:t>3</w:t>
      </w:r>
      <w:r w:rsidRPr="00B35E07">
        <w:rPr>
          <w:rFonts w:ascii="Arial" w:hAnsi="Arial" w:cs="Arial"/>
          <w:b/>
          <w:bCs/>
          <w:noProof/>
          <w:sz w:val="24"/>
          <w:szCs w:val="24"/>
        </w:rPr>
        <w:t xml:space="preserve">LogN </w:t>
      </w:r>
      <w:r w:rsidRPr="00B35E07">
        <w:rPr>
          <w:rFonts w:ascii="Arial" w:hAnsi="Arial" w:cs="Arial"/>
          <w:b/>
          <w:bCs/>
          <w:noProof/>
          <w:sz w:val="24"/>
          <w:szCs w:val="24"/>
          <w:vertAlign w:val="subscript"/>
        </w:rPr>
        <w:t xml:space="preserve">+ </w:t>
      </w:r>
      <w:r w:rsidRPr="00B35E07">
        <w:rPr>
          <w:rFonts w:ascii="Arial" w:hAnsi="Arial" w:cs="Arial"/>
          <w:b/>
          <w:bCs/>
          <w:noProof/>
          <w:sz w:val="24"/>
          <w:szCs w:val="24"/>
        </w:rPr>
        <w:t>β</w:t>
      </w:r>
      <w:r w:rsidRPr="00B35E07">
        <w:rPr>
          <w:rFonts w:ascii="Arial" w:hAnsi="Arial" w:cs="Arial"/>
          <w:b/>
          <w:bCs/>
          <w:noProof/>
          <w:sz w:val="24"/>
          <w:szCs w:val="24"/>
          <w:vertAlign w:val="subscript"/>
        </w:rPr>
        <w:t>4</w:t>
      </w:r>
      <w:r w:rsidRPr="00B35E07">
        <w:rPr>
          <w:rFonts w:ascii="Arial" w:hAnsi="Arial" w:cs="Arial"/>
          <w:b/>
          <w:bCs/>
          <w:noProof/>
          <w:sz w:val="24"/>
          <w:szCs w:val="24"/>
        </w:rPr>
        <w:t>LoanDeposit</w:t>
      </w:r>
      <w:r w:rsidRPr="00B35E07">
        <w:rPr>
          <w:rFonts w:ascii="Arial" w:hAnsi="Arial" w:cs="Arial"/>
          <w:b/>
          <w:bCs/>
          <w:noProof/>
          <w:sz w:val="24"/>
          <w:szCs w:val="24"/>
          <w:vertAlign w:val="subscript"/>
        </w:rPr>
        <w:t xml:space="preserve"> + </w:t>
      </w:r>
      <w:r w:rsidRPr="00B35E07">
        <w:rPr>
          <w:rFonts w:ascii="Arial" w:hAnsi="Arial" w:cs="Arial"/>
          <w:b/>
          <w:bCs/>
          <w:noProof/>
          <w:sz w:val="24"/>
          <w:szCs w:val="24"/>
        </w:rPr>
        <w:t>β</w:t>
      </w:r>
      <w:r w:rsidRPr="00B35E07">
        <w:rPr>
          <w:rFonts w:ascii="Arial" w:hAnsi="Arial" w:cs="Arial"/>
          <w:b/>
          <w:bCs/>
          <w:noProof/>
          <w:sz w:val="24"/>
          <w:szCs w:val="24"/>
          <w:vertAlign w:val="subscript"/>
        </w:rPr>
        <w:t>5</w:t>
      </w:r>
      <w:r w:rsidRPr="00B35E07">
        <w:rPr>
          <w:rFonts w:ascii="Arial" w:hAnsi="Arial" w:cs="Arial"/>
          <w:b/>
          <w:bCs/>
          <w:noProof/>
          <w:sz w:val="24"/>
          <w:szCs w:val="24"/>
        </w:rPr>
        <w:t>GDP</w:t>
      </w:r>
      <w:r w:rsidRPr="00B35E07">
        <w:rPr>
          <w:rFonts w:ascii="Arial" w:hAnsi="Arial" w:cs="Arial"/>
          <w:b/>
          <w:bCs/>
          <w:noProof/>
          <w:sz w:val="24"/>
          <w:szCs w:val="24"/>
          <w:vertAlign w:val="subscript"/>
        </w:rPr>
        <w:t xml:space="preserve"> + </w:t>
      </w:r>
      <w:r w:rsidRPr="00B35E07">
        <w:rPr>
          <w:rFonts w:ascii="Arial" w:hAnsi="Arial" w:cs="Arial"/>
          <w:b/>
          <w:bCs/>
          <w:noProof/>
          <w:sz w:val="24"/>
          <w:szCs w:val="24"/>
        </w:rPr>
        <w:t>β</w:t>
      </w:r>
      <w:r w:rsidRPr="00B35E07">
        <w:rPr>
          <w:rFonts w:ascii="Arial" w:hAnsi="Arial" w:cs="Arial"/>
          <w:b/>
          <w:bCs/>
          <w:noProof/>
          <w:sz w:val="24"/>
          <w:szCs w:val="24"/>
          <w:vertAlign w:val="subscript"/>
        </w:rPr>
        <w:t>6</w:t>
      </w:r>
      <w:r w:rsidRPr="00B35E07">
        <w:rPr>
          <w:rFonts w:ascii="Arial" w:hAnsi="Arial" w:cs="Arial"/>
          <w:b/>
          <w:bCs/>
          <w:noProof/>
          <w:sz w:val="24"/>
          <w:szCs w:val="24"/>
        </w:rPr>
        <w:t xml:space="preserve">Inflation </w:t>
      </w:r>
      <w:r w:rsidRPr="00B35E07">
        <w:rPr>
          <w:rFonts w:ascii="Arial" w:hAnsi="Arial" w:cs="Arial"/>
          <w:b/>
          <w:bCs/>
          <w:noProof/>
          <w:sz w:val="24"/>
          <w:szCs w:val="24"/>
          <w:vertAlign w:val="subscript"/>
        </w:rPr>
        <w:t xml:space="preserve">+ </w:t>
      </w:r>
      <w:r w:rsidRPr="00B35E07">
        <w:rPr>
          <w:rFonts w:ascii="Arial" w:hAnsi="Arial" w:cs="Arial"/>
          <w:b/>
          <w:bCs/>
          <w:noProof/>
          <w:sz w:val="24"/>
          <w:szCs w:val="24"/>
        </w:rPr>
        <w:t>β</w:t>
      </w:r>
      <w:r w:rsidRPr="00B35E07">
        <w:rPr>
          <w:rFonts w:ascii="Arial" w:hAnsi="Arial" w:cs="Arial"/>
          <w:b/>
          <w:bCs/>
          <w:noProof/>
          <w:sz w:val="24"/>
          <w:szCs w:val="24"/>
          <w:vertAlign w:val="subscript"/>
        </w:rPr>
        <w:t>7</w:t>
      </w:r>
      <w:r w:rsidRPr="00B35E07">
        <w:rPr>
          <w:rFonts w:ascii="Arial" w:hAnsi="Arial" w:cs="Arial"/>
          <w:b/>
          <w:bCs/>
          <w:noProof/>
          <w:sz w:val="24"/>
          <w:szCs w:val="24"/>
        </w:rPr>
        <w:t xml:space="preserve">LLP </w:t>
      </w:r>
      <w:r w:rsidRPr="00B35E07">
        <w:rPr>
          <w:rFonts w:ascii="Arial" w:hAnsi="Arial" w:cs="Arial"/>
          <w:b/>
          <w:bCs/>
          <w:noProof/>
          <w:sz w:val="24"/>
          <w:szCs w:val="24"/>
          <w:vertAlign w:val="subscript"/>
        </w:rPr>
        <w:t>+</w:t>
      </w:r>
      <w:r w:rsidRPr="00B35E07">
        <w:rPr>
          <w:rFonts w:ascii="Arial" w:hAnsi="Arial" w:cs="Arial"/>
          <w:b/>
          <w:bCs/>
          <w:noProof/>
          <w:sz w:val="24"/>
          <w:szCs w:val="24"/>
        </w:rPr>
        <w:t xml:space="preserve"> β</w:t>
      </w:r>
      <w:r w:rsidRPr="00B35E07">
        <w:rPr>
          <w:rFonts w:ascii="Arial" w:hAnsi="Arial" w:cs="Arial"/>
          <w:b/>
          <w:bCs/>
          <w:noProof/>
          <w:sz w:val="24"/>
          <w:szCs w:val="24"/>
          <w:vertAlign w:val="subscript"/>
        </w:rPr>
        <w:t>8</w:t>
      </w:r>
      <w:r w:rsidRPr="00B35E07">
        <w:rPr>
          <w:rFonts w:ascii="Arial" w:hAnsi="Arial" w:cs="Arial"/>
          <w:b/>
          <w:bCs/>
          <w:noProof/>
          <w:sz w:val="24"/>
          <w:szCs w:val="24"/>
        </w:rPr>
        <w:t xml:space="preserve">AB </w:t>
      </w:r>
      <w:r w:rsidRPr="00B35E07">
        <w:rPr>
          <w:rFonts w:ascii="Arial" w:hAnsi="Arial" w:cs="Arial"/>
          <w:b/>
          <w:bCs/>
          <w:noProof/>
          <w:sz w:val="24"/>
          <w:szCs w:val="24"/>
          <w:vertAlign w:val="subscript"/>
        </w:rPr>
        <w:t xml:space="preserve">+ </w:t>
      </w:r>
      <w:r w:rsidRPr="00B35E07">
        <w:rPr>
          <w:rFonts w:ascii="Arial" w:hAnsi="Arial" w:cs="Arial"/>
          <w:b/>
          <w:bCs/>
          <w:noProof/>
          <w:sz w:val="24"/>
          <w:szCs w:val="24"/>
        </w:rPr>
        <w:t>έ</w:t>
      </w:r>
    </w:p>
    <w:p w14:paraId="028EDDE4" w14:textId="77777777" w:rsidR="00726370" w:rsidRPr="00B35E07" w:rsidRDefault="00726370" w:rsidP="00726370">
      <w:pPr>
        <w:spacing w:after="0" w:line="360" w:lineRule="auto"/>
        <w:rPr>
          <w:rFonts w:ascii="Arial" w:hAnsi="Arial" w:cs="Arial"/>
          <w:noProof/>
          <w:sz w:val="24"/>
          <w:szCs w:val="24"/>
        </w:rPr>
      </w:pPr>
    </w:p>
    <w:p w14:paraId="3DE334F1" w14:textId="77777777" w:rsidR="00726370" w:rsidRPr="00B35E07" w:rsidRDefault="00726370" w:rsidP="00726370">
      <w:pPr>
        <w:spacing w:after="0" w:line="360" w:lineRule="auto"/>
        <w:rPr>
          <w:rFonts w:ascii="Arial" w:hAnsi="Arial" w:cs="Arial"/>
          <w:noProof/>
          <w:sz w:val="24"/>
          <w:szCs w:val="24"/>
        </w:rPr>
      </w:pPr>
      <w:r w:rsidRPr="00B35E07">
        <w:rPr>
          <w:rFonts w:ascii="Arial" w:hAnsi="Arial" w:cs="Arial"/>
          <w:noProof/>
          <w:sz w:val="24"/>
          <w:szCs w:val="24"/>
        </w:rPr>
        <w:t xml:space="preserve">Where </w:t>
      </w:r>
      <w:r w:rsidRPr="00B35E07">
        <w:rPr>
          <w:rFonts w:ascii="Arial" w:hAnsi="Arial" w:cs="Arial"/>
          <w:b/>
          <w:bCs/>
          <w:noProof/>
          <w:sz w:val="24"/>
          <w:szCs w:val="24"/>
        </w:rPr>
        <w:t>Y=</w:t>
      </w:r>
      <w:r w:rsidRPr="00B35E07">
        <w:rPr>
          <w:rFonts w:ascii="Arial" w:hAnsi="Arial" w:cs="Arial"/>
          <w:noProof/>
          <w:sz w:val="24"/>
          <w:szCs w:val="24"/>
        </w:rPr>
        <w:t xml:space="preserve"> Efficiency and probability of bank failure of commercial banks measured by DEA</w:t>
      </w:r>
    </w:p>
    <w:p w14:paraId="5072D579" w14:textId="77777777" w:rsidR="00726370" w:rsidRPr="00B35E07" w:rsidRDefault="00726370" w:rsidP="00726370">
      <w:pPr>
        <w:spacing w:after="0" w:line="360" w:lineRule="auto"/>
        <w:ind w:left="720"/>
        <w:rPr>
          <w:rFonts w:ascii="Arial" w:hAnsi="Arial" w:cs="Arial"/>
          <w:noProof/>
          <w:sz w:val="24"/>
          <w:szCs w:val="24"/>
        </w:rPr>
      </w:pPr>
      <w:r w:rsidRPr="00B35E07">
        <w:rPr>
          <w:rFonts w:ascii="Arial" w:hAnsi="Arial" w:cs="Arial"/>
          <w:b/>
          <w:bCs/>
          <w:noProof/>
          <w:sz w:val="24"/>
          <w:szCs w:val="24"/>
        </w:rPr>
        <w:t>AB=</w:t>
      </w:r>
      <w:r w:rsidRPr="00B35E07">
        <w:rPr>
          <w:rFonts w:ascii="Arial" w:hAnsi="Arial" w:cs="Arial"/>
          <w:noProof/>
          <w:sz w:val="24"/>
          <w:szCs w:val="24"/>
        </w:rPr>
        <w:t xml:space="preserve"> Interaction between CIR, CAR, LogN, LoanDeposit ratio, GDP, Inflation and LLP</w:t>
      </w:r>
    </w:p>
    <w:p w14:paraId="60745E38" w14:textId="77777777" w:rsidR="00726370" w:rsidRPr="00B35E07" w:rsidRDefault="00726370" w:rsidP="00726370">
      <w:pPr>
        <w:spacing w:after="0" w:line="360" w:lineRule="auto"/>
        <w:ind w:left="720"/>
        <w:rPr>
          <w:rFonts w:ascii="Arial" w:hAnsi="Arial" w:cs="Arial"/>
          <w:noProof/>
          <w:sz w:val="24"/>
          <w:szCs w:val="24"/>
        </w:rPr>
      </w:pPr>
      <w:r w:rsidRPr="00B35E07">
        <w:rPr>
          <w:rFonts w:ascii="Arial" w:hAnsi="Arial" w:cs="Arial"/>
          <w:b/>
          <w:bCs/>
          <w:noProof/>
          <w:sz w:val="24"/>
          <w:szCs w:val="24"/>
        </w:rPr>
        <w:t>β</w:t>
      </w:r>
      <w:r w:rsidRPr="00B35E07">
        <w:rPr>
          <w:rFonts w:ascii="Arial" w:hAnsi="Arial" w:cs="Arial"/>
          <w:b/>
          <w:bCs/>
          <w:noProof/>
          <w:sz w:val="24"/>
          <w:szCs w:val="24"/>
          <w:vertAlign w:val="subscript"/>
        </w:rPr>
        <w:t>0</w:t>
      </w:r>
      <w:r w:rsidRPr="00B35E07">
        <w:rPr>
          <w:rFonts w:ascii="Arial" w:hAnsi="Arial" w:cs="Arial"/>
          <w:b/>
          <w:bCs/>
          <w:noProof/>
          <w:sz w:val="24"/>
          <w:szCs w:val="24"/>
        </w:rPr>
        <w:t xml:space="preserve">= </w:t>
      </w:r>
      <w:r w:rsidRPr="00B35E07">
        <w:rPr>
          <w:rFonts w:ascii="Arial" w:hAnsi="Arial" w:cs="Arial"/>
          <w:noProof/>
          <w:sz w:val="24"/>
          <w:szCs w:val="24"/>
        </w:rPr>
        <w:t>Constant</w:t>
      </w:r>
    </w:p>
    <w:p w14:paraId="6B4F6D52" w14:textId="77777777" w:rsidR="00726370" w:rsidRPr="00B35E07" w:rsidRDefault="00726370" w:rsidP="00726370">
      <w:pPr>
        <w:spacing w:after="0" w:line="360" w:lineRule="auto"/>
        <w:ind w:left="720"/>
        <w:rPr>
          <w:rFonts w:ascii="Arial" w:hAnsi="Arial" w:cs="Arial"/>
          <w:noProof/>
          <w:sz w:val="24"/>
          <w:szCs w:val="24"/>
        </w:rPr>
      </w:pPr>
      <w:r w:rsidRPr="00B35E07">
        <w:rPr>
          <w:rFonts w:ascii="Arial" w:hAnsi="Arial" w:cs="Arial"/>
          <w:b/>
          <w:bCs/>
          <w:noProof/>
          <w:sz w:val="24"/>
          <w:szCs w:val="24"/>
        </w:rPr>
        <w:t>β</w:t>
      </w:r>
      <w:r w:rsidRPr="00B35E07">
        <w:rPr>
          <w:rFonts w:ascii="Arial" w:hAnsi="Arial" w:cs="Arial"/>
          <w:b/>
          <w:bCs/>
          <w:noProof/>
          <w:sz w:val="24"/>
          <w:szCs w:val="24"/>
          <w:vertAlign w:val="subscript"/>
        </w:rPr>
        <w:t xml:space="preserve">1- </w:t>
      </w:r>
      <w:r w:rsidRPr="00B35E07">
        <w:rPr>
          <w:rFonts w:ascii="Arial" w:hAnsi="Arial" w:cs="Arial"/>
          <w:b/>
          <w:bCs/>
          <w:noProof/>
          <w:sz w:val="24"/>
          <w:szCs w:val="24"/>
        </w:rPr>
        <w:t>β</w:t>
      </w:r>
      <w:r w:rsidRPr="00B35E07">
        <w:rPr>
          <w:rFonts w:ascii="Arial" w:hAnsi="Arial" w:cs="Arial"/>
          <w:b/>
          <w:bCs/>
          <w:noProof/>
          <w:sz w:val="24"/>
          <w:szCs w:val="24"/>
          <w:vertAlign w:val="subscript"/>
        </w:rPr>
        <w:t>7</w:t>
      </w:r>
      <w:r w:rsidRPr="00B35E07">
        <w:rPr>
          <w:rFonts w:ascii="Arial" w:hAnsi="Arial" w:cs="Arial"/>
          <w:b/>
          <w:bCs/>
          <w:noProof/>
          <w:sz w:val="24"/>
          <w:szCs w:val="24"/>
        </w:rPr>
        <w:t xml:space="preserve">= </w:t>
      </w:r>
      <w:r w:rsidRPr="00B35E07">
        <w:rPr>
          <w:rFonts w:ascii="Arial" w:hAnsi="Arial" w:cs="Arial"/>
          <w:noProof/>
          <w:sz w:val="24"/>
          <w:szCs w:val="24"/>
        </w:rPr>
        <w:t>Main effects of the all the independent variables and moderator on Y, bank failure</w:t>
      </w:r>
    </w:p>
    <w:p w14:paraId="6121E0F7" w14:textId="77777777" w:rsidR="00726370" w:rsidRPr="00B35E07" w:rsidRDefault="00726370" w:rsidP="00726370">
      <w:pPr>
        <w:spacing w:after="0" w:line="360" w:lineRule="auto"/>
        <w:ind w:left="720"/>
        <w:rPr>
          <w:rFonts w:ascii="Arial" w:hAnsi="Arial" w:cs="Arial"/>
          <w:noProof/>
          <w:sz w:val="24"/>
          <w:szCs w:val="24"/>
        </w:rPr>
      </w:pPr>
      <w:r w:rsidRPr="00B35E07">
        <w:rPr>
          <w:rFonts w:ascii="Arial" w:hAnsi="Arial" w:cs="Arial"/>
          <w:b/>
          <w:bCs/>
          <w:noProof/>
          <w:sz w:val="24"/>
          <w:szCs w:val="24"/>
        </w:rPr>
        <w:t>β</w:t>
      </w:r>
      <w:r w:rsidRPr="00B35E07">
        <w:rPr>
          <w:rFonts w:ascii="Arial" w:hAnsi="Arial" w:cs="Arial"/>
          <w:b/>
          <w:bCs/>
          <w:noProof/>
          <w:sz w:val="24"/>
          <w:szCs w:val="24"/>
          <w:vertAlign w:val="subscript"/>
        </w:rPr>
        <w:t>8</w:t>
      </w:r>
      <w:r w:rsidRPr="00B35E07">
        <w:rPr>
          <w:rFonts w:ascii="Arial" w:hAnsi="Arial" w:cs="Arial"/>
          <w:noProof/>
          <w:sz w:val="24"/>
          <w:szCs w:val="24"/>
        </w:rPr>
        <w:t>=Moderating effect</w:t>
      </w:r>
    </w:p>
    <w:p w14:paraId="6BC05F6F" w14:textId="77777777" w:rsidR="00726370" w:rsidRPr="00B35E07" w:rsidRDefault="00726370" w:rsidP="00726370">
      <w:pPr>
        <w:spacing w:after="0" w:line="360" w:lineRule="auto"/>
        <w:rPr>
          <w:rFonts w:ascii="Arial" w:hAnsi="Arial" w:cs="Arial"/>
          <w:noProof/>
          <w:sz w:val="24"/>
          <w:szCs w:val="24"/>
        </w:rPr>
      </w:pPr>
    </w:p>
    <w:p w14:paraId="4E1A2141" w14:textId="77777777" w:rsidR="00726370" w:rsidRPr="00B35E07" w:rsidRDefault="00726370" w:rsidP="00726370">
      <w:pPr>
        <w:pStyle w:val="Caption"/>
        <w:rPr>
          <w:rFonts w:ascii="Arial" w:hAnsi="Arial" w:cs="Arial"/>
          <w:noProof/>
        </w:rPr>
      </w:pPr>
      <w:bookmarkStart w:id="114" w:name="_Toc27427422"/>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15</w:t>
      </w:r>
      <w:r w:rsidRPr="00B35E07">
        <w:rPr>
          <w:rFonts w:ascii="Arial" w:hAnsi="Arial" w:cs="Arial"/>
          <w:noProof/>
        </w:rPr>
        <w:fldChar w:fldCharType="end"/>
      </w:r>
      <w:r w:rsidRPr="00B35E07">
        <w:rPr>
          <w:rFonts w:ascii="Arial" w:hAnsi="Arial" w:cs="Arial"/>
          <w:noProof/>
        </w:rPr>
        <w:t>: Results of the moderation Test</w:t>
      </w:r>
      <w:bookmarkEnd w:id="114"/>
    </w:p>
    <w:p w14:paraId="5B7AA53C" w14:textId="77777777" w:rsidR="00726370" w:rsidRPr="00B35E07" w:rsidRDefault="00726370" w:rsidP="00726370">
      <w:pPr>
        <w:spacing w:after="0" w:line="360" w:lineRule="auto"/>
        <w:jc w:val="center"/>
        <w:rPr>
          <w:rFonts w:ascii="Arial" w:hAnsi="Arial" w:cs="Arial"/>
          <w:b/>
          <w:bCs/>
          <w:sz w:val="24"/>
          <w:szCs w:val="24"/>
        </w:rPr>
      </w:pPr>
      <w:r w:rsidRPr="00B35E07">
        <w:rPr>
          <w:rFonts w:ascii="Arial" w:hAnsi="Arial" w:cs="Arial"/>
          <w:b/>
          <w:bCs/>
          <w:noProof/>
          <w:sz w:val="24"/>
          <w:szCs w:val="24"/>
        </w:rPr>
        <w:drawing>
          <wp:inline distT="0" distB="0" distL="0" distR="0" wp14:anchorId="68F442AB" wp14:editId="7DAE815E">
            <wp:extent cx="5871845" cy="107644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 (302).png"/>
                    <pic:cNvPicPr/>
                  </pic:nvPicPr>
                  <pic:blipFill rotWithShape="1">
                    <a:blip r:embed="rId31" cstate="print">
                      <a:extLst>
                        <a:ext uri="{28A0092B-C50C-407E-A947-70E740481C1C}">
                          <a14:useLocalDpi xmlns:a14="http://schemas.microsoft.com/office/drawing/2010/main" val="0"/>
                        </a:ext>
                      </a:extLst>
                    </a:blip>
                    <a:srcRect l="5658" t="50802" r="6217" b="24597"/>
                    <a:stretch/>
                  </pic:blipFill>
                  <pic:spPr bwMode="auto">
                    <a:xfrm>
                      <a:off x="0" y="0"/>
                      <a:ext cx="5985024" cy="1097193"/>
                    </a:xfrm>
                    <a:prstGeom prst="rect">
                      <a:avLst/>
                    </a:prstGeom>
                    <a:ln>
                      <a:noFill/>
                    </a:ln>
                    <a:extLst>
                      <a:ext uri="{53640926-AAD7-44D8-BBD7-CCE9431645EC}">
                        <a14:shadowObscured xmlns:a14="http://schemas.microsoft.com/office/drawing/2010/main"/>
                      </a:ext>
                    </a:extLst>
                  </pic:spPr>
                </pic:pic>
              </a:graphicData>
            </a:graphic>
          </wp:inline>
        </w:drawing>
      </w:r>
    </w:p>
    <w:p w14:paraId="0B21DAD9" w14:textId="77777777" w:rsidR="00726370" w:rsidRPr="00B35E07" w:rsidRDefault="00726370" w:rsidP="00726370">
      <w:pPr>
        <w:spacing w:after="0" w:line="360" w:lineRule="auto"/>
        <w:ind w:firstLine="720"/>
        <w:jc w:val="both"/>
        <w:rPr>
          <w:rFonts w:ascii="Arial" w:hAnsi="Arial" w:cs="Arial"/>
          <w:noProof/>
          <w:sz w:val="24"/>
          <w:szCs w:val="24"/>
        </w:rPr>
      </w:pPr>
      <w:r w:rsidRPr="00B35E07">
        <w:rPr>
          <w:rFonts w:ascii="Arial" w:hAnsi="Arial" w:cs="Arial"/>
          <w:noProof/>
          <w:sz w:val="24"/>
          <w:szCs w:val="24"/>
        </w:rPr>
        <w:t xml:space="preserve">Therefore, the research testifies the interaction between CIR, CAR, LogN, LoanDeposit ratio, GDP, Inflation and LLP; and Hierarchical regression analysis was utilized to test for moderation. Hence, between CIR, CAR, LogN, LoanDeposit ratio, GDP, Inflation and LLP was entered in step one of the hierarchical regression in the table 15 above, followed by the interaction variable entered in step 2. The interaction variable was the product of the standardized variables for CIR, CAR, LogN, LoanDeposit ratio, GDP, Inflation and LLP. </w:t>
      </w:r>
      <w:r w:rsidRPr="00B35E07">
        <w:rPr>
          <w:rFonts w:ascii="Arial" w:hAnsi="Arial" w:cs="Arial"/>
          <w:noProof/>
          <w:sz w:val="24"/>
          <w:szCs w:val="24"/>
        </w:rPr>
        <w:lastRenderedPageBreak/>
        <w:t>Standardization was a necessity to minimise threats of multicollinearity by minizing the size of correlations between CIR, CAR, LogN, LoanDeposit ratio, GDP, Inflation and LLP.</w:t>
      </w:r>
    </w:p>
    <w:p w14:paraId="2CD56776" w14:textId="77777777" w:rsidR="00726370" w:rsidRPr="00B35E07" w:rsidRDefault="00726370" w:rsidP="00726370">
      <w:pPr>
        <w:spacing w:after="0" w:line="360" w:lineRule="auto"/>
        <w:jc w:val="both"/>
        <w:rPr>
          <w:rFonts w:ascii="Arial" w:hAnsi="Arial" w:cs="Arial"/>
          <w:noProof/>
          <w:sz w:val="24"/>
          <w:szCs w:val="24"/>
        </w:rPr>
      </w:pPr>
      <w:r w:rsidRPr="00B35E07">
        <w:rPr>
          <w:rFonts w:ascii="Arial" w:hAnsi="Arial" w:cs="Arial"/>
          <w:noProof/>
          <w:sz w:val="24"/>
          <w:szCs w:val="24"/>
        </w:rPr>
        <w:t>Therefore, the change in R</w:t>
      </w:r>
      <w:r w:rsidRPr="00B35E07">
        <w:rPr>
          <w:rFonts w:ascii="Arial" w:hAnsi="Arial" w:cs="Arial"/>
          <w:noProof/>
          <w:sz w:val="24"/>
          <w:szCs w:val="24"/>
          <w:vertAlign w:val="superscript"/>
        </w:rPr>
        <w:t>2</w:t>
      </w:r>
      <w:r w:rsidRPr="00B35E07">
        <w:rPr>
          <w:rFonts w:ascii="Arial" w:hAnsi="Arial" w:cs="Arial"/>
          <w:noProof/>
          <w:sz w:val="24"/>
          <w:szCs w:val="24"/>
        </w:rPr>
        <w:t xml:space="preserve"> was utilized to assess moderation and a significant R</w:t>
      </w:r>
      <w:r w:rsidRPr="00B35E07">
        <w:rPr>
          <w:rFonts w:ascii="Arial" w:hAnsi="Arial" w:cs="Arial"/>
          <w:noProof/>
          <w:sz w:val="24"/>
          <w:szCs w:val="24"/>
          <w:vertAlign w:val="superscript"/>
        </w:rPr>
        <w:t>2</w:t>
      </w:r>
      <w:r w:rsidRPr="00B35E07">
        <w:rPr>
          <w:rFonts w:ascii="Arial" w:hAnsi="Arial" w:cs="Arial"/>
          <w:noProof/>
          <w:sz w:val="24"/>
          <w:szCs w:val="24"/>
        </w:rPr>
        <w:t xml:space="preserve"> was adjusted to affirm moderation. Table 15 above shows the results that indicate that the R</w:t>
      </w:r>
      <w:r w:rsidRPr="00B35E07">
        <w:rPr>
          <w:rFonts w:ascii="Arial" w:hAnsi="Arial" w:cs="Arial"/>
          <w:noProof/>
          <w:sz w:val="24"/>
          <w:szCs w:val="24"/>
          <w:vertAlign w:val="superscript"/>
        </w:rPr>
        <w:t>2</w:t>
      </w:r>
      <w:r w:rsidRPr="00B35E07">
        <w:rPr>
          <w:rFonts w:ascii="Arial" w:hAnsi="Arial" w:cs="Arial"/>
          <w:noProof/>
          <w:sz w:val="24"/>
          <w:szCs w:val="24"/>
        </w:rPr>
        <w:t xml:space="preserve"> change of 0.078 was significant at the 0.05 level. Hence, the hypothesis that LLP moderates the relationship between the CIR, CAR, LogN, LoanDeposit ratio, GDP, Inflation and bank failure of commercial banks listed on the NSE was therefore not rejected.</w:t>
      </w:r>
    </w:p>
    <w:p w14:paraId="11EEEF4A" w14:textId="77777777" w:rsidR="00726370" w:rsidRPr="00B35E07" w:rsidRDefault="00726370" w:rsidP="00726370">
      <w:pPr>
        <w:pStyle w:val="Caption"/>
        <w:rPr>
          <w:rFonts w:ascii="Arial" w:hAnsi="Arial" w:cs="Arial"/>
        </w:rPr>
      </w:pPr>
      <w:bookmarkStart w:id="115" w:name="_Toc27427423"/>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16</w:t>
      </w:r>
      <w:r w:rsidRPr="00B35E07">
        <w:rPr>
          <w:rFonts w:ascii="Arial" w:hAnsi="Arial" w:cs="Arial"/>
          <w:noProof/>
        </w:rPr>
        <w:fldChar w:fldCharType="end"/>
      </w:r>
      <w:r w:rsidRPr="00B35E07">
        <w:rPr>
          <w:rFonts w:ascii="Arial" w:hAnsi="Arial" w:cs="Arial"/>
          <w:noProof/>
        </w:rPr>
        <w:t xml:space="preserve">: </w:t>
      </w:r>
      <w:r w:rsidRPr="00B35E07">
        <w:rPr>
          <w:rFonts w:ascii="Arial" w:hAnsi="Arial" w:cs="Arial"/>
        </w:rPr>
        <w:t>Results for the moderation Coefficients</w:t>
      </w:r>
      <w:bookmarkEnd w:id="115"/>
    </w:p>
    <w:p w14:paraId="165EA00F" w14:textId="77777777" w:rsidR="00726370" w:rsidRPr="00B35E07" w:rsidRDefault="00726370" w:rsidP="00726370">
      <w:pPr>
        <w:rPr>
          <w:rFonts w:ascii="Arial" w:hAnsi="Arial" w:cs="Arial"/>
        </w:rPr>
      </w:pPr>
      <w:r w:rsidRPr="00B35E07">
        <w:rPr>
          <w:rFonts w:ascii="Arial" w:hAnsi="Arial" w:cs="Arial"/>
          <w:noProof/>
        </w:rPr>
        <w:drawing>
          <wp:inline distT="0" distB="0" distL="0" distR="0" wp14:anchorId="2AA5FEE4" wp14:editId="3D304187">
            <wp:extent cx="5730875" cy="1402080"/>
            <wp:effectExtent l="0" t="0" r="317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0875" cy="1402080"/>
                    </a:xfrm>
                    <a:prstGeom prst="rect">
                      <a:avLst/>
                    </a:prstGeom>
                    <a:noFill/>
                  </pic:spPr>
                </pic:pic>
              </a:graphicData>
            </a:graphic>
          </wp:inline>
        </w:drawing>
      </w:r>
    </w:p>
    <w:p w14:paraId="472F1F70"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 xml:space="preserve">The fact that the moderation effect was sustained and supported, the moderation analysis of LLP on the relationship between </w:t>
      </w:r>
      <w:r w:rsidRPr="00B35E07">
        <w:rPr>
          <w:rFonts w:ascii="Arial" w:hAnsi="Arial" w:cs="Arial"/>
          <w:noProof/>
          <w:sz w:val="24"/>
          <w:szCs w:val="24"/>
        </w:rPr>
        <w:t>CIR, CAR, LogN, LoanDeposit ratio, GDP, Inflation and bank failure of the commercial banks was therefore tested and verified. Results elaborated in table 16 above indicates that the interaction between LLP and CIR, CAR, LogN, LoanDeposit ratio, GDP, Inflation was a significant predictor of bank failure of commercial banks( β= 0.0399&lt;0.05).</w:t>
      </w:r>
    </w:p>
    <w:p w14:paraId="75D5EA2B" w14:textId="77777777" w:rsidR="00726370" w:rsidRPr="00B35E07" w:rsidRDefault="00726370" w:rsidP="00726370">
      <w:pPr>
        <w:spacing w:after="0" w:line="360" w:lineRule="auto"/>
        <w:jc w:val="both"/>
        <w:rPr>
          <w:rFonts w:ascii="Arial" w:hAnsi="Arial" w:cs="Arial"/>
          <w:sz w:val="24"/>
          <w:szCs w:val="24"/>
        </w:rPr>
      </w:pPr>
      <w:r w:rsidRPr="00B35E07">
        <w:rPr>
          <w:rFonts w:ascii="Arial" w:hAnsi="Arial" w:cs="Arial"/>
          <w:sz w:val="24"/>
          <w:szCs w:val="24"/>
        </w:rPr>
        <w:t>The moderation model was hence estimated as:</w:t>
      </w:r>
    </w:p>
    <w:p w14:paraId="6F298180" w14:textId="2C26BA09" w:rsidR="00726370" w:rsidRPr="00B35E07" w:rsidRDefault="00726370" w:rsidP="00726370">
      <w:pPr>
        <w:spacing w:after="0" w:line="360" w:lineRule="auto"/>
        <w:rPr>
          <w:rFonts w:ascii="Arial" w:hAnsi="Arial" w:cs="Arial"/>
          <w:b/>
          <w:bCs/>
          <w:sz w:val="24"/>
          <w:szCs w:val="24"/>
        </w:rPr>
      </w:pPr>
      <w:r w:rsidRPr="00B35E07">
        <w:rPr>
          <w:rFonts w:ascii="Arial" w:hAnsi="Arial" w:cs="Arial"/>
          <w:b/>
          <w:bCs/>
          <w:sz w:val="24"/>
          <w:szCs w:val="24"/>
        </w:rPr>
        <w:t>DEA_CRSTE= 284.389- 0.0437CIR-0.0389CAR+0.0286LogN+0.0189LoanDeposit-0.0465GDP+0.0186Inflation+0.0399</w:t>
      </w:r>
      <w:r w:rsidRPr="00B35E07">
        <w:rPr>
          <w:rFonts w:ascii="Arial" w:hAnsi="Arial" w:cs="Arial"/>
          <w:b/>
          <w:bCs/>
          <w:noProof/>
          <w:sz w:val="24"/>
          <w:szCs w:val="24"/>
        </w:rPr>
        <w:t xml:space="preserve"> CIR, CAR, LogN, LoanDeposit ratio, GDP, Inflation*LLP</w:t>
      </w:r>
    </w:p>
    <w:p w14:paraId="265A00C4" w14:textId="77777777" w:rsidR="00726370" w:rsidRPr="00B35E07" w:rsidRDefault="00726370" w:rsidP="00726370">
      <w:pPr>
        <w:pStyle w:val="Heading2"/>
        <w:rPr>
          <w:rFonts w:ascii="Arial" w:hAnsi="Arial" w:cs="Arial"/>
          <w:b/>
          <w:bCs/>
          <w:color w:val="auto"/>
          <w:sz w:val="24"/>
          <w:szCs w:val="24"/>
        </w:rPr>
      </w:pPr>
      <w:bookmarkStart w:id="116" w:name="_Toc27579819"/>
      <w:r w:rsidRPr="00B35E07">
        <w:rPr>
          <w:rFonts w:ascii="Arial" w:hAnsi="Arial" w:cs="Arial"/>
          <w:b/>
          <w:bCs/>
          <w:color w:val="auto"/>
          <w:sz w:val="24"/>
          <w:szCs w:val="24"/>
        </w:rPr>
        <w:t>5.0: Pearson Correlation Analysis</w:t>
      </w:r>
      <w:bookmarkEnd w:id="116"/>
    </w:p>
    <w:p w14:paraId="072019DA" w14:textId="6F8882BB" w:rsidR="00762CFB" w:rsidRPr="00B82F07" w:rsidRDefault="00726370" w:rsidP="00B82F07">
      <w:pPr>
        <w:spacing w:line="360" w:lineRule="auto"/>
        <w:jc w:val="both"/>
        <w:rPr>
          <w:rFonts w:ascii="Arial" w:hAnsi="Arial" w:cs="Arial"/>
          <w:sz w:val="24"/>
          <w:szCs w:val="24"/>
        </w:rPr>
      </w:pPr>
      <w:r w:rsidRPr="00B35E07">
        <w:rPr>
          <w:rFonts w:ascii="Arial" w:hAnsi="Arial" w:cs="Arial"/>
          <w:sz w:val="24"/>
          <w:szCs w:val="24"/>
        </w:rPr>
        <w:t>The Pearson’s correlation coefficients of the studied variables are illustrated as in the table 1.6 below. It is evidenced that the correlation coefficients of the variables indicate that LLP is negatively associated with capital adequacy ratio, bank size, loan deposit ratio and annual GDP growth.</w:t>
      </w:r>
      <w:bookmarkStart w:id="117" w:name="_Toc27427424"/>
    </w:p>
    <w:p w14:paraId="48521D09" w14:textId="596808A2" w:rsidR="00726370" w:rsidRPr="00B35E07" w:rsidRDefault="00726370" w:rsidP="00726370">
      <w:pPr>
        <w:pStyle w:val="Caption"/>
        <w:rPr>
          <w:rFonts w:ascii="Arial" w:hAnsi="Arial" w:cs="Arial"/>
        </w:rPr>
      </w:pPr>
      <w:r w:rsidRPr="00B35E07">
        <w:rPr>
          <w:rFonts w:ascii="Arial" w:hAnsi="Arial" w:cs="Arial"/>
        </w:rPr>
        <w:lastRenderedPageBreak/>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17</w:t>
      </w:r>
      <w:r w:rsidRPr="00B35E07">
        <w:rPr>
          <w:rFonts w:ascii="Arial" w:hAnsi="Arial" w:cs="Arial"/>
          <w:noProof/>
        </w:rPr>
        <w:fldChar w:fldCharType="end"/>
      </w:r>
      <w:r w:rsidRPr="00B35E07">
        <w:rPr>
          <w:rFonts w:ascii="Arial" w:hAnsi="Arial" w:cs="Arial"/>
        </w:rPr>
        <w:t>: Pearson Correlation Analysis</w:t>
      </w:r>
      <w:bookmarkEnd w:id="117"/>
    </w:p>
    <w:p w14:paraId="1130C268" w14:textId="77777777" w:rsidR="00726370" w:rsidRPr="00B35E07" w:rsidRDefault="00726370" w:rsidP="00726370">
      <w:pPr>
        <w:rPr>
          <w:rFonts w:ascii="Arial" w:hAnsi="Arial" w:cs="Arial"/>
        </w:rPr>
      </w:pPr>
      <w:r w:rsidRPr="00B35E07">
        <w:rPr>
          <w:rFonts w:ascii="Arial" w:hAnsi="Arial" w:cs="Arial"/>
          <w:noProof/>
        </w:rPr>
        <w:drawing>
          <wp:inline distT="0" distB="0" distL="0" distR="0" wp14:anchorId="7F4EA391" wp14:editId="06E5F57A">
            <wp:extent cx="5730875" cy="1365885"/>
            <wp:effectExtent l="0" t="0" r="317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0875" cy="1365885"/>
                    </a:xfrm>
                    <a:prstGeom prst="rect">
                      <a:avLst/>
                    </a:prstGeom>
                    <a:noFill/>
                  </pic:spPr>
                </pic:pic>
              </a:graphicData>
            </a:graphic>
          </wp:inline>
        </w:drawing>
      </w:r>
    </w:p>
    <w:p w14:paraId="169EC4FC" w14:textId="77777777" w:rsidR="00726370" w:rsidRPr="00B35E07" w:rsidRDefault="00726370" w:rsidP="00726370">
      <w:pPr>
        <w:spacing w:line="360" w:lineRule="auto"/>
        <w:jc w:val="center"/>
        <w:rPr>
          <w:rFonts w:ascii="Arial" w:hAnsi="Arial" w:cs="Arial"/>
        </w:rPr>
      </w:pPr>
      <w:r w:rsidRPr="00B35E07">
        <w:rPr>
          <w:rFonts w:ascii="Arial" w:hAnsi="Arial" w:cs="Arial"/>
        </w:rPr>
        <w:t xml:space="preserve">   </w:t>
      </w:r>
    </w:p>
    <w:p w14:paraId="63F7A9AC" w14:textId="77777777" w:rsidR="00726370" w:rsidRPr="00B35E07" w:rsidRDefault="00726370" w:rsidP="00726370">
      <w:pPr>
        <w:spacing w:line="360" w:lineRule="auto"/>
        <w:jc w:val="center"/>
        <w:rPr>
          <w:rFonts w:ascii="Arial" w:hAnsi="Arial" w:cs="Arial"/>
          <w:sz w:val="24"/>
          <w:szCs w:val="24"/>
        </w:rPr>
      </w:pPr>
      <w:r w:rsidRPr="00B35E07">
        <w:rPr>
          <w:rFonts w:ascii="Arial" w:hAnsi="Arial" w:cs="Arial"/>
          <w:noProof/>
          <w:sz w:val="24"/>
          <w:szCs w:val="24"/>
        </w:rPr>
        <w:drawing>
          <wp:inline distT="0" distB="0" distL="0" distR="0" wp14:anchorId="3F071047" wp14:editId="0D084E29">
            <wp:extent cx="3399466" cy="21580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3018" cy="2166688"/>
                    </a:xfrm>
                    <a:prstGeom prst="rect">
                      <a:avLst/>
                    </a:prstGeom>
                    <a:noFill/>
                    <a:ln>
                      <a:noFill/>
                    </a:ln>
                  </pic:spPr>
                </pic:pic>
              </a:graphicData>
            </a:graphic>
          </wp:inline>
        </w:drawing>
      </w:r>
    </w:p>
    <w:p w14:paraId="2F35192E" w14:textId="77777777" w:rsidR="00726370" w:rsidRPr="00B35E07" w:rsidRDefault="00726370" w:rsidP="00726370">
      <w:pPr>
        <w:pStyle w:val="Caption"/>
        <w:jc w:val="center"/>
        <w:rPr>
          <w:rFonts w:ascii="Arial" w:hAnsi="Arial" w:cs="Arial"/>
        </w:rPr>
      </w:pPr>
      <w:bookmarkStart w:id="118" w:name="_Toc27427465"/>
      <w:r w:rsidRPr="00B35E07">
        <w:rPr>
          <w:rFonts w:ascii="Arial" w:hAnsi="Arial" w:cs="Arial"/>
        </w:rPr>
        <w:t xml:space="preserve">Figure </w:t>
      </w:r>
      <w:r w:rsidRPr="00B35E07">
        <w:rPr>
          <w:rFonts w:ascii="Arial" w:hAnsi="Arial" w:cs="Arial"/>
        </w:rPr>
        <w:fldChar w:fldCharType="begin"/>
      </w:r>
      <w:r w:rsidRPr="00B35E07">
        <w:rPr>
          <w:rFonts w:ascii="Arial" w:hAnsi="Arial" w:cs="Arial"/>
        </w:rPr>
        <w:instrText xml:space="preserve"> SEQ Figure \* ARABIC </w:instrText>
      </w:r>
      <w:r w:rsidRPr="00B35E07">
        <w:rPr>
          <w:rFonts w:ascii="Arial" w:hAnsi="Arial" w:cs="Arial"/>
        </w:rPr>
        <w:fldChar w:fldCharType="separate"/>
      </w:r>
      <w:r w:rsidRPr="00B35E07">
        <w:rPr>
          <w:rFonts w:ascii="Arial" w:hAnsi="Arial" w:cs="Arial"/>
          <w:noProof/>
        </w:rPr>
        <w:t>7</w:t>
      </w:r>
      <w:r w:rsidRPr="00B35E07">
        <w:rPr>
          <w:rFonts w:ascii="Arial" w:hAnsi="Arial" w:cs="Arial"/>
          <w:noProof/>
        </w:rPr>
        <w:fldChar w:fldCharType="end"/>
      </w:r>
      <w:r w:rsidRPr="00B35E07">
        <w:rPr>
          <w:rFonts w:ascii="Arial" w:hAnsi="Arial" w:cs="Arial"/>
        </w:rPr>
        <w:t>: Pearson Correlation Scatter Plot</w:t>
      </w:r>
      <w:bookmarkEnd w:id="118"/>
    </w:p>
    <w:p w14:paraId="2313D08E"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Table 17 above indicates that the bank LLP tends to move in the opposite direction as with capital adequacy ratio and annual GDP growth. However, cost to income ratio, bank size, loan deposit ratio and annual average inflation are positively associated to LLP. Added, the correlation matrix of the variables illustrated in table 17 above indicates that all correlations coefficients among independent variables are less than 0.50, indicating the absence of multicollinearity as the highest correlation is around 21% between Log N and Annual Average Inflation. Hence, there is no evidence of presence of multicollinearity among independent variables. </w:t>
      </w:r>
    </w:p>
    <w:p w14:paraId="4A349F11"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LLP is found to be positively correlated to Cost to Income ratio, Size of asset, Loan Deposit ratio and Average Inflation. This implies that the higher provisions of the Cost to Income ratio, Size of asset, Loan Deposit ratio and Average Inflation, will contributes to higher provisions of Loan Losses. </w:t>
      </w:r>
    </w:p>
    <w:p w14:paraId="5FC733F4" w14:textId="77777777" w:rsidR="00726370" w:rsidRPr="00B35E07" w:rsidRDefault="00726370" w:rsidP="00726370">
      <w:pPr>
        <w:pStyle w:val="Heading2"/>
        <w:rPr>
          <w:rFonts w:ascii="Arial" w:hAnsi="Arial" w:cs="Arial"/>
          <w:b/>
          <w:bCs/>
          <w:color w:val="auto"/>
          <w:sz w:val="24"/>
          <w:szCs w:val="24"/>
        </w:rPr>
      </w:pPr>
      <w:bookmarkStart w:id="119" w:name="_Toc27579820"/>
      <w:r w:rsidRPr="00B35E07">
        <w:rPr>
          <w:rFonts w:ascii="Arial" w:hAnsi="Arial" w:cs="Arial"/>
          <w:b/>
          <w:bCs/>
          <w:color w:val="auto"/>
          <w:sz w:val="24"/>
          <w:szCs w:val="24"/>
        </w:rPr>
        <w:lastRenderedPageBreak/>
        <w:t>5.1: Discussions on Findings</w:t>
      </w:r>
      <w:bookmarkEnd w:id="119"/>
    </w:p>
    <w:p w14:paraId="7820FD3E"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According to the DEA analysis of this research which has been carried out to evaluate the efficiency and probability of bank failure of commercial banks listed on the NSE, it is seen that majority of the banks that is 6 banks out of 11 banks are performing at an increasing return to scale while 5 banks are performing at a constant return to scale. The analysis illustrated that on average, the total efficiency score and the probability of bank failure of the commercial banks is found to be at 94.1%; the variable return to scale efficiency score of 97.8% and a scale efficiency score of 96.2%. This implies that with the average score of 94.1% of its pure efficiency, 97.8% variable return to scale efficiency and 96.2% of scale efficiency, the commercial banks could improve its efficiency and their probability of bank failure by 5.9%, 2.2% and 3.8% respectively to attain its efficiency at 100% with the same amount or level of its input.</w:t>
      </w:r>
    </w:p>
    <w:p w14:paraId="24A0190E" w14:textId="77777777" w:rsidR="00726370" w:rsidRPr="00B35E07" w:rsidRDefault="00726370" w:rsidP="00726370">
      <w:pPr>
        <w:spacing w:after="0" w:line="360" w:lineRule="auto"/>
        <w:jc w:val="both"/>
        <w:rPr>
          <w:rFonts w:ascii="Arial" w:hAnsi="Arial" w:cs="Arial"/>
          <w:sz w:val="24"/>
          <w:szCs w:val="24"/>
        </w:rPr>
      </w:pPr>
    </w:p>
    <w:p w14:paraId="2CEDE65C"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Based from the multiple regression analysis, analysing the impact of the financial and macro-economic factors of the commercial banks listed on the NSE on the probability of bank failure through LLP, all the independent variables(Cost to Income ratio, Capital Adequacy ratio, GDP, Loan Deposit ratio, bank Size and Inflation had strong relationship on the moderator, Loan Loss Provision. Cost to Income ratio, Capital Adequacy ratio and GDP had a negative coefficient with LLP as expected but only GDP is significant at 95% confidence interval level which Cost to Income ratio and Capital Adequacy ratio are not significant. Loan Deposit ratio, bank Size and Inflation all had positive coefficient with a strong significant relationship at 95% confidence interval level.</w:t>
      </w:r>
    </w:p>
    <w:p w14:paraId="2A71C5CF" w14:textId="49810571" w:rsidR="00762CFB" w:rsidRPr="00B35E07" w:rsidRDefault="00726370" w:rsidP="00762CFB">
      <w:pPr>
        <w:spacing w:after="0" w:line="360" w:lineRule="auto"/>
        <w:ind w:firstLine="720"/>
        <w:jc w:val="both"/>
        <w:rPr>
          <w:rFonts w:ascii="Arial" w:hAnsi="Arial" w:cs="Arial"/>
          <w:noProof/>
          <w:sz w:val="24"/>
          <w:szCs w:val="24"/>
        </w:rPr>
      </w:pPr>
      <w:r w:rsidRPr="00B35E07">
        <w:rPr>
          <w:rFonts w:ascii="Arial" w:hAnsi="Arial" w:cs="Arial"/>
          <w:noProof/>
          <w:sz w:val="24"/>
          <w:szCs w:val="24"/>
        </w:rPr>
        <w:t>Based from the analysis done on the moderating tests and coefficents, the results of the findings in this research concludes that Loan Loss Provision moderates the relationships between the independent variables(CIR, CAR, LogN, LoanDeposit ratio, GDP, Inflation) and bank failure measured by DEA-CRSTE are consistent with the findings. The results implies that when LLP is used as an interaction with the financial and macro-economic factors, the overall influence is different with when LLP and the financial and macro-economic factors are considered as independent stand alone variables.</w:t>
      </w:r>
      <w:bookmarkStart w:id="120" w:name="_Toc27579821"/>
    </w:p>
    <w:p w14:paraId="75BAAA39" w14:textId="77777777" w:rsidR="00762CFB" w:rsidRPr="00B35E07" w:rsidRDefault="00762CFB" w:rsidP="00762CFB">
      <w:pPr>
        <w:spacing w:after="0" w:line="360" w:lineRule="auto"/>
        <w:ind w:firstLine="720"/>
        <w:jc w:val="both"/>
        <w:rPr>
          <w:rFonts w:ascii="Arial" w:hAnsi="Arial" w:cs="Arial"/>
          <w:noProof/>
          <w:sz w:val="24"/>
          <w:szCs w:val="24"/>
        </w:rPr>
      </w:pPr>
    </w:p>
    <w:p w14:paraId="682C6FF0" w14:textId="758C825B" w:rsidR="00726370" w:rsidRPr="00B35E07" w:rsidRDefault="00726370" w:rsidP="00726370">
      <w:pPr>
        <w:pStyle w:val="Heading2"/>
        <w:rPr>
          <w:rFonts w:ascii="Arial" w:hAnsi="Arial" w:cs="Arial"/>
          <w:b/>
          <w:bCs/>
          <w:color w:val="auto"/>
          <w:sz w:val="24"/>
          <w:szCs w:val="24"/>
        </w:rPr>
      </w:pPr>
      <w:r w:rsidRPr="00B35E07">
        <w:rPr>
          <w:rFonts w:ascii="Arial" w:hAnsi="Arial" w:cs="Arial"/>
          <w:b/>
          <w:bCs/>
          <w:color w:val="auto"/>
          <w:sz w:val="24"/>
          <w:szCs w:val="24"/>
        </w:rPr>
        <w:lastRenderedPageBreak/>
        <w:t>5.2: Hypothesis</w:t>
      </w:r>
      <w:bookmarkEnd w:id="120"/>
    </w:p>
    <w:p w14:paraId="0BCF3065" w14:textId="77777777" w:rsidR="00726370" w:rsidRPr="00B35E07" w:rsidRDefault="00726370" w:rsidP="00726370">
      <w:pPr>
        <w:spacing w:after="0" w:line="360" w:lineRule="auto"/>
        <w:ind w:firstLine="720"/>
        <w:jc w:val="both"/>
        <w:rPr>
          <w:rFonts w:ascii="Arial" w:hAnsi="Arial" w:cs="Arial"/>
          <w:sz w:val="24"/>
          <w:szCs w:val="24"/>
        </w:rPr>
      </w:pPr>
      <w:r w:rsidRPr="00B35E07">
        <w:rPr>
          <w:rFonts w:ascii="Arial" w:hAnsi="Arial" w:cs="Arial"/>
          <w:sz w:val="24"/>
          <w:szCs w:val="24"/>
        </w:rPr>
        <w:t>According to multiple regression analysis, the results obtained showed that out of six independent variables; Cost to Income ratio, Capital Adequacy ratio, GDP, Loan Deposit ratio, bank Size and Inflation only four were found to be statistically significant at 5% level of significance GDP, Loan Deposit ratio, bank Size and Inflation and therefore H</w:t>
      </w:r>
      <w:r w:rsidRPr="00B35E07">
        <w:rPr>
          <w:rFonts w:ascii="Arial" w:hAnsi="Arial" w:cs="Arial"/>
          <w:sz w:val="24"/>
          <w:szCs w:val="24"/>
          <w:vertAlign w:val="subscript"/>
        </w:rPr>
        <w:t>4,</w:t>
      </w:r>
      <w:r w:rsidRPr="00B35E07">
        <w:rPr>
          <w:rFonts w:ascii="Arial" w:hAnsi="Arial" w:cs="Arial"/>
          <w:sz w:val="24"/>
          <w:szCs w:val="24"/>
        </w:rPr>
        <w:t>H</w:t>
      </w:r>
      <w:r w:rsidRPr="00B35E07">
        <w:rPr>
          <w:rFonts w:ascii="Arial" w:hAnsi="Arial" w:cs="Arial"/>
          <w:sz w:val="24"/>
          <w:szCs w:val="24"/>
          <w:vertAlign w:val="subscript"/>
        </w:rPr>
        <w:t>5,</w:t>
      </w:r>
      <w:r w:rsidRPr="00B35E07">
        <w:rPr>
          <w:rFonts w:ascii="Arial" w:hAnsi="Arial" w:cs="Arial"/>
          <w:sz w:val="24"/>
          <w:szCs w:val="24"/>
        </w:rPr>
        <w:t>H</w:t>
      </w:r>
      <w:r w:rsidRPr="00B35E07">
        <w:rPr>
          <w:rFonts w:ascii="Arial" w:hAnsi="Arial" w:cs="Arial"/>
          <w:sz w:val="24"/>
          <w:szCs w:val="24"/>
          <w:vertAlign w:val="subscript"/>
        </w:rPr>
        <w:t xml:space="preserve">6 </w:t>
      </w:r>
      <w:r w:rsidRPr="00B35E07">
        <w:rPr>
          <w:rFonts w:ascii="Arial" w:hAnsi="Arial" w:cs="Arial"/>
          <w:sz w:val="24"/>
          <w:szCs w:val="24"/>
        </w:rPr>
        <w:t>and H</w:t>
      </w:r>
      <w:r w:rsidRPr="00B35E07">
        <w:rPr>
          <w:rFonts w:ascii="Arial" w:hAnsi="Arial" w:cs="Arial"/>
          <w:sz w:val="24"/>
          <w:szCs w:val="24"/>
          <w:vertAlign w:val="subscript"/>
        </w:rPr>
        <w:t>7</w:t>
      </w:r>
      <w:r w:rsidRPr="00B35E07">
        <w:rPr>
          <w:rFonts w:ascii="Arial" w:hAnsi="Arial" w:cs="Arial"/>
          <w:sz w:val="24"/>
          <w:szCs w:val="24"/>
        </w:rPr>
        <w:t xml:space="preserve"> are accepted. Based from the hierarchical regression analysis testing moderation between the independent variables and the moderator as well as the combined moderation with bank failure. It was found to be statistically significant and therefore, the interaction between the moderator and bank failure was not rejected, accepting H</w:t>
      </w:r>
      <w:r w:rsidRPr="00B35E07">
        <w:rPr>
          <w:rFonts w:ascii="Arial" w:hAnsi="Arial" w:cs="Arial"/>
          <w:sz w:val="24"/>
          <w:szCs w:val="24"/>
          <w:vertAlign w:val="subscript"/>
        </w:rPr>
        <w:t xml:space="preserve">1 </w:t>
      </w:r>
      <w:r w:rsidRPr="00B35E07">
        <w:rPr>
          <w:rFonts w:ascii="Arial" w:hAnsi="Arial" w:cs="Arial"/>
          <w:sz w:val="24"/>
          <w:szCs w:val="24"/>
        </w:rPr>
        <w:t>that there is a positive and significant relationship between LLP and bank failure.</w:t>
      </w:r>
    </w:p>
    <w:p w14:paraId="26803CE1" w14:textId="77777777" w:rsidR="00726370" w:rsidRPr="00B35E07" w:rsidRDefault="00726370" w:rsidP="00726370">
      <w:pPr>
        <w:pStyle w:val="Caption"/>
        <w:rPr>
          <w:rFonts w:ascii="Arial" w:hAnsi="Arial" w:cs="Arial"/>
        </w:rPr>
      </w:pPr>
      <w:bookmarkStart w:id="121" w:name="_Toc27427425"/>
    </w:p>
    <w:p w14:paraId="20AC4155" w14:textId="77777777" w:rsidR="00726370" w:rsidRPr="00B35E07" w:rsidRDefault="00726370" w:rsidP="00726370">
      <w:pPr>
        <w:pStyle w:val="Caption"/>
        <w:rPr>
          <w:rFonts w:ascii="Arial" w:hAnsi="Arial" w:cs="Arial"/>
        </w:rPr>
      </w:pPr>
      <w:r w:rsidRPr="00B35E07">
        <w:rPr>
          <w:rFonts w:ascii="Arial" w:hAnsi="Arial" w:cs="Arial"/>
        </w:rPr>
        <w:t xml:space="preserve">Table </w:t>
      </w:r>
      <w:r w:rsidRPr="00B35E07">
        <w:rPr>
          <w:rFonts w:ascii="Arial" w:hAnsi="Arial" w:cs="Arial"/>
        </w:rPr>
        <w:fldChar w:fldCharType="begin"/>
      </w:r>
      <w:r w:rsidRPr="00B35E07">
        <w:rPr>
          <w:rFonts w:ascii="Arial" w:hAnsi="Arial" w:cs="Arial"/>
        </w:rPr>
        <w:instrText xml:space="preserve"> SEQ Table \* ARABIC </w:instrText>
      </w:r>
      <w:r w:rsidRPr="00B35E07">
        <w:rPr>
          <w:rFonts w:ascii="Arial" w:hAnsi="Arial" w:cs="Arial"/>
        </w:rPr>
        <w:fldChar w:fldCharType="separate"/>
      </w:r>
      <w:r w:rsidRPr="00B35E07">
        <w:rPr>
          <w:rFonts w:ascii="Arial" w:hAnsi="Arial" w:cs="Arial"/>
          <w:noProof/>
        </w:rPr>
        <w:t>18</w:t>
      </w:r>
      <w:r w:rsidRPr="00B35E07">
        <w:rPr>
          <w:rFonts w:ascii="Arial" w:hAnsi="Arial" w:cs="Arial"/>
          <w:noProof/>
        </w:rPr>
        <w:fldChar w:fldCharType="end"/>
      </w:r>
      <w:r w:rsidRPr="00B35E07">
        <w:rPr>
          <w:rFonts w:ascii="Arial" w:hAnsi="Arial" w:cs="Arial"/>
        </w:rPr>
        <w:t>: Hypothesis Testing results</w:t>
      </w:r>
      <w:bookmarkEnd w:id="121"/>
    </w:p>
    <w:p w14:paraId="0B531932" w14:textId="77777777" w:rsidR="00726370" w:rsidRPr="00B35E07" w:rsidRDefault="00726370" w:rsidP="00726370">
      <w:pPr>
        <w:jc w:val="center"/>
        <w:rPr>
          <w:rFonts w:ascii="Arial" w:hAnsi="Arial" w:cs="Arial"/>
        </w:rPr>
      </w:pPr>
      <w:r w:rsidRPr="00B35E07">
        <w:rPr>
          <w:rFonts w:ascii="Arial" w:hAnsi="Arial" w:cs="Arial"/>
          <w:noProof/>
        </w:rPr>
        <w:drawing>
          <wp:inline distT="0" distB="0" distL="0" distR="0" wp14:anchorId="12AB309F" wp14:editId="4C75004E">
            <wp:extent cx="3670300" cy="315214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70300" cy="3152140"/>
                    </a:xfrm>
                    <a:prstGeom prst="rect">
                      <a:avLst/>
                    </a:prstGeom>
                    <a:noFill/>
                  </pic:spPr>
                </pic:pic>
              </a:graphicData>
            </a:graphic>
          </wp:inline>
        </w:drawing>
      </w:r>
    </w:p>
    <w:p w14:paraId="0DFA594D" w14:textId="77777777" w:rsidR="00726370" w:rsidRPr="00B35E07" w:rsidRDefault="00726370" w:rsidP="00726370">
      <w:pPr>
        <w:spacing w:line="360" w:lineRule="auto"/>
        <w:jc w:val="center"/>
        <w:rPr>
          <w:rFonts w:ascii="Arial" w:hAnsi="Arial" w:cs="Arial"/>
        </w:rPr>
      </w:pPr>
    </w:p>
    <w:p w14:paraId="5840930C" w14:textId="77777777" w:rsidR="00726370" w:rsidRPr="00B35E07" w:rsidRDefault="00726370" w:rsidP="00726370">
      <w:pPr>
        <w:spacing w:line="360" w:lineRule="auto"/>
        <w:rPr>
          <w:rFonts w:ascii="Arial" w:hAnsi="Arial" w:cs="Arial"/>
        </w:rPr>
      </w:pPr>
    </w:p>
    <w:p w14:paraId="4056166A" w14:textId="77777777" w:rsidR="00726370" w:rsidRPr="00B35E07" w:rsidRDefault="00726370" w:rsidP="00726370">
      <w:pPr>
        <w:spacing w:line="360" w:lineRule="auto"/>
        <w:rPr>
          <w:rFonts w:ascii="Arial" w:hAnsi="Arial" w:cs="Arial"/>
        </w:rPr>
      </w:pPr>
    </w:p>
    <w:p w14:paraId="2CDEDE8A" w14:textId="77777777" w:rsidR="00726370" w:rsidRPr="00B35E07" w:rsidRDefault="00726370" w:rsidP="00726370">
      <w:pPr>
        <w:spacing w:line="360" w:lineRule="auto"/>
        <w:rPr>
          <w:rFonts w:ascii="Arial" w:hAnsi="Arial" w:cs="Arial"/>
        </w:rPr>
      </w:pPr>
    </w:p>
    <w:p w14:paraId="7D0C14B8" w14:textId="77777777" w:rsidR="00726370" w:rsidRPr="00B35E07" w:rsidRDefault="00726370" w:rsidP="00726370">
      <w:pPr>
        <w:pStyle w:val="Heading1"/>
        <w:jc w:val="center"/>
        <w:rPr>
          <w:rFonts w:ascii="Arial" w:hAnsi="Arial" w:cs="Arial"/>
          <w:color w:val="auto"/>
          <w:sz w:val="24"/>
          <w:szCs w:val="24"/>
        </w:rPr>
      </w:pPr>
      <w:bookmarkStart w:id="122" w:name="_Toc27579822"/>
      <w:r w:rsidRPr="00B35E07">
        <w:rPr>
          <w:rFonts w:ascii="Arial" w:hAnsi="Arial" w:cs="Arial"/>
          <w:color w:val="auto"/>
          <w:sz w:val="24"/>
          <w:szCs w:val="24"/>
        </w:rPr>
        <w:lastRenderedPageBreak/>
        <w:t>CHAPTER 5: Conclusion and Recommendations</w:t>
      </w:r>
      <w:bookmarkEnd w:id="122"/>
    </w:p>
    <w:p w14:paraId="5383C6B6" w14:textId="77777777" w:rsidR="00726370" w:rsidRPr="00B35E07" w:rsidRDefault="00726370" w:rsidP="00726370">
      <w:pPr>
        <w:pStyle w:val="Heading2"/>
        <w:rPr>
          <w:rFonts w:ascii="Arial" w:hAnsi="Arial" w:cs="Arial"/>
          <w:b/>
          <w:bCs/>
          <w:color w:val="auto"/>
          <w:sz w:val="24"/>
          <w:szCs w:val="24"/>
        </w:rPr>
      </w:pPr>
      <w:bookmarkStart w:id="123" w:name="_Toc27579823"/>
      <w:r w:rsidRPr="00B35E07">
        <w:rPr>
          <w:rFonts w:ascii="Arial" w:hAnsi="Arial" w:cs="Arial"/>
          <w:b/>
          <w:bCs/>
          <w:color w:val="auto"/>
          <w:sz w:val="24"/>
          <w:szCs w:val="24"/>
        </w:rPr>
        <w:t>5.0: Introduction</w:t>
      </w:r>
      <w:bookmarkEnd w:id="123"/>
    </w:p>
    <w:p w14:paraId="016B154E"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Following chapter five explains the findings of the study together with the analysis obtained in the previous chapter. Added, will be the limitation of the research, recommendations for further research and personal reflection will be concluded towards the end of the chapter.</w:t>
      </w:r>
    </w:p>
    <w:p w14:paraId="041CF501" w14:textId="77777777" w:rsidR="00726370" w:rsidRPr="00B35E07" w:rsidRDefault="00726370" w:rsidP="00726370">
      <w:pPr>
        <w:pStyle w:val="Heading2"/>
        <w:rPr>
          <w:rFonts w:ascii="Arial" w:hAnsi="Arial" w:cs="Arial"/>
          <w:b/>
          <w:bCs/>
          <w:color w:val="auto"/>
          <w:sz w:val="24"/>
          <w:szCs w:val="24"/>
        </w:rPr>
      </w:pPr>
      <w:bookmarkStart w:id="124" w:name="_Toc27579824"/>
      <w:r w:rsidRPr="00B35E07">
        <w:rPr>
          <w:rFonts w:ascii="Arial" w:hAnsi="Arial" w:cs="Arial"/>
          <w:b/>
          <w:bCs/>
          <w:color w:val="auto"/>
          <w:sz w:val="24"/>
          <w:szCs w:val="24"/>
        </w:rPr>
        <w:t>5.1: Summary of Findings</w:t>
      </w:r>
      <w:bookmarkEnd w:id="124"/>
      <w:r w:rsidRPr="00B35E07">
        <w:rPr>
          <w:rFonts w:ascii="Arial" w:hAnsi="Arial" w:cs="Arial"/>
          <w:b/>
          <w:bCs/>
          <w:color w:val="auto"/>
          <w:sz w:val="24"/>
          <w:szCs w:val="24"/>
        </w:rPr>
        <w:t xml:space="preserve"> </w:t>
      </w:r>
    </w:p>
    <w:p w14:paraId="65EFEC85"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The objective of this study is to investigate the financial and macro-economic factors on bank failure of commercial banks listed on the NSE with moderating effect of LLP in Kenya. Based on this study, four research objectives and research questions were obtained and seven hypotheses were tested and verified. Following elaborates the discussions on findings and literature that supports the hypothesis.</w:t>
      </w:r>
    </w:p>
    <w:p w14:paraId="4051A8C1" w14:textId="77777777" w:rsidR="00726370" w:rsidRPr="00B35E07" w:rsidRDefault="00726370" w:rsidP="00726370">
      <w:pPr>
        <w:pStyle w:val="Heading2"/>
        <w:rPr>
          <w:rFonts w:ascii="Arial" w:hAnsi="Arial" w:cs="Arial"/>
          <w:b/>
          <w:bCs/>
          <w:color w:val="auto"/>
          <w:sz w:val="24"/>
          <w:szCs w:val="24"/>
        </w:rPr>
      </w:pPr>
      <w:bookmarkStart w:id="125" w:name="_Toc27579825"/>
      <w:r w:rsidRPr="00B35E07">
        <w:rPr>
          <w:rFonts w:ascii="Arial" w:hAnsi="Arial" w:cs="Arial"/>
          <w:b/>
          <w:bCs/>
          <w:color w:val="auto"/>
          <w:sz w:val="24"/>
          <w:szCs w:val="24"/>
        </w:rPr>
        <w:t>Hypothesis 1</w:t>
      </w:r>
      <w:bookmarkEnd w:id="125"/>
    </w:p>
    <w:p w14:paraId="17C3C710" w14:textId="77777777" w:rsidR="00726370" w:rsidRPr="00B35E07" w:rsidRDefault="00726370" w:rsidP="00726370">
      <w:pPr>
        <w:spacing w:line="360" w:lineRule="auto"/>
        <w:jc w:val="both"/>
        <w:rPr>
          <w:rFonts w:ascii="Arial" w:hAnsi="Arial" w:cs="Arial"/>
          <w:b/>
          <w:bCs/>
          <w:sz w:val="24"/>
          <w:szCs w:val="24"/>
        </w:rPr>
      </w:pPr>
      <w:r w:rsidRPr="00B35E07">
        <w:rPr>
          <w:rFonts w:ascii="Arial" w:hAnsi="Arial" w:cs="Arial"/>
          <w:b/>
          <w:bCs/>
          <w:sz w:val="24"/>
          <w:szCs w:val="24"/>
        </w:rPr>
        <w:t>Impact of LLP on the probability of bank failure of commercial banks listed on the NSE</w:t>
      </w:r>
    </w:p>
    <w:p w14:paraId="4CB86736"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The outcome of this study shows that there is a positive and significant relationship between LLP and bank failure. According to a research done by Roychowdhury, (2014) in his study, he evidenced and showed that during 2008-2010, bank failure risk was associated negatively with Tier 1 capital and moreover, it was highly connected with risk of failure when banks report unusually huge increase in loan loss provision. Added, as more provisions of loan losses are created this signals that the level of riskiness of bank failure will rise due to the fact that LLP results in rapid growth in expenses that is the interest expense and LLP compared to income growth therefore impacting the performance of banks (Gathaiya, 2017). </w:t>
      </w:r>
    </w:p>
    <w:p w14:paraId="595C5782" w14:textId="77777777" w:rsidR="00726370" w:rsidRPr="00B35E07" w:rsidRDefault="00726370" w:rsidP="00726370">
      <w:pPr>
        <w:pStyle w:val="Heading2"/>
        <w:rPr>
          <w:rFonts w:ascii="Arial" w:hAnsi="Arial" w:cs="Arial"/>
          <w:b/>
          <w:bCs/>
          <w:color w:val="auto"/>
          <w:sz w:val="24"/>
          <w:szCs w:val="24"/>
        </w:rPr>
      </w:pPr>
      <w:bookmarkStart w:id="126" w:name="_Toc27579826"/>
      <w:r w:rsidRPr="00B35E07">
        <w:rPr>
          <w:rFonts w:ascii="Arial" w:hAnsi="Arial" w:cs="Arial"/>
          <w:b/>
          <w:bCs/>
          <w:color w:val="auto"/>
          <w:sz w:val="24"/>
          <w:szCs w:val="24"/>
        </w:rPr>
        <w:t>Hypothesis 2</w:t>
      </w:r>
      <w:bookmarkEnd w:id="126"/>
    </w:p>
    <w:p w14:paraId="46960EB6" w14:textId="77777777" w:rsidR="00726370" w:rsidRPr="00B35E07" w:rsidRDefault="00726370" w:rsidP="00726370">
      <w:pPr>
        <w:spacing w:line="360" w:lineRule="auto"/>
        <w:jc w:val="both"/>
        <w:rPr>
          <w:rFonts w:ascii="Arial" w:hAnsi="Arial" w:cs="Arial"/>
          <w:b/>
          <w:bCs/>
          <w:sz w:val="24"/>
          <w:szCs w:val="24"/>
        </w:rPr>
      </w:pPr>
      <w:r w:rsidRPr="00B35E07">
        <w:rPr>
          <w:rFonts w:ascii="Arial" w:hAnsi="Arial" w:cs="Arial"/>
          <w:b/>
          <w:bCs/>
          <w:sz w:val="24"/>
          <w:szCs w:val="24"/>
        </w:rPr>
        <w:t>Impact of earnings on LLP of commercial banks listed on the NSE</w:t>
      </w:r>
    </w:p>
    <w:p w14:paraId="13F8C481" w14:textId="630C3A5D" w:rsidR="00726370" w:rsidRPr="00B82F07" w:rsidRDefault="00726370" w:rsidP="00B82F07">
      <w:pPr>
        <w:spacing w:line="360" w:lineRule="auto"/>
        <w:ind w:firstLine="720"/>
        <w:jc w:val="both"/>
        <w:rPr>
          <w:rFonts w:ascii="Arial" w:hAnsi="Arial" w:cs="Arial"/>
          <w:sz w:val="24"/>
          <w:szCs w:val="24"/>
        </w:rPr>
      </w:pPr>
      <w:r w:rsidRPr="00B35E07">
        <w:rPr>
          <w:rFonts w:ascii="Arial" w:hAnsi="Arial" w:cs="Arial"/>
          <w:sz w:val="24"/>
          <w:szCs w:val="24"/>
        </w:rPr>
        <w:t xml:space="preserve">The outcome of this study shows that there is a negative and insignificant relationship between earnings and LLP, as earnings was measured using Cost to Income ratio. According to a research done by Dhakal (2015) in his study on Nepalese commercial banks, he found to exist a significant and negative </w:t>
      </w:r>
      <w:r w:rsidRPr="00B35E07">
        <w:rPr>
          <w:rFonts w:ascii="Arial" w:hAnsi="Arial" w:cs="Arial"/>
          <w:sz w:val="24"/>
          <w:szCs w:val="24"/>
        </w:rPr>
        <w:lastRenderedPageBreak/>
        <w:t>relationship between earnings and loan loss provisions. Bhattarai, (2018) in his research, he examined impact of earnings management on loan loss provisions of commercials banks in Australia, he found that the banks manage their earnings aggressively using loan loss provisions to overcome the riskiness of bank failure.</w:t>
      </w:r>
    </w:p>
    <w:p w14:paraId="499756DD" w14:textId="77777777" w:rsidR="00726370" w:rsidRPr="00B35E07" w:rsidRDefault="00726370" w:rsidP="00726370">
      <w:pPr>
        <w:pStyle w:val="Heading2"/>
        <w:rPr>
          <w:rFonts w:ascii="Arial" w:hAnsi="Arial" w:cs="Arial"/>
          <w:b/>
          <w:bCs/>
          <w:color w:val="auto"/>
          <w:sz w:val="24"/>
          <w:szCs w:val="24"/>
        </w:rPr>
      </w:pPr>
      <w:bookmarkStart w:id="127" w:name="_Toc27579827"/>
      <w:r w:rsidRPr="00B35E07">
        <w:rPr>
          <w:rFonts w:ascii="Arial" w:hAnsi="Arial" w:cs="Arial"/>
          <w:b/>
          <w:bCs/>
          <w:color w:val="auto"/>
          <w:sz w:val="24"/>
          <w:szCs w:val="24"/>
        </w:rPr>
        <w:t>Hypothesis 3</w:t>
      </w:r>
      <w:bookmarkEnd w:id="127"/>
    </w:p>
    <w:p w14:paraId="4DEC397F" w14:textId="77777777" w:rsidR="00726370" w:rsidRPr="00B35E07" w:rsidRDefault="00726370" w:rsidP="00726370">
      <w:pPr>
        <w:spacing w:line="360" w:lineRule="auto"/>
        <w:jc w:val="both"/>
        <w:rPr>
          <w:rFonts w:ascii="Arial" w:hAnsi="Arial" w:cs="Arial"/>
          <w:b/>
          <w:bCs/>
          <w:sz w:val="24"/>
          <w:szCs w:val="24"/>
        </w:rPr>
      </w:pPr>
      <w:r w:rsidRPr="00B35E07">
        <w:rPr>
          <w:rFonts w:ascii="Arial" w:hAnsi="Arial" w:cs="Arial"/>
          <w:b/>
          <w:bCs/>
          <w:sz w:val="24"/>
          <w:szCs w:val="24"/>
        </w:rPr>
        <w:t>Impact of capital management on LLP of commercial banks listed on the NSE</w:t>
      </w:r>
    </w:p>
    <w:p w14:paraId="7A669579"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The outcome of this study shows that there is a negative and insignificant relationship between capital management as measured using Capital Adequacy ratio and LLP. Research conducted by El Sood, (2012) elaborated that LLP are affected significantly by capital management behaviours and that the condition might be as a result of the strong willingness to meet the regulatory minimum target, therefore, he put emphasize on the association between LLP and regulatory capital. According to Boudriga </w:t>
      </w:r>
      <w:r w:rsidRPr="00B35E07">
        <w:rPr>
          <w:rFonts w:ascii="Arial" w:hAnsi="Arial" w:cs="Arial"/>
          <w:i/>
          <w:iCs/>
          <w:sz w:val="24"/>
          <w:szCs w:val="24"/>
        </w:rPr>
        <w:t>et al</w:t>
      </w:r>
      <w:r w:rsidRPr="00B35E07">
        <w:rPr>
          <w:rFonts w:ascii="Arial" w:hAnsi="Arial" w:cs="Arial"/>
          <w:sz w:val="24"/>
          <w:szCs w:val="24"/>
        </w:rPr>
        <w:t xml:space="preserve">., (2013) they support the hypothesis that capital management impact loan loss provision negatively and insignificant as well, as they discovered that higher capital adequacy ratios can lower unusual and insignificant levels of loan loss provision. Added, the banks readiness to distribute some amounts as loan loss provisions results into the confidence of the future bank’s performance due to the fact that it acts as a controlling indicator over anticipated loan losses (Abdullah </w:t>
      </w:r>
      <w:r w:rsidRPr="00B35E07">
        <w:rPr>
          <w:rFonts w:ascii="Arial" w:hAnsi="Arial" w:cs="Arial"/>
          <w:i/>
          <w:iCs/>
          <w:sz w:val="24"/>
          <w:szCs w:val="24"/>
        </w:rPr>
        <w:t>et al</w:t>
      </w:r>
      <w:r w:rsidRPr="00B35E07">
        <w:rPr>
          <w:rFonts w:ascii="Arial" w:hAnsi="Arial" w:cs="Arial"/>
          <w:sz w:val="24"/>
          <w:szCs w:val="24"/>
        </w:rPr>
        <w:t>., 2015).</w:t>
      </w:r>
    </w:p>
    <w:p w14:paraId="4C814914" w14:textId="77777777" w:rsidR="00726370" w:rsidRPr="00B35E07" w:rsidRDefault="00726370" w:rsidP="00726370">
      <w:pPr>
        <w:pStyle w:val="Heading2"/>
        <w:rPr>
          <w:rFonts w:ascii="Arial" w:hAnsi="Arial" w:cs="Arial"/>
          <w:b/>
          <w:bCs/>
          <w:color w:val="auto"/>
          <w:sz w:val="24"/>
          <w:szCs w:val="24"/>
        </w:rPr>
      </w:pPr>
      <w:bookmarkStart w:id="128" w:name="_Toc27579828"/>
      <w:r w:rsidRPr="00B35E07">
        <w:rPr>
          <w:rFonts w:ascii="Arial" w:hAnsi="Arial" w:cs="Arial"/>
          <w:b/>
          <w:bCs/>
          <w:color w:val="auto"/>
          <w:sz w:val="24"/>
          <w:szCs w:val="24"/>
        </w:rPr>
        <w:t>Hypothesis 4</w:t>
      </w:r>
      <w:bookmarkEnd w:id="128"/>
    </w:p>
    <w:p w14:paraId="16DD6381" w14:textId="77777777" w:rsidR="00726370" w:rsidRPr="00B35E07" w:rsidRDefault="00726370" w:rsidP="00726370">
      <w:pPr>
        <w:spacing w:line="360" w:lineRule="auto"/>
        <w:jc w:val="both"/>
        <w:rPr>
          <w:rFonts w:ascii="Arial" w:hAnsi="Arial" w:cs="Arial"/>
          <w:b/>
          <w:bCs/>
          <w:sz w:val="24"/>
          <w:szCs w:val="24"/>
        </w:rPr>
      </w:pPr>
      <w:r w:rsidRPr="00B35E07">
        <w:rPr>
          <w:rFonts w:ascii="Arial" w:hAnsi="Arial" w:cs="Arial"/>
          <w:b/>
          <w:bCs/>
          <w:sz w:val="24"/>
          <w:szCs w:val="24"/>
        </w:rPr>
        <w:t>Impact of bank size on LLP of commercial banks listed on the NSE</w:t>
      </w:r>
    </w:p>
    <w:p w14:paraId="4A92F8B8" w14:textId="6727FA7E" w:rsidR="00762CFB" w:rsidRPr="00B82F07" w:rsidRDefault="00726370" w:rsidP="00B82F07">
      <w:pPr>
        <w:spacing w:line="360" w:lineRule="auto"/>
        <w:ind w:firstLine="720"/>
        <w:jc w:val="both"/>
        <w:rPr>
          <w:rFonts w:ascii="Arial" w:hAnsi="Arial" w:cs="Arial"/>
          <w:sz w:val="24"/>
          <w:szCs w:val="24"/>
        </w:rPr>
      </w:pPr>
      <w:r w:rsidRPr="00B35E07">
        <w:rPr>
          <w:rFonts w:ascii="Arial" w:hAnsi="Arial" w:cs="Arial"/>
          <w:sz w:val="24"/>
          <w:szCs w:val="24"/>
        </w:rPr>
        <w:t>The outcome of this study shows that there is a positive and significant relationship between bank size, measured using Log N and LLP. Research conducted by Dhakal (2015) found to exist a positive and significant relationship between the bank size and loan loss provision and Natural logarithm was used as a proxy for bank size as well. According to research study conducted by Fernando and Ekanayake, (2015), he justified to exist a significant and positive relationship between LLP and bank size. Larger banks are most likely to engage in discretionary accruals because they undergo more pressure than small banks, therefore, they tend to utilize earnings management to minimise political scrutiny (Agénor and Zilberman, 2015)</w:t>
      </w:r>
      <w:bookmarkStart w:id="129" w:name="_Toc27579829"/>
    </w:p>
    <w:p w14:paraId="0EBCE65D" w14:textId="77777777" w:rsidR="00762CFB" w:rsidRPr="00B35E07" w:rsidRDefault="00762CFB" w:rsidP="00762CFB">
      <w:pPr>
        <w:rPr>
          <w:rFonts w:ascii="Arial" w:hAnsi="Arial" w:cs="Arial"/>
        </w:rPr>
      </w:pPr>
    </w:p>
    <w:p w14:paraId="79102733" w14:textId="459D9CBE" w:rsidR="00726370" w:rsidRPr="00B35E07" w:rsidRDefault="00726370" w:rsidP="00726370">
      <w:pPr>
        <w:pStyle w:val="Heading2"/>
        <w:rPr>
          <w:rFonts w:ascii="Arial" w:hAnsi="Arial" w:cs="Arial"/>
          <w:b/>
          <w:bCs/>
          <w:color w:val="auto"/>
          <w:sz w:val="24"/>
          <w:szCs w:val="24"/>
        </w:rPr>
      </w:pPr>
      <w:r w:rsidRPr="00B35E07">
        <w:rPr>
          <w:rFonts w:ascii="Arial" w:hAnsi="Arial" w:cs="Arial"/>
          <w:b/>
          <w:bCs/>
          <w:color w:val="auto"/>
          <w:sz w:val="24"/>
          <w:szCs w:val="24"/>
        </w:rPr>
        <w:t>Hypothesis 5</w:t>
      </w:r>
      <w:bookmarkEnd w:id="129"/>
    </w:p>
    <w:p w14:paraId="7BBCB8B9" w14:textId="77777777" w:rsidR="00726370" w:rsidRPr="00B35E07" w:rsidRDefault="00726370" w:rsidP="00726370">
      <w:pPr>
        <w:spacing w:line="360" w:lineRule="auto"/>
        <w:jc w:val="both"/>
        <w:rPr>
          <w:rFonts w:ascii="Arial" w:hAnsi="Arial" w:cs="Arial"/>
          <w:b/>
          <w:bCs/>
          <w:sz w:val="24"/>
          <w:szCs w:val="24"/>
        </w:rPr>
      </w:pPr>
      <w:r w:rsidRPr="00B35E07">
        <w:rPr>
          <w:rFonts w:ascii="Arial" w:hAnsi="Arial" w:cs="Arial"/>
          <w:b/>
          <w:bCs/>
          <w:sz w:val="24"/>
          <w:szCs w:val="24"/>
        </w:rPr>
        <w:t>Impact of Loan to Deposit ratio on LLP of commercial banks listed on the NSE</w:t>
      </w:r>
    </w:p>
    <w:p w14:paraId="12079250"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The outcome of this study shows that there is a positive and significant relationship between loan to deposit ratio and LLP. Loan to Deposit ratio is positively related to LLP at 5% level of significance. LD ratio is utilized as a measure of the urge for external finance as commercial banks finance their loans portfolio using the deposits from customers. The result is supported with the study of Abdullah, Ahmad, Bujang, (2015) such that there is a bigger need that the external finance would motivate bankers to increase their earnings. This is due to the financing cost is a function of bank risks. Bank managers have more incentive to raise their LLP so as to increase their earnings and decrease volatility to attract more funds. Shawtari </w:t>
      </w:r>
      <w:r w:rsidRPr="00B35E07">
        <w:rPr>
          <w:rFonts w:ascii="Arial" w:hAnsi="Arial" w:cs="Arial"/>
          <w:i/>
          <w:iCs/>
          <w:sz w:val="24"/>
          <w:szCs w:val="24"/>
        </w:rPr>
        <w:t>et al</w:t>
      </w:r>
      <w:r w:rsidRPr="00B35E07">
        <w:rPr>
          <w:rFonts w:ascii="Arial" w:hAnsi="Arial" w:cs="Arial"/>
          <w:sz w:val="24"/>
          <w:szCs w:val="24"/>
        </w:rPr>
        <w:t>., (2015) implies in their research done in Yemen, that their banks manage their earnings so as to attracts more deposits as Yemeni banks are hesitant to deposit their money in banks. Hence, managing their earnings is one way to attract customers so as to elaborate good performance indicating stable returns to customers.</w:t>
      </w:r>
    </w:p>
    <w:p w14:paraId="4784B957" w14:textId="77777777" w:rsidR="00726370" w:rsidRPr="00B35E07" w:rsidRDefault="00726370" w:rsidP="00726370">
      <w:pPr>
        <w:pStyle w:val="Heading2"/>
        <w:rPr>
          <w:rFonts w:ascii="Arial" w:hAnsi="Arial" w:cs="Arial"/>
          <w:b/>
          <w:bCs/>
          <w:color w:val="auto"/>
          <w:sz w:val="24"/>
          <w:szCs w:val="24"/>
        </w:rPr>
      </w:pPr>
      <w:bookmarkStart w:id="130" w:name="_Toc27579830"/>
      <w:r w:rsidRPr="00B35E07">
        <w:rPr>
          <w:rFonts w:ascii="Arial" w:hAnsi="Arial" w:cs="Arial"/>
          <w:b/>
          <w:bCs/>
          <w:color w:val="auto"/>
          <w:sz w:val="24"/>
          <w:szCs w:val="24"/>
        </w:rPr>
        <w:t>Hypothesis 6</w:t>
      </w:r>
      <w:bookmarkEnd w:id="130"/>
    </w:p>
    <w:p w14:paraId="49C713E0" w14:textId="77777777" w:rsidR="00726370" w:rsidRPr="00B35E07" w:rsidRDefault="00726370" w:rsidP="00726370">
      <w:pPr>
        <w:spacing w:line="360" w:lineRule="auto"/>
        <w:rPr>
          <w:rFonts w:ascii="Arial" w:hAnsi="Arial" w:cs="Arial"/>
          <w:b/>
          <w:bCs/>
          <w:sz w:val="24"/>
          <w:szCs w:val="24"/>
        </w:rPr>
      </w:pPr>
      <w:r w:rsidRPr="00B35E07">
        <w:rPr>
          <w:rFonts w:ascii="Arial" w:hAnsi="Arial" w:cs="Arial"/>
          <w:b/>
          <w:bCs/>
          <w:sz w:val="24"/>
          <w:szCs w:val="24"/>
        </w:rPr>
        <w:t>Impact of GDP on LLP of commercial banks listed on the NSE</w:t>
      </w:r>
    </w:p>
    <w:p w14:paraId="755246F9" w14:textId="77777777" w:rsidR="00726370" w:rsidRPr="00B35E07" w:rsidRDefault="00726370" w:rsidP="00726370">
      <w:pPr>
        <w:spacing w:line="360" w:lineRule="auto"/>
        <w:ind w:firstLine="720"/>
        <w:jc w:val="both"/>
        <w:rPr>
          <w:rFonts w:ascii="Arial" w:hAnsi="Arial" w:cs="Arial"/>
          <w:color w:val="000000"/>
          <w:sz w:val="20"/>
          <w:szCs w:val="20"/>
          <w:shd w:val="clear" w:color="auto" w:fill="FFFFFF"/>
        </w:rPr>
      </w:pPr>
      <w:r w:rsidRPr="00B35E07">
        <w:rPr>
          <w:rFonts w:ascii="Arial" w:hAnsi="Arial" w:cs="Arial"/>
          <w:sz w:val="24"/>
          <w:szCs w:val="24"/>
        </w:rPr>
        <w:t xml:space="preserve">The outcome of this study shows that there is a negative and significant relationship between GDP and LLP. GDP being an indicator of the economic conditions, it is in line with prior hypothesis. This is supported with the research findings by Bhattarai, (2018) who exhibited that in times of economic upswings or boom, LLP was found to be lower than during economic difficulties. Such that LLP would rise when the economic growth is weak; the reason behind is that the business cycles affects the firm’s ability and other lenders to service their debts which therefore influences the exposure of credit risk of banks. A decrease in GDP growth would imply a rise in actual as well as expected losses in credit which necessitates a rise in LLP. Hence managers tend to lower their LLP during good times and raise during bad times of the economy. Research conducted by Abdullah </w:t>
      </w:r>
      <w:r w:rsidRPr="00B35E07">
        <w:rPr>
          <w:rFonts w:ascii="Arial" w:hAnsi="Arial" w:cs="Arial"/>
          <w:i/>
          <w:iCs/>
          <w:sz w:val="24"/>
          <w:szCs w:val="24"/>
        </w:rPr>
        <w:t>et al</w:t>
      </w:r>
      <w:r w:rsidRPr="00B35E07">
        <w:rPr>
          <w:rFonts w:ascii="Arial" w:hAnsi="Arial" w:cs="Arial"/>
          <w:sz w:val="24"/>
          <w:szCs w:val="24"/>
        </w:rPr>
        <w:t xml:space="preserve">., (2015) showed that GDP has a negative significant impact on LLP </w:t>
      </w:r>
      <w:r w:rsidRPr="00B35E07">
        <w:rPr>
          <w:rFonts w:ascii="Arial" w:hAnsi="Arial" w:cs="Arial"/>
          <w:sz w:val="24"/>
          <w:szCs w:val="24"/>
        </w:rPr>
        <w:lastRenderedPageBreak/>
        <w:t>based on the study done in Malaysia, it was found that a negative development in the productions of outputs resulted in higher contribution of LLP to encounter the losses expected from loan portfolios. The study by Ozurumba, (2016) showed that a negative relationship between GDP and LLP elaborates that the lesser the provisions during high GDP growth, it is an indication of a procyclical behaviour of the banks.</w:t>
      </w:r>
    </w:p>
    <w:p w14:paraId="7079AD0C" w14:textId="77777777" w:rsidR="00726370" w:rsidRPr="00B35E07" w:rsidRDefault="00726370" w:rsidP="00726370">
      <w:pPr>
        <w:pStyle w:val="Heading2"/>
        <w:rPr>
          <w:rFonts w:ascii="Arial" w:hAnsi="Arial" w:cs="Arial"/>
          <w:b/>
          <w:bCs/>
          <w:color w:val="auto"/>
          <w:sz w:val="24"/>
          <w:szCs w:val="24"/>
        </w:rPr>
      </w:pPr>
      <w:bookmarkStart w:id="131" w:name="_Toc27579831"/>
      <w:r w:rsidRPr="00B35E07">
        <w:rPr>
          <w:rFonts w:ascii="Arial" w:hAnsi="Arial" w:cs="Arial"/>
          <w:b/>
          <w:bCs/>
          <w:color w:val="auto"/>
          <w:sz w:val="24"/>
          <w:szCs w:val="24"/>
        </w:rPr>
        <w:t>Hypothesis 7</w:t>
      </w:r>
      <w:bookmarkEnd w:id="131"/>
    </w:p>
    <w:p w14:paraId="06F0A976" w14:textId="77777777" w:rsidR="00726370" w:rsidRPr="00B35E07" w:rsidRDefault="00726370" w:rsidP="00726370">
      <w:pPr>
        <w:spacing w:line="360" w:lineRule="auto"/>
        <w:rPr>
          <w:rFonts w:ascii="Arial" w:hAnsi="Arial" w:cs="Arial"/>
          <w:b/>
          <w:bCs/>
          <w:sz w:val="24"/>
          <w:szCs w:val="24"/>
        </w:rPr>
      </w:pPr>
      <w:r w:rsidRPr="00B35E07">
        <w:rPr>
          <w:rFonts w:ascii="Arial" w:hAnsi="Arial" w:cs="Arial"/>
          <w:b/>
          <w:bCs/>
          <w:sz w:val="24"/>
          <w:szCs w:val="24"/>
        </w:rPr>
        <w:t>Impact of Inflation on LLP of commercial banks listed on the NSE</w:t>
      </w:r>
    </w:p>
    <w:p w14:paraId="59A1D055"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The outcome of this study shows that there is a positive and significant relationship between Inflation and LLP. According to Abdullah et al., (2015) he testifies that high inflation results in high provisions for loan losses; and that high inflation is as a results of an increase in the money supply in the economy due to high interest rates that leads to a decrease in the consumer spending patterns in the economy because of the rise in the general prices of goods and services, hence high inflation leads to massive growth of loan loss provisions due to high prices in the economy makes it difficults for consumers to recover their loans.</w:t>
      </w:r>
    </w:p>
    <w:p w14:paraId="2FC23D1F" w14:textId="77777777" w:rsidR="00726370" w:rsidRPr="00B35E07" w:rsidRDefault="00726370" w:rsidP="00726370">
      <w:pPr>
        <w:pStyle w:val="Heading2"/>
        <w:rPr>
          <w:rFonts w:ascii="Arial" w:hAnsi="Arial" w:cs="Arial"/>
          <w:b/>
          <w:bCs/>
          <w:color w:val="auto"/>
          <w:sz w:val="24"/>
          <w:szCs w:val="24"/>
        </w:rPr>
      </w:pPr>
      <w:bookmarkStart w:id="132" w:name="_Toc27579832"/>
      <w:r w:rsidRPr="00B35E07">
        <w:rPr>
          <w:rFonts w:ascii="Arial" w:hAnsi="Arial" w:cs="Arial"/>
          <w:b/>
          <w:bCs/>
          <w:color w:val="auto"/>
          <w:sz w:val="24"/>
          <w:szCs w:val="24"/>
        </w:rPr>
        <w:t>Impact of efficiency and probability of bank failure on the commercial banks listed on the NSE</w:t>
      </w:r>
      <w:bookmarkEnd w:id="132"/>
    </w:p>
    <w:p w14:paraId="49AFABD9"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The outcome of the study shows DEA-CRTSE provides 5 efficient banks while under DEA-VRSTE provides 8 efficient banks and under scale efficiency are 5 efficient banks. However, the study could enumerate which banks are operating at constant return to scale efficiency as well as at variable return to scale efficiency with the only 5 banks namely NIC, DTB, Housing Finance and Barclays banks. This shows that these 5 banks have a higher efficiency and their probability of bank failure is low compared to the other banks are operating at a higher efficiency as well above average but the probability of bank failure might be realised with time if not properly managed and operated at an efficient level. Therefore, it is concluded that the commercial banks can regulate and control their levels of inputs search as the staff costs, deposits and their shareholders equity accordingly so as to maximise their outputs; their loans, interest income and operating income as well. By providing suitable measures, more loans can be available as well as more loan loss provisions will be built up during times to </w:t>
      </w:r>
      <w:r w:rsidRPr="00B35E07">
        <w:rPr>
          <w:rFonts w:ascii="Arial" w:hAnsi="Arial" w:cs="Arial"/>
          <w:sz w:val="24"/>
          <w:szCs w:val="24"/>
        </w:rPr>
        <w:lastRenderedPageBreak/>
        <w:t xml:space="preserve">absorb losses during bad times. In accordance to the research done by Fakarudin </w:t>
      </w:r>
      <w:r w:rsidRPr="00B35E07">
        <w:rPr>
          <w:rFonts w:ascii="Arial" w:hAnsi="Arial" w:cs="Arial"/>
          <w:i/>
          <w:iCs/>
          <w:sz w:val="24"/>
          <w:szCs w:val="24"/>
        </w:rPr>
        <w:t>et al</w:t>
      </w:r>
      <w:r w:rsidRPr="00B35E07">
        <w:rPr>
          <w:rFonts w:ascii="Arial" w:hAnsi="Arial" w:cs="Arial"/>
          <w:sz w:val="24"/>
          <w:szCs w:val="24"/>
        </w:rPr>
        <w:t>., (2017) that was done to evaluate revenue efficiency of the Islamic banking sector in Malaysia from 2006 to 2015, the outcome of their research elaborates that the revenue efficiency of the domestic Islamic banks compared to their foreign Islamic banks is lower as a result of the difference between profit and cost efficiency levels and that better revenue efficiency could increase the profit efficiency level and, likewise adds to a favourable profitability of the Islamic banks in Malaysia.</w:t>
      </w:r>
    </w:p>
    <w:p w14:paraId="736078A6" w14:textId="77777777" w:rsidR="00726370" w:rsidRPr="00B35E07" w:rsidRDefault="00726370" w:rsidP="00726370">
      <w:pPr>
        <w:pStyle w:val="Heading2"/>
        <w:rPr>
          <w:rFonts w:ascii="Arial" w:hAnsi="Arial" w:cs="Arial"/>
          <w:b/>
          <w:bCs/>
          <w:color w:val="auto"/>
          <w:sz w:val="24"/>
          <w:szCs w:val="24"/>
        </w:rPr>
      </w:pPr>
      <w:bookmarkStart w:id="133" w:name="_Toc27579833"/>
      <w:r w:rsidRPr="00B35E07">
        <w:rPr>
          <w:rFonts w:ascii="Arial" w:hAnsi="Arial" w:cs="Arial"/>
          <w:b/>
          <w:bCs/>
          <w:color w:val="auto"/>
          <w:sz w:val="24"/>
          <w:szCs w:val="24"/>
        </w:rPr>
        <w:t>5.2: Conclusion</w:t>
      </w:r>
      <w:bookmarkEnd w:id="133"/>
    </w:p>
    <w:p w14:paraId="570169D2" w14:textId="77777777" w:rsidR="00726370" w:rsidRPr="00B35E07" w:rsidRDefault="00726370" w:rsidP="00726370">
      <w:pPr>
        <w:spacing w:after="0" w:line="360" w:lineRule="auto"/>
        <w:ind w:firstLine="720"/>
        <w:jc w:val="both"/>
        <w:rPr>
          <w:rFonts w:ascii="Arial" w:hAnsi="Arial" w:cs="Arial"/>
          <w:noProof/>
          <w:sz w:val="24"/>
          <w:szCs w:val="24"/>
        </w:rPr>
      </w:pPr>
      <w:r w:rsidRPr="00B35E07">
        <w:rPr>
          <w:rFonts w:ascii="Arial" w:hAnsi="Arial" w:cs="Arial"/>
          <w:sz w:val="24"/>
          <w:szCs w:val="24"/>
        </w:rPr>
        <w:t>Based on my findings of my research analysis, it is clearly indicated that there is significant relationship between four independent variables and the moderator, LLP, although the significant relationships of the four independent variables were not all positive. Two of the independent variables were justified to be insignificant; Cost to income ratio and Capital adequacy ratio were found to be negative and insignificant relationship with LLP and GDP was justified to be negative significant relationship with LLP. This implies that earnings management, capital management and GDP negatively impact the levels of loan loss provisions of the commercial banks. However, loan to deposit ratio, bank size and inflation was justified with evidence to exist a positive and significant relationship with LLP. Based on the analysis testing moderation effect between the independent variables and the moderator, it was justified with a significant R</w:t>
      </w:r>
      <w:r w:rsidRPr="00B35E07">
        <w:rPr>
          <w:rFonts w:ascii="Arial" w:hAnsi="Arial" w:cs="Arial"/>
          <w:sz w:val="24"/>
          <w:szCs w:val="24"/>
          <w:vertAlign w:val="superscript"/>
        </w:rPr>
        <w:t xml:space="preserve">2 </w:t>
      </w:r>
      <w:r w:rsidRPr="00B35E07">
        <w:rPr>
          <w:rFonts w:ascii="Arial" w:hAnsi="Arial" w:cs="Arial"/>
          <w:sz w:val="24"/>
          <w:szCs w:val="24"/>
        </w:rPr>
        <w:t>being adjusted to affirm moderation and the R</w:t>
      </w:r>
      <w:r w:rsidRPr="00B35E07">
        <w:rPr>
          <w:rFonts w:ascii="Arial" w:hAnsi="Arial" w:cs="Arial"/>
          <w:sz w:val="24"/>
          <w:szCs w:val="24"/>
          <w:vertAlign w:val="superscript"/>
        </w:rPr>
        <w:t xml:space="preserve">2 </w:t>
      </w:r>
      <w:r w:rsidRPr="00B35E07">
        <w:rPr>
          <w:rFonts w:ascii="Arial" w:hAnsi="Arial" w:cs="Arial"/>
          <w:sz w:val="24"/>
          <w:szCs w:val="24"/>
        </w:rPr>
        <w:t xml:space="preserve">change was found to be significant hence the relationship between </w:t>
      </w:r>
      <w:r w:rsidRPr="00B35E07">
        <w:rPr>
          <w:rFonts w:ascii="Arial" w:hAnsi="Arial" w:cs="Arial"/>
          <w:noProof/>
          <w:sz w:val="24"/>
          <w:szCs w:val="24"/>
        </w:rPr>
        <w:t>the CIR, CAR, LogN, LoanDeposit ratio, GDP, Inflation and bank failure of commercial banks listed on the NSE was therefore not rejected. In conclusion, it was justified that 5 of the 7 hypothesis are tested and supported from the analysis  with high level of significance and consistency.</w:t>
      </w:r>
    </w:p>
    <w:p w14:paraId="6C457E52" w14:textId="77777777" w:rsidR="00726370" w:rsidRPr="00B35E07" w:rsidRDefault="00726370" w:rsidP="00726370">
      <w:pPr>
        <w:spacing w:line="360" w:lineRule="auto"/>
        <w:ind w:firstLine="720"/>
        <w:jc w:val="both"/>
        <w:rPr>
          <w:rFonts w:ascii="Arial" w:hAnsi="Arial" w:cs="Arial"/>
          <w:sz w:val="24"/>
          <w:szCs w:val="24"/>
        </w:rPr>
      </w:pPr>
    </w:p>
    <w:p w14:paraId="410BF23F" w14:textId="77777777" w:rsidR="00726370" w:rsidRPr="00B35E07" w:rsidRDefault="00726370" w:rsidP="00726370">
      <w:pPr>
        <w:pStyle w:val="Heading2"/>
        <w:rPr>
          <w:rFonts w:ascii="Arial" w:hAnsi="Arial" w:cs="Arial"/>
          <w:b/>
          <w:bCs/>
          <w:color w:val="auto"/>
          <w:sz w:val="24"/>
          <w:szCs w:val="24"/>
        </w:rPr>
      </w:pPr>
      <w:bookmarkStart w:id="134" w:name="_Toc27579834"/>
      <w:r w:rsidRPr="00B35E07">
        <w:rPr>
          <w:rFonts w:ascii="Arial" w:hAnsi="Arial" w:cs="Arial"/>
          <w:b/>
          <w:bCs/>
          <w:color w:val="auto"/>
          <w:sz w:val="24"/>
          <w:szCs w:val="24"/>
        </w:rPr>
        <w:t>5.3: Contributions</w:t>
      </w:r>
      <w:bookmarkEnd w:id="134"/>
    </w:p>
    <w:p w14:paraId="02592871"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 xml:space="preserve">Following results into insightful contributions to investors, public at large, regulators and auditors. Based on my research work, it elaborates for the public at large they would demand for an ethical banking; therefore, this research aids the public to construct appropriate decisions. To the auditors, they can be more </w:t>
      </w:r>
      <w:r w:rsidRPr="00B35E07">
        <w:rPr>
          <w:rFonts w:ascii="Arial" w:hAnsi="Arial" w:cs="Arial"/>
          <w:sz w:val="24"/>
          <w:szCs w:val="24"/>
        </w:rPr>
        <w:lastRenderedPageBreak/>
        <w:t>attentive to the LLP policy estimation used by banks when they review, audit and express their decisions on the effectiveness and soundness of financial systems. Furthermore, for the regulators, it can seen to be very effective and helpful to notify and alert them to construct effective and wise policy restricting the intensive use of LLP to manage their earnings and disfigure the transparency of information of the banking sector.</w:t>
      </w:r>
    </w:p>
    <w:p w14:paraId="31712A74" w14:textId="77777777" w:rsidR="00726370" w:rsidRPr="00B35E07" w:rsidRDefault="00726370" w:rsidP="00726370">
      <w:pPr>
        <w:pStyle w:val="Heading2"/>
        <w:rPr>
          <w:rFonts w:ascii="Arial" w:hAnsi="Arial" w:cs="Arial"/>
          <w:b/>
          <w:bCs/>
          <w:color w:val="auto"/>
          <w:sz w:val="24"/>
          <w:szCs w:val="24"/>
        </w:rPr>
      </w:pPr>
      <w:bookmarkStart w:id="135" w:name="_Toc27579835"/>
      <w:r w:rsidRPr="00B35E07">
        <w:rPr>
          <w:rFonts w:ascii="Arial" w:hAnsi="Arial" w:cs="Arial"/>
          <w:b/>
          <w:bCs/>
          <w:color w:val="auto"/>
          <w:sz w:val="24"/>
          <w:szCs w:val="24"/>
        </w:rPr>
        <w:t>5.4: Limitation</w:t>
      </w:r>
      <w:bookmarkEnd w:id="135"/>
    </w:p>
    <w:p w14:paraId="5D766ED8"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The main limitation that I encountered and it would be realistic if further research could be carried out is the sample size of the study was small, such that it focussed on one country only, Kenya with limited banks only 11 commercial banks. It would be wise and more appealing if further research will compare the commercial banks in Kenya with other banks within Africa in term of their Loan Loss Provisions.</w:t>
      </w:r>
    </w:p>
    <w:p w14:paraId="238748FC" w14:textId="77777777" w:rsidR="00726370" w:rsidRPr="00B35E07" w:rsidRDefault="00726370" w:rsidP="00726370">
      <w:pPr>
        <w:pStyle w:val="Heading2"/>
        <w:rPr>
          <w:rFonts w:ascii="Arial" w:hAnsi="Arial" w:cs="Arial"/>
          <w:b/>
          <w:bCs/>
          <w:color w:val="auto"/>
          <w:sz w:val="24"/>
          <w:szCs w:val="24"/>
        </w:rPr>
      </w:pPr>
      <w:bookmarkStart w:id="136" w:name="_Toc27579836"/>
      <w:r w:rsidRPr="00B35E07">
        <w:rPr>
          <w:rFonts w:ascii="Arial" w:hAnsi="Arial" w:cs="Arial"/>
          <w:b/>
          <w:bCs/>
          <w:color w:val="auto"/>
          <w:sz w:val="24"/>
          <w:szCs w:val="24"/>
        </w:rPr>
        <w:t>5.5: Recommendation for Future Research</w:t>
      </w:r>
      <w:bookmarkEnd w:id="136"/>
    </w:p>
    <w:p w14:paraId="36F78874" w14:textId="50AEBA82" w:rsidR="00B82F07" w:rsidRDefault="00726370" w:rsidP="00B82F07">
      <w:pPr>
        <w:spacing w:line="360" w:lineRule="auto"/>
        <w:ind w:firstLine="720"/>
        <w:jc w:val="both"/>
        <w:rPr>
          <w:rFonts w:ascii="Arial" w:hAnsi="Arial" w:cs="Arial"/>
          <w:sz w:val="24"/>
          <w:szCs w:val="24"/>
        </w:rPr>
      </w:pPr>
      <w:r w:rsidRPr="00B35E07">
        <w:rPr>
          <w:rFonts w:ascii="Arial" w:hAnsi="Arial" w:cs="Arial"/>
          <w:sz w:val="24"/>
          <w:szCs w:val="24"/>
        </w:rPr>
        <w:t>Based from my research, there are a number of aspects that could be investigated in the coming future to aim at comprehensive findings in the future. This research, recommends that the commercial banks in Kenya should come up with effective measurement to minimise and control operational expenses. Investors can utilize information about bank management as an indication about the performance in the future for the commercial banks. Kenyan government and the regulatory bodies are wisely recommended to formulate regulations and policies that control the operations of the commercial banks together with the strategies to impose these regulations so as to obtain a transparent and robust decision-making process and enhance the effectiveness and soundness of the banking system. Regulatory bodies and the government in Kenya must revise or formulate and implement policies on effective management of credit risk so as to enhance and refine asset quality. Investors can utilize asset quality to anticipate the financial performance of the banks in the future as well as to determine which banks to invest in.</w:t>
      </w:r>
      <w:bookmarkStart w:id="137" w:name="_Toc27579837"/>
    </w:p>
    <w:p w14:paraId="5A35DDD9" w14:textId="77777777" w:rsidR="00B82F07" w:rsidRPr="00B82F07" w:rsidRDefault="00B82F07" w:rsidP="00B82F07">
      <w:pPr>
        <w:spacing w:line="360" w:lineRule="auto"/>
        <w:ind w:firstLine="720"/>
        <w:jc w:val="both"/>
        <w:rPr>
          <w:rFonts w:ascii="Arial" w:hAnsi="Arial" w:cs="Arial"/>
          <w:sz w:val="24"/>
          <w:szCs w:val="24"/>
        </w:rPr>
      </w:pPr>
    </w:p>
    <w:p w14:paraId="7A047CF9" w14:textId="03C1A585" w:rsidR="00726370" w:rsidRPr="00B35E07" w:rsidRDefault="00726370" w:rsidP="00726370">
      <w:pPr>
        <w:pStyle w:val="Heading2"/>
        <w:rPr>
          <w:rFonts w:ascii="Arial" w:hAnsi="Arial" w:cs="Arial"/>
          <w:b/>
          <w:bCs/>
          <w:color w:val="auto"/>
          <w:sz w:val="24"/>
          <w:szCs w:val="24"/>
        </w:rPr>
      </w:pPr>
      <w:r w:rsidRPr="00B35E07">
        <w:rPr>
          <w:rFonts w:ascii="Arial" w:hAnsi="Arial" w:cs="Arial"/>
          <w:b/>
          <w:bCs/>
          <w:color w:val="auto"/>
          <w:sz w:val="24"/>
          <w:szCs w:val="24"/>
        </w:rPr>
        <w:lastRenderedPageBreak/>
        <w:t>5.6: Personal Reflection</w:t>
      </w:r>
      <w:bookmarkEnd w:id="137"/>
    </w:p>
    <w:p w14:paraId="193B6355"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This research work assisted me to know and be familiar of the steps in the entire research work from the initial step of collecting secondary data from their respective sites to the interpretation and submission. The obstacles that I encountered was from getting a suitable topic, correcting and editing the title again and again with the assistance from respected supervisor, panel and professionals. They enlightened and developed my visions on how to restrict down the scope of my research on a particular problem with the objective of obtaining the result yet staying flexible to the findings. This added exposure enlightened me to proceed with a focused mind and note down each word carefully together the research should have the right literature supporting so as to be valid. Added, learning and studying of the several articles and journals has actually refined and improved my skills on how to analyse the research papers.</w:t>
      </w:r>
    </w:p>
    <w:p w14:paraId="165E658F" w14:textId="77777777" w:rsidR="00726370" w:rsidRPr="00B35E07" w:rsidRDefault="00726370" w:rsidP="00726370">
      <w:pPr>
        <w:spacing w:line="360" w:lineRule="auto"/>
        <w:ind w:firstLine="720"/>
        <w:jc w:val="both"/>
        <w:rPr>
          <w:rFonts w:ascii="Arial" w:hAnsi="Arial" w:cs="Arial"/>
          <w:sz w:val="24"/>
          <w:szCs w:val="24"/>
        </w:rPr>
      </w:pPr>
      <w:r w:rsidRPr="00B35E07">
        <w:rPr>
          <w:rFonts w:ascii="Arial" w:hAnsi="Arial" w:cs="Arial"/>
          <w:sz w:val="24"/>
          <w:szCs w:val="24"/>
        </w:rPr>
        <w:t>Recognizing problems and obtaining a solution has questioned me to keep working hard and stay focussed, particularly in expounding the problem statement, research objectives and literature review of main theories together with both the dependent and independent variables. Analysing methodologies, statistical analysis and measurements was a worthwhile and gainful part of my learning from this study. Eventually, I am appreciative and grateful of this precious learning experience that this study has enabled me with.</w:t>
      </w:r>
    </w:p>
    <w:p w14:paraId="2A9AFAFC" w14:textId="35BF414A" w:rsidR="0036022F" w:rsidRPr="00B35E07" w:rsidRDefault="0036022F" w:rsidP="00182EA3">
      <w:pPr>
        <w:spacing w:line="360" w:lineRule="auto"/>
        <w:ind w:firstLine="720"/>
        <w:jc w:val="both"/>
        <w:rPr>
          <w:rFonts w:ascii="Arial" w:hAnsi="Arial" w:cs="Arial"/>
          <w:sz w:val="24"/>
          <w:szCs w:val="24"/>
        </w:rPr>
      </w:pPr>
    </w:p>
    <w:p w14:paraId="169B6473" w14:textId="77777777" w:rsidR="0036022F" w:rsidRPr="00B35E07" w:rsidRDefault="0036022F" w:rsidP="00182EA3">
      <w:pPr>
        <w:spacing w:line="360" w:lineRule="auto"/>
        <w:jc w:val="both"/>
        <w:rPr>
          <w:rFonts w:ascii="Arial" w:hAnsi="Arial" w:cs="Arial"/>
        </w:rPr>
      </w:pPr>
    </w:p>
    <w:p w14:paraId="62694D84" w14:textId="77777777" w:rsidR="0036022F" w:rsidRPr="00B35E07" w:rsidRDefault="0036022F" w:rsidP="0036022F">
      <w:pPr>
        <w:rPr>
          <w:rFonts w:ascii="Arial" w:hAnsi="Arial" w:cs="Arial"/>
        </w:rPr>
      </w:pPr>
    </w:p>
    <w:p w14:paraId="7CCFB490" w14:textId="77777777" w:rsidR="0036022F" w:rsidRPr="00B35E07" w:rsidRDefault="0036022F" w:rsidP="0036022F">
      <w:pPr>
        <w:rPr>
          <w:rFonts w:ascii="Arial" w:hAnsi="Arial" w:cs="Arial"/>
        </w:rPr>
      </w:pPr>
    </w:p>
    <w:p w14:paraId="474F02EE" w14:textId="77777777" w:rsidR="0036022F" w:rsidRPr="00B35E07" w:rsidRDefault="0036022F" w:rsidP="0036022F">
      <w:pPr>
        <w:rPr>
          <w:rFonts w:ascii="Arial" w:hAnsi="Arial" w:cs="Arial"/>
          <w:sz w:val="24"/>
          <w:szCs w:val="24"/>
        </w:rPr>
      </w:pPr>
    </w:p>
    <w:p w14:paraId="3D303FCD" w14:textId="77777777" w:rsidR="0036022F" w:rsidRPr="00B35E07" w:rsidRDefault="0036022F" w:rsidP="0036022F">
      <w:pPr>
        <w:rPr>
          <w:rFonts w:ascii="Arial" w:hAnsi="Arial" w:cs="Arial"/>
          <w:sz w:val="24"/>
          <w:szCs w:val="24"/>
        </w:rPr>
      </w:pPr>
    </w:p>
    <w:p w14:paraId="7F0C5F0E" w14:textId="77777777" w:rsidR="0036022F" w:rsidRPr="00B35E07" w:rsidRDefault="0036022F" w:rsidP="0036022F">
      <w:pPr>
        <w:rPr>
          <w:rFonts w:ascii="Arial" w:hAnsi="Arial" w:cs="Arial"/>
        </w:rPr>
      </w:pPr>
    </w:p>
    <w:p w14:paraId="18A79626" w14:textId="77777777" w:rsidR="0036022F" w:rsidRPr="00B35E07" w:rsidRDefault="0036022F" w:rsidP="0036022F">
      <w:pPr>
        <w:rPr>
          <w:rFonts w:ascii="Arial" w:hAnsi="Arial" w:cs="Arial"/>
          <w:color w:val="222222"/>
          <w:sz w:val="20"/>
          <w:szCs w:val="20"/>
          <w:shd w:val="clear" w:color="auto" w:fill="FFFFFF"/>
        </w:rPr>
      </w:pPr>
    </w:p>
    <w:p w14:paraId="7037DF3B" w14:textId="77777777" w:rsidR="0036022F" w:rsidRPr="00B35E07" w:rsidRDefault="0036022F" w:rsidP="0036022F">
      <w:pPr>
        <w:rPr>
          <w:rFonts w:ascii="Arial" w:hAnsi="Arial" w:cs="Arial"/>
          <w:color w:val="222222"/>
          <w:sz w:val="20"/>
          <w:szCs w:val="20"/>
          <w:shd w:val="clear" w:color="auto" w:fill="FFFFFF"/>
        </w:rPr>
      </w:pPr>
    </w:p>
    <w:p w14:paraId="1B84712C" w14:textId="77777777" w:rsidR="00762CFB" w:rsidRPr="00B35E07" w:rsidRDefault="00762CFB" w:rsidP="0036022F">
      <w:pPr>
        <w:rPr>
          <w:rFonts w:ascii="Arial" w:hAnsi="Arial" w:cs="Arial"/>
          <w:color w:val="222222"/>
          <w:sz w:val="20"/>
          <w:szCs w:val="20"/>
          <w:shd w:val="clear" w:color="auto" w:fill="FFFFFF"/>
        </w:rPr>
      </w:pPr>
    </w:p>
    <w:p w14:paraId="08E42758" w14:textId="77777777" w:rsidR="006A0D42" w:rsidRPr="00B35E07" w:rsidRDefault="006A0D42" w:rsidP="006A0D42">
      <w:pPr>
        <w:rPr>
          <w:rFonts w:ascii="Arial" w:hAnsi="Arial" w:cs="Arial"/>
          <w:color w:val="222222"/>
          <w:sz w:val="20"/>
          <w:szCs w:val="20"/>
          <w:shd w:val="clear" w:color="auto" w:fill="FFFFFF"/>
        </w:rPr>
      </w:pPr>
      <w:bookmarkStart w:id="138" w:name="_Toc23802042"/>
    </w:p>
    <w:p w14:paraId="161DD9C5" w14:textId="0268C898" w:rsidR="00146ACB" w:rsidRPr="00B35E07" w:rsidRDefault="00A43F5B" w:rsidP="006A0D42">
      <w:pPr>
        <w:pStyle w:val="Heading1"/>
        <w:rPr>
          <w:rFonts w:ascii="Arial" w:hAnsi="Arial" w:cs="Arial"/>
          <w:color w:val="auto"/>
          <w:sz w:val="18"/>
          <w:szCs w:val="18"/>
          <w:shd w:val="clear" w:color="auto" w:fill="FFFFFF"/>
        </w:rPr>
      </w:pPr>
      <w:bookmarkStart w:id="139" w:name="_Toc27579838"/>
      <w:r w:rsidRPr="00B35E07">
        <w:rPr>
          <w:rFonts w:ascii="Arial" w:hAnsi="Arial" w:cs="Arial"/>
          <w:color w:val="auto"/>
          <w:sz w:val="24"/>
          <w:szCs w:val="24"/>
        </w:rPr>
        <w:lastRenderedPageBreak/>
        <w:t>6</w:t>
      </w:r>
      <w:r w:rsidR="00A27DD1" w:rsidRPr="00B35E07">
        <w:rPr>
          <w:rFonts w:ascii="Arial" w:hAnsi="Arial" w:cs="Arial"/>
          <w:color w:val="auto"/>
          <w:sz w:val="24"/>
          <w:szCs w:val="24"/>
        </w:rPr>
        <w:t xml:space="preserve">.0: </w:t>
      </w:r>
      <w:r w:rsidR="00895E11" w:rsidRPr="00B35E07">
        <w:rPr>
          <w:rFonts w:ascii="Arial" w:hAnsi="Arial" w:cs="Arial"/>
          <w:color w:val="auto"/>
          <w:sz w:val="24"/>
          <w:szCs w:val="24"/>
        </w:rPr>
        <w:t>REFERENCES</w:t>
      </w:r>
      <w:bookmarkEnd w:id="138"/>
      <w:bookmarkEnd w:id="139"/>
    </w:p>
    <w:p w14:paraId="1FBF7CDD" w14:textId="77777777" w:rsidR="00D0079D" w:rsidRPr="00B35E07" w:rsidRDefault="00D0079D" w:rsidP="004129E7">
      <w:pPr>
        <w:autoSpaceDE w:val="0"/>
        <w:autoSpaceDN w:val="0"/>
        <w:adjustRightInd w:val="0"/>
        <w:spacing w:after="0" w:line="240" w:lineRule="auto"/>
        <w:rPr>
          <w:rFonts w:ascii="Arial" w:hAnsi="Arial" w:cs="Arial"/>
          <w:sz w:val="24"/>
          <w:szCs w:val="24"/>
        </w:rPr>
      </w:pPr>
    </w:p>
    <w:p w14:paraId="53D93232" w14:textId="77777777" w:rsidR="00D0079D" w:rsidRPr="00B35E07" w:rsidRDefault="00D0079D" w:rsidP="00F94803">
      <w:pPr>
        <w:spacing w:line="480" w:lineRule="auto"/>
        <w:jc w:val="both"/>
        <w:rPr>
          <w:rFonts w:ascii="Arial" w:hAnsi="Arial" w:cs="Arial"/>
          <w:noProof/>
          <w:sz w:val="24"/>
          <w:szCs w:val="24"/>
        </w:rPr>
      </w:pPr>
      <w:r w:rsidRPr="00B35E07">
        <w:rPr>
          <w:rFonts w:ascii="Arial" w:hAnsi="Arial" w:cs="Arial"/>
          <w:noProof/>
          <w:sz w:val="24"/>
          <w:szCs w:val="24"/>
        </w:rPr>
        <w:t xml:space="preserve">Adzis, A.A., Anuar, H.S. and Hishamuddin, N.S.M., 2015. Malaysian commercial banks: do income smoothing, Capital management, signaling, and Pro-Cyclicality exist through loan loss provisions?. International Journal, 4(2) </w:t>
      </w:r>
      <w:r w:rsidRPr="00B35E07">
        <w:rPr>
          <w:rFonts w:ascii="Arial" w:hAnsi="Arial" w:cs="Arial"/>
          <w:color w:val="222222"/>
          <w:sz w:val="24"/>
          <w:szCs w:val="24"/>
          <w:shd w:val="clear" w:color="auto" w:fill="FFFFFF"/>
        </w:rPr>
        <w:t>[Accessed 22 Sep. 2019]</w:t>
      </w:r>
      <w:r w:rsidRPr="00B35E07">
        <w:rPr>
          <w:rFonts w:ascii="Arial" w:hAnsi="Arial" w:cs="Arial"/>
          <w:noProof/>
          <w:sz w:val="24"/>
          <w:szCs w:val="24"/>
        </w:rPr>
        <w:t>.</w:t>
      </w:r>
    </w:p>
    <w:p w14:paraId="4E679410"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Agénor, P.R. and Zilberman, R., 2015. Loan loss provisioning rules, procyclicality, and financial volatility. Journal of Banking &amp; Finance, 61, pp.301-315 </w:t>
      </w:r>
      <w:r w:rsidRPr="00B35E07">
        <w:rPr>
          <w:rFonts w:ascii="Arial" w:hAnsi="Arial" w:cs="Arial"/>
          <w:color w:val="222222"/>
          <w:sz w:val="24"/>
          <w:szCs w:val="24"/>
          <w:shd w:val="clear" w:color="auto" w:fill="FFFFFF"/>
        </w:rPr>
        <w:t>[Accessed 21 Sep. 2019]</w:t>
      </w:r>
      <w:r w:rsidRPr="00B35E07">
        <w:rPr>
          <w:rFonts w:ascii="Arial" w:hAnsi="Arial" w:cs="Arial"/>
          <w:sz w:val="24"/>
          <w:szCs w:val="24"/>
        </w:rPr>
        <w:t>.</w:t>
      </w:r>
    </w:p>
    <w:p w14:paraId="76A80140" w14:textId="77777777" w:rsidR="00D0079D" w:rsidRPr="00B35E07" w:rsidRDefault="00D0079D" w:rsidP="00F94803">
      <w:pPr>
        <w:spacing w:line="480" w:lineRule="auto"/>
        <w:jc w:val="both"/>
        <w:rPr>
          <w:rFonts w:ascii="Arial" w:hAnsi="Arial" w:cs="Arial"/>
          <w:noProof/>
          <w:sz w:val="24"/>
          <w:szCs w:val="24"/>
        </w:rPr>
      </w:pPr>
      <w:r w:rsidRPr="00B35E07">
        <w:rPr>
          <w:rFonts w:ascii="Arial" w:hAnsi="Arial" w:cs="Arial"/>
          <w:noProof/>
          <w:sz w:val="24"/>
          <w:szCs w:val="24"/>
        </w:rPr>
        <w:t xml:space="preserve">Ahmed, A., Mohammed, A.Y. and Adisa, A.O., 2014. Loan loss provision and earnings management in Nigerian deposit money banks. Mediterranean Journal of Social Sciences, 5(17), p.49 </w:t>
      </w:r>
      <w:r w:rsidRPr="00B35E07">
        <w:rPr>
          <w:rFonts w:ascii="Arial" w:hAnsi="Arial" w:cs="Arial"/>
          <w:color w:val="222222"/>
          <w:sz w:val="24"/>
          <w:szCs w:val="24"/>
          <w:shd w:val="clear" w:color="auto" w:fill="FFFFFF"/>
        </w:rPr>
        <w:t>[Accessed 21 Sep. 2019]</w:t>
      </w:r>
      <w:r w:rsidRPr="00B35E07">
        <w:rPr>
          <w:rFonts w:ascii="Arial" w:hAnsi="Arial" w:cs="Arial"/>
          <w:noProof/>
          <w:sz w:val="24"/>
          <w:szCs w:val="24"/>
        </w:rPr>
        <w:t>.</w:t>
      </w:r>
    </w:p>
    <w:p w14:paraId="2644F37B"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Alhadab, M. and Alsahawneh, S., 2016. Loan loss provision and the profitability of commercial banks: Evidence from Jordan. </w:t>
      </w:r>
      <w:r w:rsidRPr="00B35E07">
        <w:rPr>
          <w:rFonts w:ascii="Arial" w:hAnsi="Arial" w:cs="Arial"/>
          <w:i/>
          <w:iCs/>
          <w:color w:val="222222"/>
          <w:sz w:val="24"/>
          <w:szCs w:val="24"/>
          <w:shd w:val="clear" w:color="auto" w:fill="FFFFFF"/>
        </w:rPr>
        <w:t>International Journal of Business and Management</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11</w:t>
      </w:r>
      <w:r w:rsidRPr="00B35E07">
        <w:rPr>
          <w:rFonts w:ascii="Arial" w:hAnsi="Arial" w:cs="Arial"/>
          <w:color w:val="222222"/>
          <w:sz w:val="24"/>
          <w:szCs w:val="24"/>
          <w:shd w:val="clear" w:color="auto" w:fill="FFFFFF"/>
        </w:rPr>
        <w:t>(12) [Accessed 21 Sep. 2019].</w:t>
      </w:r>
    </w:p>
    <w:p w14:paraId="3E3D79A5"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Almalki, S., 2016. Integrating Quantitative and Qualitative Data in Mixed Methods Research--Challenges and Benefits. Journal of Education and Learning, 5(3), pp.288-296 </w:t>
      </w:r>
      <w:r w:rsidRPr="00B35E07">
        <w:rPr>
          <w:rFonts w:ascii="Arial" w:hAnsi="Arial" w:cs="Arial"/>
          <w:color w:val="222222"/>
          <w:sz w:val="24"/>
          <w:szCs w:val="24"/>
          <w:shd w:val="clear" w:color="auto" w:fill="FFFFFF"/>
        </w:rPr>
        <w:t>[Accessed 22 Sep. 2019]</w:t>
      </w:r>
      <w:r w:rsidRPr="00B35E07">
        <w:rPr>
          <w:rFonts w:ascii="Arial" w:hAnsi="Arial" w:cs="Arial"/>
          <w:sz w:val="24"/>
          <w:szCs w:val="24"/>
        </w:rPr>
        <w:t>.</w:t>
      </w:r>
    </w:p>
    <w:p w14:paraId="57707F1D"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Amenya, J., 2015. The Relationship between Capital Structure and Financial Performance of Firms Listed at Nairobi Securities Exchange. Unpublished MBA Research Project, University Of Nairobi [Accessed 19 Sep. 2019].</w:t>
      </w:r>
    </w:p>
    <w:p w14:paraId="11C96304"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Arumba, o.g., 2014. Determinants of dividend pay-out for companies listed at the Nairobi securities exchange (doctoral dissertation, school of business, university of Nairobi) [Accessed 20 Sep. 2019].</w:t>
      </w:r>
    </w:p>
    <w:p w14:paraId="75E83E02"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Balasubramanyan, L., Thomson, J.B. and Zaman, S., 2017. Evidence of forward-looking loan loss provisioning with credit market information. </w:t>
      </w:r>
      <w:r w:rsidRPr="00B35E07">
        <w:rPr>
          <w:rFonts w:ascii="Arial" w:hAnsi="Arial" w:cs="Arial"/>
          <w:i/>
          <w:iCs/>
          <w:color w:val="222222"/>
          <w:sz w:val="24"/>
          <w:szCs w:val="24"/>
          <w:shd w:val="clear" w:color="auto" w:fill="FFFFFF"/>
        </w:rPr>
        <w:t>Journal of Financial Services Research</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52</w:t>
      </w:r>
      <w:r w:rsidRPr="00B35E07">
        <w:rPr>
          <w:rFonts w:ascii="Arial" w:hAnsi="Arial" w:cs="Arial"/>
          <w:color w:val="222222"/>
          <w:sz w:val="24"/>
          <w:szCs w:val="24"/>
          <w:shd w:val="clear" w:color="auto" w:fill="FFFFFF"/>
        </w:rPr>
        <w:t>(3), pp.191-223 [Accessed 20 Sep. 2019].</w:t>
      </w:r>
    </w:p>
    <w:p w14:paraId="699FBD59" w14:textId="77777777" w:rsidR="00D0079D" w:rsidRPr="00B35E07" w:rsidRDefault="00D0079D" w:rsidP="00F94803">
      <w:pPr>
        <w:spacing w:line="480" w:lineRule="auto"/>
        <w:jc w:val="both"/>
        <w:rPr>
          <w:rFonts w:ascii="Arial" w:hAnsi="Arial" w:cs="Arial"/>
          <w:noProof/>
          <w:sz w:val="24"/>
          <w:szCs w:val="24"/>
        </w:rPr>
      </w:pPr>
      <w:r w:rsidRPr="00B35E07">
        <w:rPr>
          <w:rFonts w:ascii="Arial" w:hAnsi="Arial" w:cs="Arial"/>
          <w:noProof/>
          <w:sz w:val="24"/>
          <w:szCs w:val="24"/>
        </w:rPr>
        <w:t xml:space="preserve">Ben Othman, H. and Mersni, H., 2014. The use of discretionary loan loss provisions by Islamic banks and conventional banks in the Middle East region: A comparative study. Studies in Economics and Finance, 31(1), pp.106-128 </w:t>
      </w:r>
      <w:r w:rsidRPr="00B35E07">
        <w:rPr>
          <w:rFonts w:ascii="Arial" w:hAnsi="Arial" w:cs="Arial"/>
          <w:color w:val="222222"/>
          <w:sz w:val="24"/>
          <w:szCs w:val="24"/>
          <w:shd w:val="clear" w:color="auto" w:fill="FFFFFF"/>
        </w:rPr>
        <w:t>[Accessed 21 Sep. 2019]</w:t>
      </w:r>
      <w:r w:rsidRPr="00B35E07">
        <w:rPr>
          <w:rFonts w:ascii="Arial" w:hAnsi="Arial" w:cs="Arial"/>
          <w:noProof/>
          <w:sz w:val="24"/>
          <w:szCs w:val="24"/>
        </w:rPr>
        <w:t>.</w:t>
      </w:r>
    </w:p>
    <w:p w14:paraId="302FEB74"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Bhat, G., Ryan, S.G. and Vyas, D., 2018. The implications of credit risk modeling for banks’ loan loss provisions and loan-origination procyclicality. </w:t>
      </w:r>
      <w:r w:rsidRPr="00B35E07">
        <w:rPr>
          <w:rFonts w:ascii="Arial" w:hAnsi="Arial" w:cs="Arial"/>
          <w:i/>
          <w:iCs/>
          <w:color w:val="222222"/>
          <w:sz w:val="24"/>
          <w:szCs w:val="24"/>
          <w:shd w:val="clear" w:color="auto" w:fill="FFFFFF"/>
        </w:rPr>
        <w:t>Management Science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65</w:t>
      </w:r>
      <w:r w:rsidRPr="00B35E07">
        <w:rPr>
          <w:rFonts w:ascii="Arial" w:hAnsi="Arial" w:cs="Arial"/>
          <w:color w:val="222222"/>
          <w:sz w:val="24"/>
          <w:szCs w:val="24"/>
          <w:shd w:val="clear" w:color="auto" w:fill="FFFFFF"/>
        </w:rPr>
        <w:t>(5), pp.2116-2141 [Accessed 21 Sep. 2019].</w:t>
      </w:r>
    </w:p>
    <w:p w14:paraId="39689F1A" w14:textId="77777777" w:rsidR="00D0079D" w:rsidRPr="00B35E07" w:rsidRDefault="00D0079D" w:rsidP="00F94803">
      <w:pPr>
        <w:jc w:val="both"/>
        <w:rPr>
          <w:rFonts w:ascii="Arial" w:hAnsi="Arial" w:cs="Arial"/>
          <w:color w:val="000000"/>
          <w:sz w:val="24"/>
          <w:szCs w:val="24"/>
          <w:shd w:val="clear" w:color="auto" w:fill="FFFFFF"/>
        </w:rPr>
      </w:pPr>
      <w:r w:rsidRPr="00B35E07">
        <w:rPr>
          <w:rFonts w:ascii="Arial" w:hAnsi="Arial" w:cs="Arial"/>
          <w:color w:val="000000"/>
          <w:sz w:val="24"/>
          <w:szCs w:val="24"/>
          <w:shd w:val="clear" w:color="auto" w:fill="FFFFFF"/>
        </w:rPr>
        <w:t>Bhattarai, B. (2018). </w:t>
      </w:r>
      <w:r w:rsidRPr="00B35E07">
        <w:rPr>
          <w:rFonts w:ascii="Arial" w:hAnsi="Arial" w:cs="Arial"/>
          <w:i/>
          <w:iCs/>
          <w:color w:val="000000"/>
          <w:sz w:val="24"/>
          <w:szCs w:val="24"/>
          <w:shd w:val="clear" w:color="auto" w:fill="FFFFFF"/>
        </w:rPr>
        <w:t>DETERMINANTS OF LOAN LOSS PROVISIONS OF COMMERCIAL BANKS IN NEPAL</w:t>
      </w:r>
      <w:r w:rsidRPr="00B35E07">
        <w:rPr>
          <w:rFonts w:ascii="Arial" w:hAnsi="Arial" w:cs="Arial"/>
          <w:color w:val="000000"/>
          <w:sz w:val="24"/>
          <w:szCs w:val="24"/>
          <w:shd w:val="clear" w:color="auto" w:fill="FFFFFF"/>
        </w:rPr>
        <w:t>. [online] Eajournals.org. Available at: http://www.eajournals.org/wp-content/uploads/Determinants-of-Loan-Loss-Provisions-of-Commercial-Banks-in-Nepal.pdf [Accessed 3 Dec. 2019].</w:t>
      </w:r>
    </w:p>
    <w:p w14:paraId="7DAC79BD"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Bitok, S.K.T., Bitok, J., Chenuos, J.K. and Kosgei, N., 2014. Factors influencing the development of capital markets in a developing economy: A case study of Nairobi Securities Exchange in Kenya. </w:t>
      </w:r>
      <w:r w:rsidRPr="00B35E07">
        <w:rPr>
          <w:rFonts w:ascii="Arial" w:hAnsi="Arial" w:cs="Arial"/>
          <w:i/>
          <w:iCs/>
          <w:color w:val="222222"/>
          <w:sz w:val="24"/>
          <w:szCs w:val="24"/>
          <w:shd w:val="clear" w:color="auto" w:fill="FFFFFF"/>
        </w:rPr>
        <w:t>growth</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6</w:t>
      </w:r>
      <w:r w:rsidRPr="00B35E07">
        <w:rPr>
          <w:rFonts w:ascii="Arial" w:hAnsi="Arial" w:cs="Arial"/>
          <w:color w:val="222222"/>
          <w:sz w:val="24"/>
          <w:szCs w:val="24"/>
          <w:shd w:val="clear" w:color="auto" w:fill="FFFFFF"/>
        </w:rPr>
        <w:t>(16) [Accessed 21 Sep. 2019].</w:t>
      </w:r>
    </w:p>
    <w:p w14:paraId="5CC74AEF"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Bouvatier, V., Lepetit, L. and Strobel, F., 2014. Bank income smoothing, ownership concentration and the regulatory environment. </w:t>
      </w:r>
      <w:r w:rsidRPr="00B35E07">
        <w:rPr>
          <w:rFonts w:ascii="Arial" w:hAnsi="Arial" w:cs="Arial"/>
          <w:i/>
          <w:iCs/>
          <w:color w:val="222222"/>
          <w:sz w:val="24"/>
          <w:szCs w:val="24"/>
          <w:shd w:val="clear" w:color="auto" w:fill="FFFFFF"/>
        </w:rPr>
        <w:t>Journal of Banking &amp; Finance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41</w:t>
      </w:r>
      <w:r w:rsidRPr="00B35E07">
        <w:rPr>
          <w:rFonts w:ascii="Arial" w:hAnsi="Arial" w:cs="Arial"/>
          <w:color w:val="222222"/>
          <w:sz w:val="24"/>
          <w:szCs w:val="24"/>
          <w:shd w:val="clear" w:color="auto" w:fill="FFFFFF"/>
        </w:rPr>
        <w:t>, pp.253-270[Accessed 22 Sep. 2019].</w:t>
      </w:r>
    </w:p>
    <w:p w14:paraId="649295A7"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Bulle, M.K., 2014. The effect of corporate governance on earnings management of companies listed at the Nairobi Securities Exchange. </w:t>
      </w:r>
      <w:r w:rsidRPr="00B35E07">
        <w:rPr>
          <w:rFonts w:ascii="Arial" w:hAnsi="Arial" w:cs="Arial"/>
          <w:i/>
          <w:iCs/>
          <w:color w:val="222222"/>
          <w:sz w:val="24"/>
          <w:szCs w:val="24"/>
          <w:shd w:val="clear" w:color="auto" w:fill="FFFFFF"/>
        </w:rPr>
        <w:t>Master of Science in Finance project, retrieved April</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18</w:t>
      </w:r>
      <w:r w:rsidRPr="00B35E07">
        <w:rPr>
          <w:rFonts w:ascii="Arial" w:hAnsi="Arial" w:cs="Arial"/>
          <w:color w:val="222222"/>
          <w:sz w:val="24"/>
          <w:szCs w:val="24"/>
          <w:shd w:val="clear" w:color="auto" w:fill="FFFFFF"/>
        </w:rPr>
        <w:t>, p.2018[Accessed 22 Sep. 2019].</w:t>
      </w:r>
    </w:p>
    <w:p w14:paraId="668417E9" w14:textId="77777777" w:rsidR="00D0079D" w:rsidRPr="00B35E07" w:rsidRDefault="00D0079D" w:rsidP="00F94803">
      <w:pPr>
        <w:tabs>
          <w:tab w:val="left" w:pos="2430"/>
        </w:tabs>
        <w:spacing w:line="480" w:lineRule="auto"/>
        <w:ind w:left="810" w:hanging="810"/>
        <w:jc w:val="both"/>
        <w:rPr>
          <w:rStyle w:val="Hyperlink"/>
          <w:rFonts w:ascii="Arial" w:hAnsi="Arial" w:cs="Arial"/>
          <w:sz w:val="24"/>
          <w:szCs w:val="24"/>
        </w:rPr>
      </w:pPr>
      <w:r w:rsidRPr="00B35E07">
        <w:rPr>
          <w:rFonts w:ascii="Arial" w:hAnsi="Arial" w:cs="Arial"/>
          <w:sz w:val="24"/>
          <w:szCs w:val="24"/>
        </w:rPr>
        <w:lastRenderedPageBreak/>
        <w:t xml:space="preserve">Central Bank of Kenya (2015). </w:t>
      </w:r>
      <w:r w:rsidRPr="00B35E07">
        <w:rPr>
          <w:rFonts w:ascii="Arial" w:hAnsi="Arial" w:cs="Arial"/>
          <w:i/>
          <w:sz w:val="24"/>
          <w:szCs w:val="24"/>
        </w:rPr>
        <w:t>Annual report</w:t>
      </w:r>
      <w:r w:rsidRPr="00B35E07">
        <w:rPr>
          <w:rFonts w:ascii="Arial" w:hAnsi="Arial" w:cs="Arial"/>
          <w:sz w:val="24"/>
          <w:szCs w:val="24"/>
        </w:rPr>
        <w:t xml:space="preserve">. </w:t>
      </w:r>
      <w:r w:rsidRPr="00B35E07">
        <w:rPr>
          <w:rFonts w:ascii="Arial" w:hAnsi="Arial" w:cs="Arial"/>
          <w:i/>
          <w:iCs/>
          <w:sz w:val="24"/>
          <w:szCs w:val="24"/>
        </w:rPr>
        <w:t xml:space="preserve">. </w:t>
      </w:r>
      <w:r w:rsidRPr="00B35E07">
        <w:rPr>
          <w:rFonts w:ascii="Arial" w:hAnsi="Arial" w:cs="Arial"/>
          <w:sz w:val="24"/>
          <w:szCs w:val="24"/>
        </w:rPr>
        <w:t xml:space="preserve">Retrieved from </w:t>
      </w:r>
      <w:hyperlink r:id="rId36" w:history="1">
        <w:r w:rsidRPr="00B35E07">
          <w:rPr>
            <w:rStyle w:val="Hyperlink"/>
            <w:rFonts w:ascii="Arial" w:hAnsi="Arial" w:cs="Arial"/>
            <w:sz w:val="24"/>
            <w:szCs w:val="24"/>
          </w:rPr>
          <w:t>http://www.centralbank.go.ke</w:t>
        </w:r>
      </w:hyperlink>
      <w:r w:rsidRPr="00B35E07">
        <w:rPr>
          <w:rStyle w:val="Hyperlink"/>
          <w:rFonts w:ascii="Arial" w:hAnsi="Arial" w:cs="Arial"/>
          <w:sz w:val="24"/>
          <w:szCs w:val="24"/>
        </w:rPr>
        <w:t xml:space="preserve"> </w:t>
      </w:r>
      <w:r w:rsidRPr="00B35E07">
        <w:rPr>
          <w:rFonts w:ascii="Arial" w:hAnsi="Arial" w:cs="Arial"/>
          <w:color w:val="222222"/>
          <w:sz w:val="24"/>
          <w:szCs w:val="24"/>
          <w:shd w:val="clear" w:color="auto" w:fill="FFFFFF"/>
        </w:rPr>
        <w:t>[Accessed 21 Sep. 2019].</w:t>
      </w:r>
    </w:p>
    <w:p w14:paraId="7496233A"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Central Bank of Kenya, (2016),"Prudential guidelines for institutions licensed under the Banking Act", Central Bank of Kenya. pp. 27-48. [Online] Available: http://www. centralbank.go.ke Central Bank of Kenya (CBK) </w:t>
      </w:r>
      <w:r w:rsidRPr="00B35E07">
        <w:rPr>
          <w:rFonts w:ascii="Arial" w:hAnsi="Arial" w:cs="Arial"/>
          <w:color w:val="222222"/>
          <w:sz w:val="24"/>
          <w:szCs w:val="24"/>
          <w:shd w:val="clear" w:color="auto" w:fill="FFFFFF"/>
        </w:rPr>
        <w:t>[Accessed 21 Sep. 2019].</w:t>
      </w:r>
    </w:p>
    <w:p w14:paraId="3ED26341" w14:textId="77777777" w:rsidR="00D0079D" w:rsidRPr="00B35E07" w:rsidRDefault="00D0079D" w:rsidP="00F94803">
      <w:pPr>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Chimkono, E.E., Muturi, W. and Njeru, A., 2016. Effect of non-performing loans and other factors on performance of commercial banks in Malawi. </w:t>
      </w:r>
      <w:r w:rsidRPr="00B35E07">
        <w:rPr>
          <w:rFonts w:ascii="Arial" w:hAnsi="Arial" w:cs="Arial"/>
          <w:i/>
          <w:iCs/>
          <w:color w:val="222222"/>
          <w:sz w:val="24"/>
          <w:szCs w:val="24"/>
          <w:shd w:val="clear" w:color="auto" w:fill="FFFFFF"/>
        </w:rPr>
        <w:t>International Journal of Economics, Commerce and Management</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4</w:t>
      </w:r>
      <w:r w:rsidRPr="00B35E07">
        <w:rPr>
          <w:rFonts w:ascii="Arial" w:hAnsi="Arial" w:cs="Arial"/>
          <w:color w:val="222222"/>
          <w:sz w:val="24"/>
          <w:szCs w:val="24"/>
          <w:shd w:val="clear" w:color="auto" w:fill="FFFFFF"/>
        </w:rPr>
        <w:t>(2), pp.549-563.</w:t>
      </w:r>
    </w:p>
    <w:p w14:paraId="28367FC5" w14:textId="77777777" w:rsidR="00D0079D" w:rsidRPr="00B35E07" w:rsidRDefault="00D0079D" w:rsidP="00F94803">
      <w:pPr>
        <w:pStyle w:val="Default"/>
        <w:tabs>
          <w:tab w:val="left" w:pos="908"/>
        </w:tabs>
        <w:spacing w:line="480" w:lineRule="auto"/>
        <w:jc w:val="both"/>
        <w:rPr>
          <w:rFonts w:ascii="Arial" w:hAnsi="Arial" w:cs="Arial"/>
          <w:color w:val="auto"/>
          <w:lang w:val="en-MY"/>
        </w:rPr>
      </w:pPr>
      <w:r w:rsidRPr="00B35E07">
        <w:rPr>
          <w:rFonts w:ascii="Arial" w:hAnsi="Arial" w:cs="Arial"/>
          <w:color w:val="auto"/>
          <w:lang w:val="en-MY"/>
        </w:rPr>
        <w:t>Creswell, J.W. and Creswell, J.D., 2017. Research design: Qualitative, quantitative, and mixed methods approaches. Sage publications.</w:t>
      </w:r>
    </w:p>
    <w:p w14:paraId="4DD06329"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Cucinelli, D., 2015. The impact of non-performing loans on bank lending behavior: evidence from the italian banking sector. Eurasian Journal of Business and Economics, 8(16), pp.59-71 </w:t>
      </w:r>
      <w:r w:rsidRPr="00B35E07">
        <w:rPr>
          <w:rFonts w:ascii="Arial" w:hAnsi="Arial" w:cs="Arial"/>
          <w:color w:val="222222"/>
          <w:sz w:val="24"/>
          <w:szCs w:val="24"/>
          <w:shd w:val="clear" w:color="auto" w:fill="FFFFFF"/>
        </w:rPr>
        <w:t>[Accessed 21 Sep. 2019]</w:t>
      </w:r>
      <w:r w:rsidRPr="00B35E07">
        <w:rPr>
          <w:rFonts w:ascii="Arial" w:hAnsi="Arial" w:cs="Arial"/>
          <w:sz w:val="24"/>
          <w:szCs w:val="24"/>
        </w:rPr>
        <w:t>.</w:t>
      </w:r>
    </w:p>
    <w:p w14:paraId="4E78F762"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Cummings, J.R. and Durrani, K.J., 2016. Effect of the Basel Accord capital requirements on the loan-loss provisioning practices of Australian banks. Journal of Banking &amp; Finance, 67, pp.23-36.</w:t>
      </w:r>
    </w:p>
    <w:p w14:paraId="11B73C20"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Curcio, D. and Hasan, I., 2015. Earnings and capital management and signaling: the use of loan-loss provisions by European banks. </w:t>
      </w:r>
      <w:r w:rsidRPr="00B35E07">
        <w:rPr>
          <w:rFonts w:ascii="Arial" w:hAnsi="Arial" w:cs="Arial"/>
          <w:i/>
          <w:iCs/>
          <w:color w:val="222222"/>
          <w:sz w:val="24"/>
          <w:szCs w:val="24"/>
          <w:shd w:val="clear" w:color="auto" w:fill="FFFFFF"/>
        </w:rPr>
        <w:t>The European Journal of Finance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21</w:t>
      </w:r>
      <w:r w:rsidRPr="00B35E07">
        <w:rPr>
          <w:rFonts w:ascii="Arial" w:hAnsi="Arial" w:cs="Arial"/>
          <w:color w:val="222222"/>
          <w:sz w:val="24"/>
          <w:szCs w:val="24"/>
          <w:shd w:val="clear" w:color="auto" w:fill="FFFFFF"/>
        </w:rPr>
        <w:t>(1), pp.26-50 [Accessed 22 Sep. 2019].</w:t>
      </w:r>
    </w:p>
    <w:p w14:paraId="3D8A6314"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Dhakal, B. (2015). Determinants of loan loss provision in Nepalese commercial banks. Nepalese Journal of Finance, 2(2), 113-123 </w:t>
      </w:r>
      <w:r w:rsidRPr="00B35E07">
        <w:rPr>
          <w:rFonts w:ascii="Arial" w:hAnsi="Arial" w:cs="Arial"/>
          <w:color w:val="222222"/>
          <w:sz w:val="24"/>
          <w:szCs w:val="24"/>
          <w:shd w:val="clear" w:color="auto" w:fill="FFFFFF"/>
        </w:rPr>
        <w:t>[Accessed 31 Oct. 2019]</w:t>
      </w:r>
      <w:r w:rsidRPr="00B35E07">
        <w:rPr>
          <w:rFonts w:ascii="Arial" w:hAnsi="Arial" w:cs="Arial"/>
          <w:sz w:val="24"/>
          <w:szCs w:val="24"/>
        </w:rPr>
        <w:t>.</w:t>
      </w:r>
    </w:p>
    <w:p w14:paraId="0107CCBD" w14:textId="77777777" w:rsidR="00D0079D" w:rsidRPr="00B35E07" w:rsidRDefault="00D0079D" w:rsidP="00F94803">
      <w:pPr>
        <w:spacing w:line="480" w:lineRule="auto"/>
        <w:jc w:val="both"/>
        <w:rPr>
          <w:rFonts w:ascii="Arial" w:hAnsi="Arial" w:cs="Arial"/>
          <w:noProof/>
          <w:sz w:val="24"/>
          <w:szCs w:val="24"/>
        </w:rPr>
      </w:pPr>
      <w:r w:rsidRPr="00B35E07">
        <w:rPr>
          <w:rFonts w:ascii="Arial" w:hAnsi="Arial" w:cs="Arial"/>
          <w:noProof/>
          <w:sz w:val="24"/>
          <w:szCs w:val="24"/>
        </w:rPr>
        <w:lastRenderedPageBreak/>
        <w:t xml:space="preserve">Dolar, B., 2016. Income smoothing practices of US banks around the 2008 financial crisis. International Journal of Business Research, 10(1), pp.1-11 </w:t>
      </w:r>
      <w:r w:rsidRPr="00B35E07">
        <w:rPr>
          <w:rFonts w:ascii="Arial" w:hAnsi="Arial" w:cs="Arial"/>
          <w:color w:val="222222"/>
          <w:sz w:val="24"/>
          <w:szCs w:val="24"/>
          <w:shd w:val="clear" w:color="auto" w:fill="FFFFFF"/>
        </w:rPr>
        <w:t>[Accessed 31 Oct. 2019]</w:t>
      </w:r>
      <w:r w:rsidRPr="00B35E07">
        <w:rPr>
          <w:rFonts w:ascii="Arial" w:hAnsi="Arial" w:cs="Arial"/>
          <w:noProof/>
          <w:sz w:val="24"/>
          <w:szCs w:val="24"/>
        </w:rPr>
        <w:t>.</w:t>
      </w:r>
    </w:p>
    <w:p w14:paraId="2346134D"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Ekanayake, E.M.N.N. and Azeez, A.A., 2015. Determinants of non-performing loans in licensed commercial banks: Evidence from Sri Lanka. Asian Economic and Financial Review, 5(6), p.868 </w:t>
      </w:r>
      <w:r w:rsidRPr="00B35E07">
        <w:rPr>
          <w:rFonts w:ascii="Arial" w:hAnsi="Arial" w:cs="Arial"/>
          <w:color w:val="222222"/>
          <w:sz w:val="24"/>
          <w:szCs w:val="24"/>
          <w:shd w:val="clear" w:color="auto" w:fill="FFFFFF"/>
        </w:rPr>
        <w:t>[Accessed 31 Oct. 2019]</w:t>
      </w:r>
      <w:r w:rsidRPr="00B35E07">
        <w:rPr>
          <w:rFonts w:ascii="Arial" w:hAnsi="Arial" w:cs="Arial"/>
          <w:sz w:val="24"/>
          <w:szCs w:val="24"/>
        </w:rPr>
        <w:t>.</w:t>
      </w:r>
    </w:p>
    <w:p w14:paraId="525F43FE"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color w:val="222222"/>
          <w:sz w:val="24"/>
          <w:szCs w:val="24"/>
          <w:shd w:val="clear" w:color="auto" w:fill="FFFFFF"/>
        </w:rPr>
        <w:t>Erasmus, C. and Makina, D., 2014. An Empirical Study of Bank Efficiency in South Africa Using the Standard and Alternative Approaches to Data Envelopment Analysis (DEA) [Accessed 31 Oct. 2019].</w:t>
      </w:r>
    </w:p>
    <w:p w14:paraId="2BC05682"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Farook, S., Hassan, M., &amp; Clinch, G. (2014). Islamic bank incentives and discretionary loan loss provisions. Paciﬁc-Basin Finance Journal, 28, 152–174 </w:t>
      </w:r>
      <w:r w:rsidRPr="00B35E07">
        <w:rPr>
          <w:rFonts w:ascii="Arial" w:hAnsi="Arial" w:cs="Arial"/>
          <w:color w:val="222222"/>
          <w:sz w:val="24"/>
          <w:szCs w:val="24"/>
          <w:shd w:val="clear" w:color="auto" w:fill="FFFFFF"/>
        </w:rPr>
        <w:t>[Accessed 31 Oct. 2019]</w:t>
      </w:r>
      <w:r w:rsidRPr="00B35E07">
        <w:rPr>
          <w:rFonts w:ascii="Arial" w:hAnsi="Arial" w:cs="Arial"/>
          <w:sz w:val="24"/>
          <w:szCs w:val="24"/>
        </w:rPr>
        <w:t>.</w:t>
      </w:r>
    </w:p>
    <w:p w14:paraId="0CC37253"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 xml:space="preserve">Fernando W. I. &amp; Ekanayake E.M. (2015). Do commercial banks use loan loss provisions to smooth their income? Empirical evidence from Sri Lankan Commercial Banks. Journal of Finance and Bank Management, 3(1), 167-179 [Accessed 29 Sep. 2019]. </w:t>
      </w:r>
    </w:p>
    <w:p w14:paraId="41059D5D"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Frey, F. (2017). SPSS (Software). The International Encyclopedia of Communication Research Methods, [online] pp.1-2. Available at: https://www.researchgate.net/publication/311101660 [Accessed 29 Sep. 2019].</w:t>
      </w:r>
    </w:p>
    <w:p w14:paraId="0F72D001" w14:textId="77777777" w:rsidR="00D0079D" w:rsidRPr="00B35E07" w:rsidRDefault="00D0079D" w:rsidP="00F94803">
      <w:pPr>
        <w:pStyle w:val="Default"/>
        <w:tabs>
          <w:tab w:val="left" w:pos="908"/>
        </w:tabs>
        <w:spacing w:line="480" w:lineRule="auto"/>
        <w:jc w:val="both"/>
        <w:rPr>
          <w:rFonts w:ascii="Arial" w:hAnsi="Arial" w:cs="Arial"/>
          <w:color w:val="auto"/>
          <w:lang w:val="en-MY"/>
        </w:rPr>
      </w:pPr>
      <w:r w:rsidRPr="00B35E07">
        <w:rPr>
          <w:rFonts w:ascii="Arial" w:hAnsi="Arial" w:cs="Arial"/>
          <w:color w:val="auto"/>
          <w:lang w:val="en-MY"/>
        </w:rPr>
        <w:t>Gall, M.D., Gall, J.P., Borg, W.R. and Mendel, P.C., 2007. A guide for preparing a thesis or dissertation proposal in education, for Gall, Gall, and Borg'Educational research: an introduction'and'Applying Educational Research'. Pearson Education.</w:t>
      </w:r>
      <w:r w:rsidRPr="00B35E07">
        <w:rPr>
          <w:rFonts w:ascii="Arial" w:hAnsi="Arial" w:cs="Arial"/>
          <w:color w:val="auto"/>
          <w:lang w:val="en-MY"/>
        </w:rPr>
        <w:tab/>
      </w:r>
    </w:p>
    <w:p w14:paraId="42A27A53"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Geoffrey, I., Mbithi, M. and Musiega, M., 2017. Determinants of Share Holders’ Wealth among Listed Financial Firms’ on the Nairobi Securities Exchange. International Journal of Management and Commerce Innovations, 4(2), pp.374-388 [Accessed 18 Sep. 2019].</w:t>
      </w:r>
    </w:p>
    <w:p w14:paraId="6E3B9253"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Goldstein, M., Turner, P.,"Banking Crises in Emerging Economies:  Origins and Policy Options", Bank for International Settlements [BIS] Economic Papers No. 46, 2016 [Accessed 18 Sep. 2019].</w:t>
      </w:r>
    </w:p>
    <w:p w14:paraId="7E6961A0"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Hamadi, M., Heinen, A., Linder, S. and Porumb, V.A., 2016. Does Basel II affect the market valuation of discretionary loan loss provisions?. </w:t>
      </w:r>
      <w:r w:rsidRPr="00B35E07">
        <w:rPr>
          <w:rFonts w:ascii="Arial" w:hAnsi="Arial" w:cs="Arial"/>
          <w:i/>
          <w:iCs/>
          <w:color w:val="222222"/>
          <w:sz w:val="24"/>
          <w:szCs w:val="24"/>
          <w:shd w:val="clear" w:color="auto" w:fill="FFFFFF"/>
        </w:rPr>
        <w:t>Journal of Banking &amp; Finance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70</w:t>
      </w:r>
      <w:r w:rsidRPr="00B35E07">
        <w:rPr>
          <w:rFonts w:ascii="Arial" w:hAnsi="Arial" w:cs="Arial"/>
          <w:color w:val="222222"/>
          <w:sz w:val="24"/>
          <w:szCs w:val="24"/>
          <w:shd w:val="clear" w:color="auto" w:fill="FFFFFF"/>
        </w:rPr>
        <w:t>, pp.177-192 [Accessed 22 Sep. 2019].</w:t>
      </w:r>
    </w:p>
    <w:p w14:paraId="2BD3317C"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Hansen, G., 2015. Managerial discretion over loan loss reserves during the global financial crisis. The International Journal of Business and Finance Research, 9(1), p.51 </w:t>
      </w:r>
      <w:r w:rsidRPr="00B35E07">
        <w:rPr>
          <w:rFonts w:ascii="Arial" w:hAnsi="Arial" w:cs="Arial"/>
          <w:color w:val="222222"/>
          <w:sz w:val="24"/>
          <w:szCs w:val="24"/>
          <w:shd w:val="clear" w:color="auto" w:fill="FFFFFF"/>
        </w:rPr>
        <w:t>[Accessed 31 Oct. 2019]</w:t>
      </w:r>
      <w:r w:rsidRPr="00B35E07">
        <w:rPr>
          <w:rFonts w:ascii="Arial" w:hAnsi="Arial" w:cs="Arial"/>
          <w:sz w:val="24"/>
          <w:szCs w:val="24"/>
        </w:rPr>
        <w:t>.</w:t>
      </w:r>
    </w:p>
    <w:p w14:paraId="601E2D59"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Hasni Abdullah, I.A. and Bujang, I., 2015. Loan Loss Provisions And Macroeconomic Factors: The Case of Malaysian Commercial Banks. </w:t>
      </w:r>
      <w:r w:rsidRPr="00B35E07">
        <w:rPr>
          <w:rFonts w:ascii="Arial" w:hAnsi="Arial" w:cs="Arial"/>
          <w:i/>
          <w:iCs/>
          <w:color w:val="222222"/>
          <w:sz w:val="24"/>
          <w:szCs w:val="24"/>
          <w:shd w:val="clear" w:color="auto" w:fill="FFFFFF"/>
        </w:rPr>
        <w:t>International Business Management</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9</w:t>
      </w:r>
      <w:r w:rsidRPr="00B35E07">
        <w:rPr>
          <w:rFonts w:ascii="Arial" w:hAnsi="Arial" w:cs="Arial"/>
          <w:color w:val="222222"/>
          <w:sz w:val="24"/>
          <w:szCs w:val="24"/>
          <w:shd w:val="clear" w:color="auto" w:fill="FFFFFF"/>
        </w:rPr>
        <w:t>(4), pp.377-383 [Accessed 19 Sep. 2019].</w:t>
      </w:r>
    </w:p>
    <w:p w14:paraId="00BE9E3B" w14:textId="77777777" w:rsidR="00D0079D" w:rsidRPr="00B35E07" w:rsidRDefault="00D0079D" w:rsidP="00F94803">
      <w:pPr>
        <w:jc w:val="both"/>
        <w:rPr>
          <w:rFonts w:ascii="Arial" w:hAnsi="Arial" w:cs="Arial"/>
          <w:color w:val="000000"/>
          <w:sz w:val="24"/>
          <w:szCs w:val="24"/>
          <w:shd w:val="clear" w:color="auto" w:fill="FFFFFF"/>
        </w:rPr>
      </w:pPr>
      <w:r w:rsidRPr="00B35E07">
        <w:rPr>
          <w:rFonts w:ascii="Arial" w:hAnsi="Arial" w:cs="Arial"/>
          <w:color w:val="000000"/>
          <w:sz w:val="24"/>
          <w:szCs w:val="24"/>
          <w:shd w:val="clear" w:color="auto" w:fill="FFFFFF"/>
        </w:rPr>
        <w:t>Hoque, R. and Rayhan, I. (2012). </w:t>
      </w:r>
      <w:r w:rsidRPr="00B35E07">
        <w:rPr>
          <w:rFonts w:ascii="Arial" w:hAnsi="Arial" w:cs="Arial"/>
          <w:i/>
          <w:iCs/>
          <w:color w:val="000000"/>
          <w:sz w:val="24"/>
          <w:szCs w:val="24"/>
          <w:shd w:val="clear" w:color="auto" w:fill="FFFFFF"/>
        </w:rPr>
        <w:t>DATA ENVELOPMENT ANALYSIS OF BANKING SECTOR IN BANGLADESH</w:t>
      </w:r>
      <w:r w:rsidRPr="00B35E07">
        <w:rPr>
          <w:rFonts w:ascii="Arial" w:hAnsi="Arial" w:cs="Arial"/>
          <w:color w:val="000000"/>
          <w:sz w:val="24"/>
          <w:szCs w:val="24"/>
          <w:shd w:val="clear" w:color="auto" w:fill="FFFFFF"/>
        </w:rPr>
        <w:t>. [online] Available at: https://www.researchgate.net/publication/281224122_Data_Envelopment_Analysis_of_Banking_Sector_in_Bangladesh [Accessed 3 Dec. 2019].</w:t>
      </w:r>
    </w:p>
    <w:p w14:paraId="2BC8EA51" w14:textId="77777777" w:rsidR="00D0079D" w:rsidRPr="00B35E07" w:rsidRDefault="00D0079D" w:rsidP="00F94803">
      <w:pPr>
        <w:pStyle w:val="Default"/>
        <w:spacing w:line="480" w:lineRule="auto"/>
        <w:jc w:val="both"/>
        <w:rPr>
          <w:rFonts w:ascii="Arial" w:hAnsi="Arial" w:cs="Arial"/>
          <w:color w:val="auto"/>
          <w:lang w:val="en-MY"/>
        </w:rPr>
      </w:pPr>
      <w:r w:rsidRPr="00B35E07">
        <w:rPr>
          <w:rFonts w:ascii="Arial" w:hAnsi="Arial" w:cs="Arial"/>
          <w:color w:val="auto"/>
          <w:lang w:val="en-MY"/>
        </w:rPr>
        <w:t xml:space="preserve">Jaber, J. J &amp; Al-khawaldeh, A. (2014). The impact of internal and external factors on commercial bank profitability in Jordan. International Journal of Business and Management, 9 (4), 22-30 </w:t>
      </w:r>
      <w:r w:rsidRPr="00B35E07">
        <w:rPr>
          <w:rFonts w:ascii="Arial" w:hAnsi="Arial" w:cs="Arial"/>
          <w:color w:val="222222"/>
          <w:shd w:val="clear" w:color="auto" w:fill="FFFFFF"/>
        </w:rPr>
        <w:t>[Accessed 04 Nov. 2019]</w:t>
      </w:r>
      <w:r w:rsidRPr="00B35E07">
        <w:rPr>
          <w:rFonts w:ascii="Arial" w:hAnsi="Arial" w:cs="Arial"/>
          <w:color w:val="auto"/>
          <w:lang w:val="en-MY"/>
        </w:rPr>
        <w:t>.</w:t>
      </w:r>
    </w:p>
    <w:p w14:paraId="55D1F7B2"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Kaneza, C., 2016. </w:t>
      </w:r>
      <w:r w:rsidRPr="00B35E07">
        <w:rPr>
          <w:rFonts w:ascii="Arial" w:hAnsi="Arial" w:cs="Arial"/>
          <w:i/>
          <w:iCs/>
          <w:color w:val="222222"/>
          <w:sz w:val="24"/>
          <w:szCs w:val="24"/>
          <w:shd w:val="clear" w:color="auto" w:fill="FFFFFF"/>
        </w:rPr>
        <w:t>Factors Affecting the Financial Performance Of Commercial Banks Listed On the Nairobi Securities Exchange</w:t>
      </w:r>
      <w:r w:rsidRPr="00B35E07">
        <w:rPr>
          <w:rFonts w:ascii="Arial" w:hAnsi="Arial" w:cs="Arial"/>
          <w:color w:val="222222"/>
          <w:sz w:val="24"/>
          <w:szCs w:val="24"/>
          <w:shd w:val="clear" w:color="auto" w:fill="FFFFFF"/>
        </w:rPr>
        <w:t> (Doctoral dissertation, United States International University-Africa) [Accessed 22 Sep. 2019].</w:t>
      </w:r>
    </w:p>
    <w:p w14:paraId="73185DF0"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Kar, A.K., 2017. Income smoothing, capital management and provisioning behaviour of microfinance institutions: A study using global panel data. </w:t>
      </w:r>
      <w:r w:rsidRPr="00B35E07">
        <w:rPr>
          <w:rFonts w:ascii="Arial" w:hAnsi="Arial" w:cs="Arial"/>
          <w:i/>
          <w:iCs/>
          <w:color w:val="222222"/>
          <w:sz w:val="24"/>
          <w:szCs w:val="24"/>
          <w:shd w:val="clear" w:color="auto" w:fill="FFFFFF"/>
        </w:rPr>
        <w:t>The European Journal of Development Research</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29</w:t>
      </w:r>
      <w:r w:rsidRPr="00B35E07">
        <w:rPr>
          <w:rFonts w:ascii="Arial" w:hAnsi="Arial" w:cs="Arial"/>
          <w:color w:val="222222"/>
          <w:sz w:val="24"/>
          <w:szCs w:val="24"/>
          <w:shd w:val="clear" w:color="auto" w:fill="FFFFFF"/>
        </w:rPr>
        <w:t>(1), pp.108-126 [Accessed 20 Sep. 2019].</w:t>
      </w:r>
    </w:p>
    <w:p w14:paraId="08D8A27F"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Karimiyan, A., Nasserinia, A. and Shafiee, H.M.,  2017 Relationship between Loan Loss Provision and Future Earning, Return and Cash flow in Commercial Banks of Malaysia [Accessed 18 Sep. 2019].</w:t>
      </w:r>
    </w:p>
    <w:p w14:paraId="79DEA199"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Kiprop, V.K., 2014. Effect Of Capital Structure On Value Of Firms Listed In Nairobi Securities Exchange (Doctoral dissertation, Doctoral dissertation, University Of Nairobi) [Accessed 18 Sep. 2019].</w:t>
      </w:r>
    </w:p>
    <w:p w14:paraId="6CEA6503"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LaPlante, A.E. and Paradi, J.C., 2015. Evaluation of bank branch growth potential using data envelopment analysis. </w:t>
      </w:r>
      <w:r w:rsidRPr="00B35E07">
        <w:rPr>
          <w:rFonts w:ascii="Arial" w:hAnsi="Arial" w:cs="Arial"/>
          <w:i/>
          <w:iCs/>
          <w:color w:val="222222"/>
          <w:sz w:val="24"/>
          <w:szCs w:val="24"/>
          <w:shd w:val="clear" w:color="auto" w:fill="FFFFFF"/>
        </w:rPr>
        <w:t>Omega</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52</w:t>
      </w:r>
      <w:r w:rsidRPr="00B35E07">
        <w:rPr>
          <w:rFonts w:ascii="Arial" w:hAnsi="Arial" w:cs="Arial"/>
          <w:color w:val="222222"/>
          <w:sz w:val="24"/>
          <w:szCs w:val="24"/>
          <w:shd w:val="clear" w:color="auto" w:fill="FFFFFF"/>
        </w:rPr>
        <w:t>, pp.33-41[Accessed 31 Oct. 2019].</w:t>
      </w:r>
    </w:p>
    <w:p w14:paraId="77321CCC" w14:textId="77777777" w:rsidR="00D0079D" w:rsidRPr="00B35E07" w:rsidRDefault="00D0079D" w:rsidP="00F94803">
      <w:pPr>
        <w:pStyle w:val="Default"/>
        <w:spacing w:line="480" w:lineRule="auto"/>
        <w:jc w:val="both"/>
        <w:rPr>
          <w:rFonts w:ascii="Arial" w:hAnsi="Arial" w:cs="Arial"/>
          <w:color w:val="auto"/>
          <w:lang w:val="en-MY"/>
        </w:rPr>
      </w:pPr>
      <w:r w:rsidRPr="00B35E07">
        <w:rPr>
          <w:rFonts w:ascii="Arial" w:hAnsi="Arial" w:cs="Arial"/>
          <w:color w:val="auto"/>
          <w:lang w:val="en-MY"/>
        </w:rPr>
        <w:t xml:space="preserve">Lipunga, A. M. (2014). Determinants of profitability of listed commercial banks in developing countries: Evidence from Malawi. Research Journal of Finance and Accounting, 5 (6), 41-49 </w:t>
      </w:r>
      <w:r w:rsidRPr="00B35E07">
        <w:rPr>
          <w:rFonts w:ascii="Arial" w:hAnsi="Arial" w:cs="Arial"/>
          <w:color w:val="222222"/>
          <w:shd w:val="clear" w:color="auto" w:fill="FFFFFF"/>
        </w:rPr>
        <w:t>[Accessed 04 Nov. 2019]</w:t>
      </w:r>
      <w:r w:rsidRPr="00B35E07">
        <w:rPr>
          <w:rFonts w:ascii="Arial" w:hAnsi="Arial" w:cs="Arial"/>
          <w:color w:val="auto"/>
          <w:lang w:val="en-MY"/>
        </w:rPr>
        <w:t xml:space="preserve">.  </w:t>
      </w:r>
    </w:p>
    <w:p w14:paraId="5887AFED"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 xml:space="preserve">Luvembe. L., Njangiru. M.J. and Mungami, E.S. (2014). Effect of dividend payout on market value of listed banks in kenya. International Journal of Innovative Research and Development, 3(11), 350-370 [Accessed 27 Sep. 2019]. </w:t>
      </w:r>
    </w:p>
    <w:p w14:paraId="6874EDA3"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 xml:space="preserve">Macharia. N.J (2016). Determinants of profitability of commercial banks in Kenya. Unpublished MBA Project, University of Nairobi [Accessed 29 Sep. 2019].  </w:t>
      </w:r>
    </w:p>
    <w:p w14:paraId="68CD7E8C"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 xml:space="preserve">Maina, A. N. (2016). Effect of lending practices on financial performance of commercial banks in Kenya: A survey of selected banks within Nairobi. Unpublished MBA Project, University of Nairobi [Accessed 18 Sep. 2019].   </w:t>
      </w:r>
    </w:p>
    <w:p w14:paraId="2E7CB620"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MBITHI, E.I., 2018. </w:t>
      </w:r>
      <w:r w:rsidRPr="00B35E07">
        <w:rPr>
          <w:rFonts w:ascii="Arial" w:hAnsi="Arial" w:cs="Arial"/>
          <w:i/>
          <w:iCs/>
          <w:color w:val="222222"/>
          <w:sz w:val="24"/>
          <w:szCs w:val="24"/>
          <w:shd w:val="clear" w:color="auto" w:fill="FFFFFF"/>
        </w:rPr>
        <w:t>LOAN LOSS PROVISIONS AND INCOME SMOOTHING: EVIDENCE FROM COMMERCIAL BANKS IN KENYA</w:t>
      </w:r>
      <w:r w:rsidRPr="00B35E07">
        <w:rPr>
          <w:rFonts w:ascii="Arial" w:hAnsi="Arial" w:cs="Arial"/>
          <w:color w:val="222222"/>
          <w:sz w:val="24"/>
          <w:szCs w:val="24"/>
          <w:shd w:val="clear" w:color="auto" w:fill="FFFFFF"/>
        </w:rPr>
        <w:t> (Doctoral dissertation, SCHOOL OF BUSINESS, UNIVERSITY OF NAIROBI) [Accessed 18 Sep. 2019].</w:t>
      </w:r>
    </w:p>
    <w:p w14:paraId="0163A75F"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Muhmad, S. N. &amp; Hashim, H. A. (2015). Using the camel framework in assessing bank performance in Malaysia. International Journal of Economics, Management and Accounting, 23 (1), 109-127 </w:t>
      </w:r>
      <w:r w:rsidRPr="00B35E07">
        <w:rPr>
          <w:rFonts w:ascii="Arial" w:hAnsi="Arial" w:cs="Arial"/>
          <w:color w:val="222222"/>
          <w:sz w:val="24"/>
          <w:szCs w:val="24"/>
          <w:shd w:val="clear" w:color="auto" w:fill="FFFFFF"/>
        </w:rPr>
        <w:t>[Accessed 16 Sep. 2019]</w:t>
      </w:r>
      <w:r w:rsidRPr="00B35E07">
        <w:rPr>
          <w:rFonts w:ascii="Arial" w:hAnsi="Arial" w:cs="Arial"/>
          <w:sz w:val="24"/>
          <w:szCs w:val="24"/>
        </w:rPr>
        <w:t>.</w:t>
      </w:r>
    </w:p>
    <w:p w14:paraId="67188E66"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Muiruri, J. K. &amp; Ngari, J. M. (2014). Effects of financial innovations on the financial performance of commercial banks in Kenya. International Journal of Humanities and Social Science, 4 (7), 51-57 </w:t>
      </w:r>
      <w:r w:rsidRPr="00B35E07">
        <w:rPr>
          <w:rFonts w:ascii="Arial" w:hAnsi="Arial" w:cs="Arial"/>
          <w:color w:val="222222"/>
          <w:sz w:val="24"/>
          <w:szCs w:val="24"/>
          <w:shd w:val="clear" w:color="auto" w:fill="FFFFFF"/>
        </w:rPr>
        <w:t>[Accessed 16 Sep. 2019].</w:t>
      </w:r>
    </w:p>
    <w:p w14:paraId="341BC350"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 xml:space="preserve">Muriithi. J. G., Waweru. K. M. and Muturi. W. M (2016).Effect of credit risk on financial performance of commercial banks in Kenya. Journal of Economics and Finance, 7(4), 72-83 [Accessed 27 Sep. 2019]. </w:t>
      </w:r>
    </w:p>
    <w:p w14:paraId="2820945A" w14:textId="77777777" w:rsidR="00D0079D" w:rsidRPr="00B35E07" w:rsidRDefault="00D0079D" w:rsidP="00F94803">
      <w:pPr>
        <w:tabs>
          <w:tab w:val="left" w:pos="2400"/>
        </w:tabs>
        <w:spacing w:line="480" w:lineRule="auto"/>
        <w:jc w:val="both"/>
        <w:rPr>
          <w:rFonts w:ascii="Arial" w:hAnsi="Arial" w:cs="Arial"/>
          <w:sz w:val="24"/>
          <w:szCs w:val="24"/>
        </w:rPr>
      </w:pPr>
      <w:r w:rsidRPr="00B35E07">
        <w:rPr>
          <w:rFonts w:ascii="Arial" w:hAnsi="Arial" w:cs="Arial"/>
          <w:sz w:val="24"/>
          <w:szCs w:val="24"/>
        </w:rPr>
        <w:t>N. Gathaiya, R. (2017). Analysis of Issues Affecting Collapsed Banks in Kenya From Year 2015 to 2016. [online] Ijmbs.com. Available at: http://www.ijmbs.com/Vol7/73/1-robert-n-gathaiya.pdf [Accessed 27 Oct. 2019].</w:t>
      </w:r>
      <w:r w:rsidRPr="00B35E07">
        <w:rPr>
          <w:rFonts w:ascii="Arial" w:hAnsi="Arial" w:cs="Arial"/>
          <w:sz w:val="24"/>
          <w:szCs w:val="24"/>
        </w:rPr>
        <w:tab/>
      </w:r>
    </w:p>
    <w:p w14:paraId="04E814B2"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Nassaji, H. (2015). Qualitative and descriptive research: Data type versus data analysis. Language Teaching Research, 19(2), pp.129-132 [Accessed 29 Sep. 2019].</w:t>
      </w:r>
    </w:p>
    <w:p w14:paraId="566E9587"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Ng, J. and Roychowdhury, S., 2014. Do loan loss reserves behave like capital? Evidence from recent bank failures. </w:t>
      </w:r>
      <w:r w:rsidRPr="00B35E07">
        <w:rPr>
          <w:rFonts w:ascii="Arial" w:hAnsi="Arial" w:cs="Arial"/>
          <w:i/>
          <w:iCs/>
          <w:color w:val="222222"/>
          <w:sz w:val="24"/>
          <w:szCs w:val="24"/>
          <w:shd w:val="clear" w:color="auto" w:fill="FFFFFF"/>
        </w:rPr>
        <w:t>Review of Accounting Studies</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19</w:t>
      </w:r>
      <w:r w:rsidRPr="00B35E07">
        <w:rPr>
          <w:rFonts w:ascii="Arial" w:hAnsi="Arial" w:cs="Arial"/>
          <w:color w:val="222222"/>
          <w:sz w:val="24"/>
          <w:szCs w:val="24"/>
          <w:shd w:val="clear" w:color="auto" w:fill="FFFFFF"/>
        </w:rPr>
        <w:t>(3), pp.1234-1279 [Accessed 22 Sep. 2019].</w:t>
      </w:r>
    </w:p>
    <w:p w14:paraId="6B6B43F7" w14:textId="77777777" w:rsidR="00D0079D" w:rsidRPr="00B35E07" w:rsidRDefault="00D0079D" w:rsidP="00F94803">
      <w:pPr>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Ng, J. and Roychowdhury, S., 2014. Do loan loss reserves behave like capital? Evidence from recent bank failures. </w:t>
      </w:r>
      <w:r w:rsidRPr="00B35E07">
        <w:rPr>
          <w:rFonts w:ascii="Arial" w:hAnsi="Arial" w:cs="Arial"/>
          <w:i/>
          <w:iCs/>
          <w:color w:val="222222"/>
          <w:sz w:val="24"/>
          <w:szCs w:val="24"/>
          <w:shd w:val="clear" w:color="auto" w:fill="FFFFFF"/>
        </w:rPr>
        <w:t>Review of Accounting Studies</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19</w:t>
      </w:r>
      <w:r w:rsidRPr="00B35E07">
        <w:rPr>
          <w:rFonts w:ascii="Arial" w:hAnsi="Arial" w:cs="Arial"/>
          <w:color w:val="222222"/>
          <w:sz w:val="24"/>
          <w:szCs w:val="24"/>
          <w:shd w:val="clear" w:color="auto" w:fill="FFFFFF"/>
        </w:rPr>
        <w:t>(3), pp.1234-1279.</w:t>
      </w:r>
    </w:p>
    <w:p w14:paraId="0D1B5877"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Ning, Y. and Wang, H., 2017, July. Loan Loss Provisioning Based on Cyclicality. In </w:t>
      </w:r>
      <w:r w:rsidRPr="00B35E07">
        <w:rPr>
          <w:rFonts w:ascii="Arial" w:hAnsi="Arial" w:cs="Arial"/>
          <w:i/>
          <w:iCs/>
          <w:color w:val="222222"/>
          <w:sz w:val="24"/>
          <w:szCs w:val="24"/>
          <w:shd w:val="clear" w:color="auto" w:fill="FFFFFF"/>
        </w:rPr>
        <w:t>2017 3rd International Conference on Economics, Social Science, Arts, Education and Management Engineering (ESSAEME 2017)</w:t>
      </w:r>
      <w:r w:rsidRPr="00B35E07">
        <w:rPr>
          <w:rFonts w:ascii="Arial" w:hAnsi="Arial" w:cs="Arial"/>
          <w:color w:val="222222"/>
          <w:sz w:val="24"/>
          <w:szCs w:val="24"/>
          <w:shd w:val="clear" w:color="auto" w:fill="FFFFFF"/>
        </w:rPr>
        <w:t>. Atlantis Press [Accessed 21 Sep. 2019].</w:t>
      </w:r>
    </w:p>
    <w:p w14:paraId="6D1D78E9" w14:textId="77777777" w:rsidR="00D0079D" w:rsidRPr="00B35E07" w:rsidRDefault="00D0079D" w:rsidP="00F94803">
      <w:pPr>
        <w:pStyle w:val="Default"/>
        <w:spacing w:line="480" w:lineRule="auto"/>
        <w:jc w:val="both"/>
        <w:rPr>
          <w:rFonts w:ascii="Arial" w:hAnsi="Arial" w:cs="Arial"/>
          <w:color w:val="auto"/>
          <w:lang w:val="en-MY"/>
        </w:rPr>
      </w:pPr>
      <w:r w:rsidRPr="00B35E07">
        <w:rPr>
          <w:rFonts w:ascii="Arial" w:hAnsi="Arial" w:cs="Arial"/>
          <w:color w:val="auto"/>
          <w:lang w:val="en-MY"/>
        </w:rPr>
        <w:t xml:space="preserve">Nouaili, M., Abaoub, E. &amp; Ochi, A. (2015). The determinants of banking performance in front of financial changes: Case of trade banks in Tunisia. International Journal of Economics and Financial Issues, 5 (2), 410-417 </w:t>
      </w:r>
      <w:r w:rsidRPr="00B35E07">
        <w:rPr>
          <w:rFonts w:ascii="Arial" w:hAnsi="Arial" w:cs="Arial"/>
          <w:color w:val="222222"/>
          <w:shd w:val="clear" w:color="auto" w:fill="FFFFFF"/>
        </w:rPr>
        <w:t>[Accessed 04 Nov. 2019]</w:t>
      </w:r>
      <w:r w:rsidRPr="00B35E07">
        <w:rPr>
          <w:rFonts w:ascii="Arial" w:hAnsi="Arial" w:cs="Arial"/>
          <w:color w:val="auto"/>
          <w:lang w:val="en-MY"/>
        </w:rPr>
        <w:t>.</w:t>
      </w:r>
    </w:p>
    <w:p w14:paraId="1EB47EE1"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Nse.co.ke. (2019). Listed Companies - Nairobi Securities Exchange (NSE). [online] Available at: https://www.nse.co.ke/listed-companies/list.html [Accessed 20 Sep. 2019].</w:t>
      </w:r>
    </w:p>
    <w:p w14:paraId="0D743783" w14:textId="77777777" w:rsidR="00D0079D" w:rsidRPr="00B35E07" w:rsidRDefault="00D0079D" w:rsidP="00F94803">
      <w:pPr>
        <w:jc w:val="both"/>
        <w:rPr>
          <w:rFonts w:ascii="Arial" w:hAnsi="Arial" w:cs="Arial"/>
          <w:sz w:val="24"/>
          <w:szCs w:val="24"/>
        </w:rPr>
      </w:pPr>
      <w:r w:rsidRPr="00B35E07">
        <w:rPr>
          <w:rFonts w:ascii="Arial" w:hAnsi="Arial" w:cs="Arial"/>
          <w:color w:val="000000"/>
          <w:sz w:val="24"/>
          <w:szCs w:val="24"/>
          <w:shd w:val="clear" w:color="auto" w:fill="FFFFFF"/>
        </w:rPr>
        <w:t>Nse.co.ke. (2019). </w:t>
      </w:r>
      <w:r w:rsidRPr="00B35E07">
        <w:rPr>
          <w:rFonts w:ascii="Arial" w:hAnsi="Arial" w:cs="Arial"/>
          <w:i/>
          <w:iCs/>
          <w:color w:val="000000"/>
          <w:sz w:val="24"/>
          <w:szCs w:val="24"/>
          <w:shd w:val="clear" w:color="auto" w:fill="FFFFFF"/>
        </w:rPr>
        <w:t>Listed Companies - Nairobi Securities Exchange (NSE)</w:t>
      </w:r>
      <w:r w:rsidRPr="00B35E07">
        <w:rPr>
          <w:rFonts w:ascii="Arial" w:hAnsi="Arial" w:cs="Arial"/>
          <w:color w:val="000000"/>
          <w:sz w:val="24"/>
          <w:szCs w:val="24"/>
          <w:shd w:val="clear" w:color="auto" w:fill="FFFFFF"/>
        </w:rPr>
        <w:t>. [online] Available at: https://www.nse.co.ke/listed-companies/list.html [Accessed 3 Dec. 2019].</w:t>
      </w:r>
    </w:p>
    <w:p w14:paraId="3E8251CA"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Okech, T.C. and Mugambi, M., 2016. Effect of macroeconomic variables on stock returns of listed commercial banks in Kenya [Accessed 19 Sep. 2019].</w:t>
      </w:r>
    </w:p>
    <w:p w14:paraId="28888AE0"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Olszak, M., Chodnicka-Jaworska, P., Kowalska, I. and Świtała, F., 2016. Bank-specific determinants of sensitivity of loan-loss provisions to business cycle. </w:t>
      </w:r>
      <w:r w:rsidRPr="00B35E07">
        <w:rPr>
          <w:rFonts w:ascii="Arial" w:hAnsi="Arial" w:cs="Arial"/>
          <w:i/>
          <w:iCs/>
          <w:color w:val="222222"/>
          <w:sz w:val="24"/>
          <w:szCs w:val="24"/>
          <w:shd w:val="clear" w:color="auto" w:fill="FFFFFF"/>
        </w:rPr>
        <w:t>Faculty of Management Working Paper Series</w:t>
      </w:r>
      <w:r w:rsidRPr="00B35E07">
        <w:rPr>
          <w:rFonts w:ascii="Arial" w:hAnsi="Arial" w:cs="Arial"/>
          <w:color w:val="222222"/>
          <w:sz w:val="24"/>
          <w:szCs w:val="24"/>
          <w:shd w:val="clear" w:color="auto" w:fill="FFFFFF"/>
        </w:rPr>
        <w:t>, (WPS 3/2016), pp.1-43 [Accessed 18 Sep. 2019].</w:t>
      </w:r>
    </w:p>
    <w:p w14:paraId="19447AB6"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Ozili, P.K. and Outa, E., 2017. Bank loan loss provisions research: a review. </w:t>
      </w:r>
      <w:r w:rsidRPr="00B35E07">
        <w:rPr>
          <w:rFonts w:ascii="Arial" w:hAnsi="Arial" w:cs="Arial"/>
          <w:i/>
          <w:iCs/>
          <w:color w:val="222222"/>
          <w:sz w:val="24"/>
          <w:szCs w:val="24"/>
          <w:shd w:val="clear" w:color="auto" w:fill="FFFFFF"/>
        </w:rPr>
        <w:t>Borsa Istanbul Review</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17</w:t>
      </w:r>
      <w:r w:rsidRPr="00B35E07">
        <w:rPr>
          <w:rFonts w:ascii="Arial" w:hAnsi="Arial" w:cs="Arial"/>
          <w:color w:val="222222"/>
          <w:sz w:val="24"/>
          <w:szCs w:val="24"/>
          <w:shd w:val="clear" w:color="auto" w:fill="FFFFFF"/>
        </w:rPr>
        <w:t>(3), pp.144-163 [Accessed 22 Sep. 2019].</w:t>
      </w:r>
    </w:p>
    <w:p w14:paraId="73244898" w14:textId="77777777" w:rsidR="00D0079D" w:rsidRPr="00B35E07" w:rsidRDefault="00D0079D" w:rsidP="00F94803">
      <w:pPr>
        <w:spacing w:line="480" w:lineRule="auto"/>
        <w:jc w:val="both"/>
        <w:rPr>
          <w:rFonts w:ascii="Arial" w:hAnsi="Arial" w:cs="Arial"/>
          <w:noProof/>
          <w:sz w:val="24"/>
          <w:szCs w:val="24"/>
        </w:rPr>
      </w:pPr>
      <w:r w:rsidRPr="00B35E07">
        <w:rPr>
          <w:rFonts w:ascii="Arial" w:hAnsi="Arial" w:cs="Arial"/>
          <w:noProof/>
          <w:sz w:val="24"/>
          <w:szCs w:val="24"/>
        </w:rPr>
        <w:t xml:space="preserve">Ozili, P.K. and Outa, E., 2017. Bank loan loss provisions research: a review. Borsa Istanbul Review, 17(3), pp.144-163 </w:t>
      </w:r>
      <w:r w:rsidRPr="00B35E07">
        <w:rPr>
          <w:rFonts w:ascii="Arial" w:hAnsi="Arial" w:cs="Arial"/>
          <w:color w:val="222222"/>
          <w:sz w:val="24"/>
          <w:szCs w:val="24"/>
          <w:shd w:val="clear" w:color="auto" w:fill="FFFFFF"/>
        </w:rPr>
        <w:t>[Accessed 31 Oct. 2019]</w:t>
      </w:r>
      <w:r w:rsidRPr="00B35E07">
        <w:rPr>
          <w:rFonts w:ascii="Arial" w:hAnsi="Arial" w:cs="Arial"/>
          <w:noProof/>
          <w:sz w:val="24"/>
          <w:szCs w:val="24"/>
        </w:rPr>
        <w:t>.</w:t>
      </w:r>
    </w:p>
    <w:p w14:paraId="5201DD10" w14:textId="77777777" w:rsidR="00D0079D" w:rsidRPr="00B35E07" w:rsidRDefault="00D0079D" w:rsidP="00F94803">
      <w:pPr>
        <w:spacing w:line="480" w:lineRule="auto"/>
        <w:jc w:val="both"/>
        <w:rPr>
          <w:rFonts w:ascii="Arial" w:hAnsi="Arial" w:cs="Arial"/>
          <w:noProof/>
          <w:sz w:val="24"/>
          <w:szCs w:val="24"/>
        </w:rPr>
      </w:pPr>
      <w:r w:rsidRPr="00B35E07">
        <w:rPr>
          <w:rFonts w:ascii="Arial" w:hAnsi="Arial" w:cs="Arial"/>
          <w:noProof/>
          <w:sz w:val="24"/>
          <w:szCs w:val="24"/>
        </w:rPr>
        <w:t xml:space="preserve">Ozili, P.K., 2015. Loan loss provisioning, income smoothing, signaling, capital management and procyclicality: does IFRS matter? Empirical evidence from Nigeria. Mediterranean Journal of Social Sciences, 6(2), pp.224-232 </w:t>
      </w:r>
      <w:r w:rsidRPr="00B35E07">
        <w:rPr>
          <w:rFonts w:ascii="Arial" w:hAnsi="Arial" w:cs="Arial"/>
          <w:color w:val="222222"/>
          <w:sz w:val="24"/>
          <w:szCs w:val="24"/>
          <w:shd w:val="clear" w:color="auto" w:fill="FFFFFF"/>
        </w:rPr>
        <w:t>[Accessed 31 Oct. 2019]</w:t>
      </w:r>
      <w:r w:rsidRPr="00B35E07">
        <w:rPr>
          <w:rFonts w:ascii="Arial" w:hAnsi="Arial" w:cs="Arial"/>
          <w:noProof/>
          <w:sz w:val="24"/>
          <w:szCs w:val="24"/>
        </w:rPr>
        <w:t>.</w:t>
      </w:r>
    </w:p>
    <w:p w14:paraId="2C8A93BE" w14:textId="77777777" w:rsidR="00D0079D" w:rsidRPr="00B35E07" w:rsidRDefault="00D0079D" w:rsidP="00F94803">
      <w:pPr>
        <w:spacing w:line="480" w:lineRule="auto"/>
        <w:jc w:val="both"/>
        <w:rPr>
          <w:rFonts w:ascii="Arial" w:hAnsi="Arial" w:cs="Arial"/>
          <w:i/>
          <w:iCs/>
          <w:color w:val="222222"/>
          <w:sz w:val="24"/>
          <w:szCs w:val="24"/>
          <w:shd w:val="clear" w:color="auto" w:fill="FFFFFF"/>
        </w:rPr>
      </w:pPr>
      <w:r w:rsidRPr="00B35E07">
        <w:rPr>
          <w:rFonts w:ascii="Arial" w:hAnsi="Arial" w:cs="Arial"/>
          <w:i/>
          <w:iCs/>
          <w:color w:val="222222"/>
          <w:sz w:val="24"/>
          <w:szCs w:val="24"/>
          <w:shd w:val="clear" w:color="auto" w:fill="FFFFFF"/>
        </w:rPr>
        <w:t>Ozurumba, B. (2016). Impact of Non-Performing Loans on the Performance of Selected Commercial Banks in Nigeria. [online] Pdfs.semanticscholar.org Research Journal of Finance and Accounting ISSN 2222-1697 (Paper) ISSN 2222-2847 (Online) Vol.7, No.16, 2016 www.iiste.org ISSN 2222-1697 (Paper) ISSN 2222-2847 (Online) Vol.7, No.16, 2016. Available at: https://pdfs.semanticscholar.org/ca21/96820f6d38a6cc2b983da3f454db02743b94.pdf [Accessed 3 Dec. 2019].</w:t>
      </w:r>
    </w:p>
    <w:p w14:paraId="5B52AD33" w14:textId="77777777" w:rsidR="00D0079D" w:rsidRPr="00B35E07" w:rsidRDefault="00D0079D" w:rsidP="00F94803">
      <w:pPr>
        <w:spacing w:line="480" w:lineRule="auto"/>
        <w:jc w:val="both"/>
        <w:rPr>
          <w:rFonts w:ascii="Arial" w:hAnsi="Arial" w:cs="Arial"/>
          <w:i/>
          <w:iCs/>
          <w:color w:val="222222"/>
          <w:sz w:val="24"/>
          <w:szCs w:val="24"/>
          <w:shd w:val="clear" w:color="auto" w:fill="FFFFFF"/>
        </w:rPr>
      </w:pPr>
      <w:r w:rsidRPr="00B35E07">
        <w:rPr>
          <w:rFonts w:ascii="Arial" w:hAnsi="Arial" w:cs="Arial"/>
          <w:i/>
          <w:iCs/>
          <w:color w:val="222222"/>
          <w:sz w:val="24"/>
          <w:szCs w:val="24"/>
          <w:shd w:val="clear" w:color="auto" w:fill="FFFFFF"/>
        </w:rPr>
        <w:t>Ozurumba, B.A., 2016. Impact of non-performing loans on the performance of selected commercial banks in Nigeria. Research Journal of Finance and Accounting, 7(16), pp.95-109.</w:t>
      </w:r>
    </w:p>
    <w:p w14:paraId="0DCB5AD1"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Palley, T.I., 2015. Money, fiscal policy, and interest rates: A critique of Modern Monetary Theory. </w:t>
      </w:r>
      <w:r w:rsidRPr="00B35E07">
        <w:rPr>
          <w:rFonts w:ascii="Arial" w:hAnsi="Arial" w:cs="Arial"/>
          <w:i/>
          <w:iCs/>
          <w:color w:val="222222"/>
          <w:sz w:val="24"/>
          <w:szCs w:val="24"/>
          <w:shd w:val="clear" w:color="auto" w:fill="FFFFFF"/>
        </w:rPr>
        <w:t>Review of Political Economy</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27</w:t>
      </w:r>
      <w:r w:rsidRPr="00B35E07">
        <w:rPr>
          <w:rFonts w:ascii="Arial" w:hAnsi="Arial" w:cs="Arial"/>
          <w:color w:val="222222"/>
          <w:sz w:val="24"/>
          <w:szCs w:val="24"/>
          <w:shd w:val="clear" w:color="auto" w:fill="FFFFFF"/>
        </w:rPr>
        <w:t>(1), pp.1-23 [Accessed 22 Sep. 2019].</w:t>
      </w:r>
    </w:p>
    <w:p w14:paraId="4D67BCDF"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Pandey, A. and Singh, M., 2015. Capital structure determinants: a literature review. African Journal of Accounting, Auditing and Finance, 4(2), pp.163-176 [Accessed 20 Sep. 2019].</w:t>
      </w:r>
    </w:p>
    <w:p w14:paraId="1FC592A7" w14:textId="77777777" w:rsidR="00D0079D" w:rsidRPr="00B35E07" w:rsidRDefault="00D0079D" w:rsidP="00F94803">
      <w:pPr>
        <w:pStyle w:val="Default"/>
        <w:spacing w:line="480" w:lineRule="auto"/>
        <w:jc w:val="both"/>
        <w:rPr>
          <w:rFonts w:ascii="Arial" w:hAnsi="Arial" w:cs="Arial"/>
          <w:color w:val="auto"/>
          <w:lang w:val="en-MY"/>
        </w:rPr>
      </w:pPr>
      <w:r w:rsidRPr="00B35E07">
        <w:rPr>
          <w:rFonts w:ascii="Arial" w:hAnsi="Arial" w:cs="Arial"/>
          <w:shd w:val="clear" w:color="auto" w:fill="FFFFFF"/>
        </w:rPr>
        <w:t>Paradi, J., Wilson, D. and Yang, X. (2014). </w:t>
      </w:r>
      <w:r w:rsidRPr="00B35E07">
        <w:rPr>
          <w:rFonts w:ascii="Arial" w:hAnsi="Arial" w:cs="Arial"/>
          <w:i/>
          <w:iCs/>
          <w:shd w:val="clear" w:color="auto" w:fill="FFFFFF"/>
        </w:rPr>
        <w:t>Data Envelopment Analysis of Corporate Failure for Non-Manufacturing Firms Using a Slacks-Based Measure</w:t>
      </w:r>
      <w:r w:rsidRPr="00B35E07">
        <w:rPr>
          <w:rFonts w:ascii="Arial" w:hAnsi="Arial" w:cs="Arial"/>
          <w:shd w:val="clear" w:color="auto" w:fill="FFFFFF"/>
        </w:rPr>
        <w:t>. [online] File.scirp.org. Available at: https://file.scirp.org/pdf/JSSM_2014082614192841.pdf [Accessed 3 Dec. 2019].</w:t>
      </w:r>
    </w:p>
    <w:p w14:paraId="7997C9C3"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Pelealu, I.W. and Worang, F.G., 2017. ANALYSIS THE EFFECT OF LOAN LOSS PROVISION ON BANK PROFITABILITY. </w:t>
      </w:r>
      <w:r w:rsidRPr="00B35E07">
        <w:rPr>
          <w:rFonts w:ascii="Arial" w:hAnsi="Arial" w:cs="Arial"/>
          <w:i/>
          <w:iCs/>
          <w:color w:val="222222"/>
          <w:sz w:val="24"/>
          <w:szCs w:val="24"/>
          <w:shd w:val="clear" w:color="auto" w:fill="FFFFFF"/>
        </w:rPr>
        <w:t>Jurnal EMBA: Jurnal Riset Ekonomi, Manajemen, Bisnis dan Akuntansi</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6</w:t>
      </w:r>
      <w:r w:rsidRPr="00B35E07">
        <w:rPr>
          <w:rFonts w:ascii="Arial" w:hAnsi="Arial" w:cs="Arial"/>
          <w:color w:val="222222"/>
          <w:sz w:val="24"/>
          <w:szCs w:val="24"/>
          <w:shd w:val="clear" w:color="auto" w:fill="FFFFFF"/>
        </w:rPr>
        <w:t>(4) [Accessed 21 Sep. 2019].</w:t>
      </w:r>
    </w:p>
    <w:p w14:paraId="3908E4CD" w14:textId="64BBC70E" w:rsidR="00D0079D" w:rsidRPr="00B35E07" w:rsidRDefault="00D0079D" w:rsidP="00726370">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Rani Das, K. (2016). A Brief Review of Tests for Normality. American Journal of Theoretical and Applied Statistics, [online] 5(1), p.5. Available at: http://www.sciencepublishinggroup.com/j/ajtas [Accessed 28 Sep. 2019].</w:t>
      </w:r>
      <w:r w:rsidRPr="00B35E07">
        <w:rPr>
          <w:rFonts w:ascii="Arial" w:hAnsi="Arial" w:cs="Arial"/>
          <w:sz w:val="24"/>
          <w:szCs w:val="24"/>
        </w:rPr>
        <w:br/>
      </w:r>
      <w:r w:rsidRPr="00B35E07">
        <w:rPr>
          <w:rFonts w:ascii="Arial" w:hAnsi="Arial" w:cs="Arial"/>
          <w:color w:val="222222"/>
          <w:sz w:val="24"/>
          <w:szCs w:val="24"/>
          <w:shd w:val="clear" w:color="auto" w:fill="FFFFFF"/>
        </w:rPr>
        <w:t>SAHIN, G., GOKDEMIR, L. and OZTURK, D. (2016). Global Crisis and Its Effect on Turkish Banking Sector: A Study with Data Envelopment Analysis. [online] Istanbul Conference of Economics and Finance, ICEF 2015, 22-23 October 2015, Istanbul, Turkey. Available at: https://www.researchgate.net/publication/304000532_Global_Crisis_and_its_Effect_on_Turkish_Banking_Sector_A_Study_with_Data_Envelopment_Analysis [Accessed 3 Dec. 2019].</w:t>
      </w:r>
    </w:p>
    <w:p w14:paraId="253E5767"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Sahin, G., Gokdemir, L. and Ozturk, D., 2016. Global crisis and its effect on Turkish banking sector: A study with data envelopment analysis. </w:t>
      </w:r>
      <w:r w:rsidRPr="00B35E07">
        <w:rPr>
          <w:rFonts w:ascii="Arial" w:hAnsi="Arial" w:cs="Arial"/>
          <w:i/>
          <w:iCs/>
          <w:color w:val="222222"/>
          <w:sz w:val="24"/>
          <w:szCs w:val="24"/>
          <w:shd w:val="clear" w:color="auto" w:fill="FFFFFF"/>
        </w:rPr>
        <w:t>Procedia Economics and Finance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38</w:t>
      </w:r>
      <w:r w:rsidRPr="00B35E07">
        <w:rPr>
          <w:rFonts w:ascii="Arial" w:hAnsi="Arial" w:cs="Arial"/>
          <w:color w:val="222222"/>
          <w:sz w:val="24"/>
          <w:szCs w:val="24"/>
          <w:shd w:val="clear" w:color="auto" w:fill="FFFFFF"/>
        </w:rPr>
        <w:t>, pp.38-48 [Accessed 31 Oct. 2019].</w:t>
      </w:r>
    </w:p>
    <w:p w14:paraId="63ABD678"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lastRenderedPageBreak/>
        <w:t xml:space="preserve">Samad, A., 2015. Determinants bank profitability: Empirical evidence from Bangladesh commercial banks. International journal of financial research, 6(3), pp.173-179 </w:t>
      </w:r>
      <w:r w:rsidRPr="00B35E07">
        <w:rPr>
          <w:rFonts w:ascii="Arial" w:hAnsi="Arial" w:cs="Arial"/>
          <w:color w:val="222222"/>
          <w:sz w:val="24"/>
          <w:szCs w:val="24"/>
          <w:shd w:val="clear" w:color="auto" w:fill="FFFFFF"/>
        </w:rPr>
        <w:t>[Accessed 31 Oct. 2019]</w:t>
      </w:r>
      <w:r w:rsidRPr="00B35E07">
        <w:rPr>
          <w:rFonts w:ascii="Arial" w:hAnsi="Arial" w:cs="Arial"/>
          <w:sz w:val="24"/>
          <w:szCs w:val="24"/>
        </w:rPr>
        <w:t>.</w:t>
      </w:r>
    </w:p>
    <w:p w14:paraId="524FA172"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Samad, A., 2015. Determinants bank profitability: Empirical evidence from Bangladesh commercial banks. International journal of financial research, 6(3), pp.173-179.</w:t>
      </w:r>
    </w:p>
    <w:p w14:paraId="53F162D0" w14:textId="77777777" w:rsidR="00D0079D" w:rsidRPr="00B35E07" w:rsidRDefault="00D0079D" w:rsidP="00F94803">
      <w:pPr>
        <w:tabs>
          <w:tab w:val="left" w:pos="1041"/>
        </w:tabs>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Sarstedt, M. and Mooi, E. (2014). Regression Analysis. Springer Texts in Business and Economics, [online] pp.193-233. Available at: https://www.researchgate.net/publication/300403700 [Accessed 26 Sep. 2019].</w:t>
      </w:r>
    </w:p>
    <w:p w14:paraId="6E689B94" w14:textId="77777777" w:rsidR="00D0079D" w:rsidRPr="00B35E07" w:rsidRDefault="00D0079D" w:rsidP="00F94803">
      <w:pPr>
        <w:pStyle w:val="Default"/>
        <w:tabs>
          <w:tab w:val="left" w:pos="908"/>
        </w:tabs>
        <w:spacing w:line="480" w:lineRule="auto"/>
        <w:jc w:val="both"/>
        <w:rPr>
          <w:rFonts w:ascii="Arial" w:hAnsi="Arial" w:cs="Arial"/>
          <w:color w:val="auto"/>
          <w:lang w:val="en-MY"/>
        </w:rPr>
      </w:pPr>
      <w:r w:rsidRPr="00B35E07">
        <w:rPr>
          <w:rFonts w:ascii="Arial" w:hAnsi="Arial" w:cs="Arial"/>
          <w:color w:val="auto"/>
          <w:lang w:val="en-MY"/>
        </w:rPr>
        <w:t>Sekaran, U. and Bougie, R., 2016. Research methods for business: A skill building approach. John Wiley &amp; Sons.</w:t>
      </w:r>
    </w:p>
    <w:p w14:paraId="3E256AB0"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Shawtari, F.A., Ariff, M. and Abdul Razak, S.H., 2019. Efficiency and bank margins: a comparative analysis of Islamic and conventional banks in Yemen. Journal of Islamic Accounting and Business Research, 10(1), pp.50-72 </w:t>
      </w:r>
      <w:r w:rsidRPr="00B35E07">
        <w:rPr>
          <w:rFonts w:ascii="Arial" w:hAnsi="Arial" w:cs="Arial"/>
          <w:color w:val="222222"/>
          <w:sz w:val="24"/>
          <w:szCs w:val="24"/>
          <w:shd w:val="clear" w:color="auto" w:fill="FFFFFF"/>
        </w:rPr>
        <w:t>[Accessed 31 Oct. 2019]</w:t>
      </w:r>
      <w:r w:rsidRPr="00B35E07">
        <w:rPr>
          <w:rFonts w:ascii="Arial" w:hAnsi="Arial" w:cs="Arial"/>
          <w:sz w:val="24"/>
          <w:szCs w:val="24"/>
        </w:rPr>
        <w:t>.</w:t>
      </w:r>
    </w:p>
    <w:p w14:paraId="3C7AA766" w14:textId="77777777" w:rsidR="00D0079D" w:rsidRPr="00B35E07" w:rsidRDefault="00D0079D" w:rsidP="00F94803">
      <w:pPr>
        <w:spacing w:line="480" w:lineRule="auto"/>
        <w:jc w:val="both"/>
        <w:rPr>
          <w:rFonts w:ascii="Arial" w:hAnsi="Arial" w:cs="Arial"/>
          <w:sz w:val="24"/>
          <w:szCs w:val="24"/>
        </w:rPr>
      </w:pPr>
      <w:r w:rsidRPr="00B35E07">
        <w:rPr>
          <w:rFonts w:ascii="Arial" w:hAnsi="Arial" w:cs="Arial"/>
          <w:sz w:val="24"/>
          <w:szCs w:val="24"/>
        </w:rPr>
        <w:t xml:space="preserve">Shawtari, F.A., Saiti, B., Razak, S.H.A. and Ariff, M., 2015. The impact of efficiency on discretionary loans/finance loss provision: A comparative study of Islamic and conventional banks. Borsa Istanbul Review, 15(4), pp.272-282 </w:t>
      </w:r>
      <w:r w:rsidRPr="00B35E07">
        <w:rPr>
          <w:rFonts w:ascii="Arial" w:hAnsi="Arial" w:cs="Arial"/>
          <w:color w:val="222222"/>
          <w:sz w:val="24"/>
          <w:szCs w:val="24"/>
          <w:shd w:val="clear" w:color="auto" w:fill="FFFFFF"/>
        </w:rPr>
        <w:t>[Accessed 31 Oct. 2019]</w:t>
      </w:r>
      <w:r w:rsidRPr="00B35E07">
        <w:rPr>
          <w:rFonts w:ascii="Arial" w:hAnsi="Arial" w:cs="Arial"/>
          <w:sz w:val="24"/>
          <w:szCs w:val="24"/>
        </w:rPr>
        <w:t>.</w:t>
      </w:r>
    </w:p>
    <w:p w14:paraId="4874B624"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Shijaku, G., 2017. Bank prudential and bank stability–how far do they go. </w:t>
      </w:r>
      <w:r w:rsidRPr="00B35E07">
        <w:rPr>
          <w:rFonts w:ascii="Arial" w:hAnsi="Arial" w:cs="Arial"/>
          <w:i/>
          <w:iCs/>
          <w:color w:val="222222"/>
          <w:sz w:val="24"/>
          <w:szCs w:val="24"/>
          <w:shd w:val="clear" w:color="auto" w:fill="FFFFFF"/>
        </w:rPr>
        <w:t>Journal of Banking and Financial Economics</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8</w:t>
      </w:r>
      <w:r w:rsidRPr="00B35E07">
        <w:rPr>
          <w:rFonts w:ascii="Arial" w:hAnsi="Arial" w:cs="Arial"/>
          <w:color w:val="222222"/>
          <w:sz w:val="24"/>
          <w:szCs w:val="24"/>
          <w:shd w:val="clear" w:color="auto" w:fill="FFFFFF"/>
        </w:rPr>
        <w:t>(2), pp.127-150 [Accessed 22 Sep. 2019].</w:t>
      </w:r>
    </w:p>
    <w:p w14:paraId="407C64DC" w14:textId="77777777" w:rsidR="00D0079D" w:rsidRPr="00B35E07" w:rsidRDefault="00D0079D" w:rsidP="00F94803">
      <w:pPr>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 xml:space="preserve">Simiyu, C.N. and Ngile, L., 2015. Effect of macroeconomic variables on profitability of commercial banks listed in the Nairobi securities </w:t>
      </w:r>
      <w:r w:rsidRPr="00B35E07">
        <w:rPr>
          <w:rFonts w:ascii="Arial" w:hAnsi="Arial" w:cs="Arial"/>
          <w:color w:val="222222"/>
          <w:sz w:val="24"/>
          <w:szCs w:val="24"/>
          <w:shd w:val="clear" w:color="auto" w:fill="FFFFFF"/>
        </w:rPr>
        <w:lastRenderedPageBreak/>
        <w:t>exchange. </w:t>
      </w:r>
      <w:r w:rsidRPr="00B35E07">
        <w:rPr>
          <w:rFonts w:ascii="Arial" w:hAnsi="Arial" w:cs="Arial"/>
          <w:i/>
          <w:iCs/>
          <w:color w:val="222222"/>
          <w:sz w:val="24"/>
          <w:szCs w:val="24"/>
          <w:shd w:val="clear" w:color="auto" w:fill="FFFFFF"/>
        </w:rPr>
        <w:t>International Journal of Economics, Commerce and Management</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3</w:t>
      </w:r>
      <w:r w:rsidRPr="00B35E07">
        <w:rPr>
          <w:rFonts w:ascii="Arial" w:hAnsi="Arial" w:cs="Arial"/>
          <w:color w:val="222222"/>
          <w:sz w:val="24"/>
          <w:szCs w:val="24"/>
          <w:shd w:val="clear" w:color="auto" w:fill="FFFFFF"/>
        </w:rPr>
        <w:t>(4), pp.1-16.</w:t>
      </w:r>
    </w:p>
    <w:p w14:paraId="7F362755" w14:textId="77777777" w:rsidR="00D0079D" w:rsidRPr="00B35E07" w:rsidRDefault="00D0079D" w:rsidP="00F94803">
      <w:pPr>
        <w:pStyle w:val="Default"/>
        <w:spacing w:line="480" w:lineRule="auto"/>
        <w:jc w:val="both"/>
        <w:rPr>
          <w:rFonts w:ascii="Arial" w:hAnsi="Arial" w:cs="Arial"/>
          <w:color w:val="auto"/>
          <w:lang w:val="en-MY"/>
        </w:rPr>
      </w:pPr>
      <w:r w:rsidRPr="00B35E07">
        <w:rPr>
          <w:rFonts w:ascii="Arial" w:hAnsi="Arial" w:cs="Arial"/>
          <w:color w:val="auto"/>
          <w:lang w:val="en-MY"/>
        </w:rPr>
        <w:t>Simon, O. and Ochieng, P. (2018). Factors Contributing to Financial Distress in Commercial Banks of Kenya. [online] The International Journal of Business Management and Technology, Volume 2 Issue 5 September-October 2018 ISSN: 2581-3889. Available at: https://www.academia.edu/37750006/Factors_Contributing_to_Financial_Distress_in_Commercial_Banks_of_Kenya [Accessed 3 Dec. 2019].</w:t>
      </w:r>
    </w:p>
    <w:p w14:paraId="5B8FD8CB"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Soedarmono, W., Pramono, S.E. and Tarazi, A., 2017. The procyclicality of loan loss provisions in Islamic banks. </w:t>
      </w:r>
      <w:r w:rsidRPr="00B35E07">
        <w:rPr>
          <w:rFonts w:ascii="Arial" w:hAnsi="Arial" w:cs="Arial"/>
          <w:i/>
          <w:iCs/>
          <w:color w:val="222222"/>
          <w:sz w:val="24"/>
          <w:szCs w:val="24"/>
          <w:shd w:val="clear" w:color="auto" w:fill="FFFFFF"/>
        </w:rPr>
        <w:t>Research in International Business and Finance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39</w:t>
      </w:r>
      <w:r w:rsidRPr="00B35E07">
        <w:rPr>
          <w:rFonts w:ascii="Arial" w:hAnsi="Arial" w:cs="Arial"/>
          <w:color w:val="222222"/>
          <w:sz w:val="24"/>
          <w:szCs w:val="24"/>
          <w:shd w:val="clear" w:color="auto" w:fill="FFFFFF"/>
        </w:rPr>
        <w:t>, pp.911-919 [Accessed 21 Sep. 2019].</w:t>
      </w:r>
    </w:p>
    <w:p w14:paraId="387CD9C2"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Su, W., Peng, M.W., Tan, W. and Cheung, Y.L., 2016. The signaling effect of corporate social responsibility in emerging economies. </w:t>
      </w:r>
      <w:r w:rsidRPr="00B35E07">
        <w:rPr>
          <w:rFonts w:ascii="Arial" w:hAnsi="Arial" w:cs="Arial"/>
          <w:i/>
          <w:iCs/>
          <w:color w:val="222222"/>
          <w:sz w:val="24"/>
          <w:szCs w:val="24"/>
          <w:shd w:val="clear" w:color="auto" w:fill="FFFFFF"/>
        </w:rPr>
        <w:t>Journal of business Ethics</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134</w:t>
      </w:r>
      <w:r w:rsidRPr="00B35E07">
        <w:rPr>
          <w:rFonts w:ascii="Arial" w:hAnsi="Arial" w:cs="Arial"/>
          <w:color w:val="222222"/>
          <w:sz w:val="24"/>
          <w:szCs w:val="24"/>
          <w:shd w:val="clear" w:color="auto" w:fill="FFFFFF"/>
        </w:rPr>
        <w:t xml:space="preserve">(3), pp.479-491 [Accessed 22 Sep. 2019].  </w:t>
      </w:r>
    </w:p>
    <w:p w14:paraId="28BAC48A" w14:textId="77777777" w:rsidR="00D0079D" w:rsidRPr="00B35E07" w:rsidRDefault="00D0079D" w:rsidP="00F94803">
      <w:pPr>
        <w:pStyle w:val="Default"/>
        <w:spacing w:line="480" w:lineRule="auto"/>
        <w:jc w:val="both"/>
        <w:rPr>
          <w:rFonts w:ascii="Arial" w:hAnsi="Arial" w:cs="Arial"/>
          <w:color w:val="222222"/>
          <w:shd w:val="clear" w:color="auto" w:fill="FFFFFF"/>
        </w:rPr>
      </w:pPr>
      <w:r w:rsidRPr="00B35E07">
        <w:rPr>
          <w:rFonts w:ascii="Arial" w:hAnsi="Arial" w:cs="Arial"/>
          <w:color w:val="auto"/>
          <w:lang w:val="en-MY"/>
        </w:rPr>
        <w:t xml:space="preserve">Uzhegova, O. (2015). The relative importance of industry- &amp; country-specific factors for bank performance in developed and emerging economies. Canadian Center of Science and Education, 7 (7), 365-384 </w:t>
      </w:r>
      <w:r w:rsidRPr="00B35E07">
        <w:rPr>
          <w:rFonts w:ascii="Arial" w:hAnsi="Arial" w:cs="Arial"/>
          <w:color w:val="222222"/>
          <w:shd w:val="clear" w:color="auto" w:fill="FFFFFF"/>
        </w:rPr>
        <w:t>[Accessed 04 Nov. 2019]</w:t>
      </w:r>
      <w:r w:rsidRPr="00B35E07">
        <w:rPr>
          <w:rFonts w:ascii="Arial" w:hAnsi="Arial" w:cs="Arial"/>
          <w:color w:val="auto"/>
          <w:lang w:val="en-MY"/>
        </w:rPr>
        <w:t xml:space="preserve">.   </w:t>
      </w:r>
    </w:p>
    <w:p w14:paraId="2012AC8A"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Viswanadham, N. and Nahid, B., 2015. Determinants of Non Performing Loans in Commercial Banks: A Study of NBC Bank Dodoma Tanzania. </w:t>
      </w:r>
      <w:r w:rsidRPr="00B35E07">
        <w:rPr>
          <w:rFonts w:ascii="Arial" w:hAnsi="Arial" w:cs="Arial"/>
          <w:i/>
          <w:iCs/>
          <w:color w:val="222222"/>
          <w:sz w:val="24"/>
          <w:szCs w:val="24"/>
          <w:shd w:val="clear" w:color="auto" w:fill="FFFFFF"/>
        </w:rPr>
        <w:t>International Journal of Finance &amp; Banking Studies</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4</w:t>
      </w:r>
      <w:r w:rsidRPr="00B35E07">
        <w:rPr>
          <w:rFonts w:ascii="Arial" w:hAnsi="Arial" w:cs="Arial"/>
          <w:color w:val="222222"/>
          <w:sz w:val="24"/>
          <w:szCs w:val="24"/>
          <w:shd w:val="clear" w:color="auto" w:fill="FFFFFF"/>
        </w:rPr>
        <w:t>(1), p.70 [Accessed 22 Sep. 2019].</w:t>
      </w:r>
    </w:p>
    <w:p w14:paraId="0771EBC6"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Wang, A.T., Hsu, W.C. and Ho, W.C., 2019. Loan Loss Provisioning of the US Commercial Banks after the Financial Crisis. </w:t>
      </w:r>
      <w:r w:rsidRPr="00B35E07">
        <w:rPr>
          <w:rFonts w:ascii="Arial" w:hAnsi="Arial" w:cs="Arial"/>
          <w:i/>
          <w:iCs/>
          <w:color w:val="222222"/>
          <w:sz w:val="24"/>
          <w:szCs w:val="24"/>
          <w:shd w:val="clear" w:color="auto" w:fill="FFFFFF"/>
        </w:rPr>
        <w:t>Universal Journal of Accounting and Finance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7</w:t>
      </w:r>
      <w:r w:rsidRPr="00B35E07">
        <w:rPr>
          <w:rFonts w:ascii="Arial" w:hAnsi="Arial" w:cs="Arial"/>
          <w:color w:val="222222"/>
          <w:sz w:val="24"/>
          <w:szCs w:val="24"/>
          <w:shd w:val="clear" w:color="auto" w:fill="FFFFFF"/>
        </w:rPr>
        <w:t>(2), pp.29-42 [Accessed 20 Sep. 2019].</w:t>
      </w:r>
    </w:p>
    <w:p w14:paraId="386EC2E7"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lastRenderedPageBreak/>
        <w:t>Wang, Z., Xie, N. and Jin, Y., 2019. Do Loan Loss Provisions Affect the Credit Fluctuations in China’s Banking System?. </w:t>
      </w:r>
      <w:r w:rsidRPr="00B35E07">
        <w:rPr>
          <w:rFonts w:ascii="Arial" w:hAnsi="Arial" w:cs="Arial"/>
          <w:i/>
          <w:iCs/>
          <w:color w:val="222222"/>
          <w:sz w:val="24"/>
          <w:szCs w:val="24"/>
          <w:shd w:val="clear" w:color="auto" w:fill="FFFFFF"/>
        </w:rPr>
        <w:t>Emerging Markets Finance and Trade</w:t>
      </w:r>
      <w:r w:rsidRPr="00B35E07">
        <w:rPr>
          <w:rFonts w:ascii="Arial" w:hAnsi="Arial" w:cs="Arial"/>
          <w:color w:val="222222"/>
          <w:sz w:val="24"/>
          <w:szCs w:val="24"/>
          <w:shd w:val="clear" w:color="auto" w:fill="FFFFFF"/>
        </w:rPr>
        <w:t>, </w:t>
      </w:r>
      <w:r w:rsidRPr="00B35E07">
        <w:rPr>
          <w:rFonts w:ascii="Arial" w:hAnsi="Arial" w:cs="Arial"/>
          <w:i/>
          <w:iCs/>
          <w:color w:val="222222"/>
          <w:sz w:val="24"/>
          <w:szCs w:val="24"/>
          <w:shd w:val="clear" w:color="auto" w:fill="FFFFFF"/>
        </w:rPr>
        <w:t>55</w:t>
      </w:r>
      <w:r w:rsidRPr="00B35E07">
        <w:rPr>
          <w:rFonts w:ascii="Arial" w:hAnsi="Arial" w:cs="Arial"/>
          <w:color w:val="222222"/>
          <w:sz w:val="24"/>
          <w:szCs w:val="24"/>
          <w:shd w:val="clear" w:color="auto" w:fill="FFFFFF"/>
        </w:rPr>
        <w:t>(11), pp.2425-2436 [Accessed 20 Sep. 2019].</w:t>
      </w:r>
    </w:p>
    <w:p w14:paraId="0C37E5B2"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Warue, B.N., 2013. The effects of bank specific and macroeconomic factors on nonperforming loans in commercial banks in Kenya: A comparative panel data analysis. Advances in Management and Applied Economics, 3(2), p.135.</w:t>
      </w:r>
    </w:p>
    <w:p w14:paraId="5773A5F8" w14:textId="77777777" w:rsidR="00D0079D" w:rsidRPr="00B35E07" w:rsidRDefault="00D0079D" w:rsidP="00F94803">
      <w:pPr>
        <w:spacing w:line="480" w:lineRule="auto"/>
        <w:jc w:val="both"/>
        <w:rPr>
          <w:rFonts w:ascii="Arial" w:hAnsi="Arial" w:cs="Arial"/>
          <w:color w:val="222222"/>
          <w:sz w:val="24"/>
          <w:szCs w:val="24"/>
          <w:shd w:val="clear" w:color="auto" w:fill="FFFFFF"/>
        </w:rPr>
      </w:pPr>
      <w:r w:rsidRPr="00B35E07">
        <w:rPr>
          <w:rFonts w:ascii="Arial" w:hAnsi="Arial" w:cs="Arial"/>
          <w:color w:val="222222"/>
          <w:sz w:val="24"/>
          <w:szCs w:val="24"/>
          <w:shd w:val="clear" w:color="auto" w:fill="FFFFFF"/>
        </w:rPr>
        <w:t>Warue, B.N., 2013. The effects of bank specific and macroeconomic factors on nonperforming loans in commercial banks in Kenya: A comparative panel data analysis. Advances in Management and Applied Economics, 3(2), p.135.</w:t>
      </w:r>
    </w:p>
    <w:p w14:paraId="198607C2" w14:textId="616FEFB9" w:rsidR="00D0079D" w:rsidRPr="00B35E07" w:rsidRDefault="00D0079D" w:rsidP="00F94803">
      <w:pPr>
        <w:pStyle w:val="Default"/>
        <w:spacing w:line="480" w:lineRule="auto"/>
        <w:jc w:val="both"/>
        <w:rPr>
          <w:rFonts w:ascii="Arial" w:hAnsi="Arial" w:cs="Arial"/>
          <w:color w:val="auto"/>
          <w:lang w:val="en-MY"/>
        </w:rPr>
      </w:pPr>
      <w:r w:rsidRPr="00B35E07">
        <w:rPr>
          <w:rFonts w:ascii="Arial" w:hAnsi="Arial" w:cs="Arial"/>
          <w:color w:val="auto"/>
          <w:lang w:val="en-MY"/>
        </w:rPr>
        <w:t xml:space="preserve">Yegon, C., Cheruiyot, J. and Sang, J., 2014. Effects of dividend policy on firm’s financial performance: Econometric analysis of listed manufacturing firms in Kenya. Research Journal of Finance and Accounting, 5(12), pp.136-144 </w:t>
      </w:r>
      <w:r w:rsidRPr="00B35E07">
        <w:rPr>
          <w:rFonts w:ascii="Arial" w:hAnsi="Arial" w:cs="Arial"/>
          <w:color w:val="222222"/>
          <w:shd w:val="clear" w:color="auto" w:fill="FFFFFF"/>
        </w:rPr>
        <w:t>[Accessed 16 Sep. 2019]</w:t>
      </w:r>
      <w:bookmarkStart w:id="140" w:name="_Toc23802043"/>
    </w:p>
    <w:p w14:paraId="1FDEB116" w14:textId="3D3C572F" w:rsidR="00762CFB" w:rsidRDefault="00762CFB" w:rsidP="006A0D42">
      <w:pPr>
        <w:pStyle w:val="Heading1"/>
        <w:rPr>
          <w:rFonts w:ascii="Times New Roman" w:hAnsi="Times New Roman" w:cs="Times New Roman"/>
          <w:color w:val="auto"/>
          <w:sz w:val="24"/>
          <w:szCs w:val="24"/>
        </w:rPr>
      </w:pPr>
      <w:bookmarkStart w:id="141" w:name="_Toc27579839"/>
    </w:p>
    <w:p w14:paraId="4EE976C5" w14:textId="6D7E5574" w:rsidR="00762CFB" w:rsidRDefault="00762CFB" w:rsidP="00762CFB">
      <w:pPr>
        <w:rPr>
          <w:lang w:val="en-US"/>
        </w:rPr>
      </w:pPr>
    </w:p>
    <w:p w14:paraId="22A146F1" w14:textId="49A65031" w:rsidR="00762CFB" w:rsidRDefault="00762CFB" w:rsidP="00762CFB">
      <w:pPr>
        <w:rPr>
          <w:lang w:val="en-US"/>
        </w:rPr>
      </w:pPr>
    </w:p>
    <w:p w14:paraId="0C5F3641" w14:textId="3BB115E8" w:rsidR="00B82F07" w:rsidRDefault="00B82F07" w:rsidP="00762CFB">
      <w:pPr>
        <w:rPr>
          <w:lang w:val="en-US"/>
        </w:rPr>
      </w:pPr>
    </w:p>
    <w:p w14:paraId="13A24B43" w14:textId="542E04FB" w:rsidR="00B82F07" w:rsidRDefault="00B82F07" w:rsidP="00762CFB">
      <w:pPr>
        <w:rPr>
          <w:lang w:val="en-US"/>
        </w:rPr>
      </w:pPr>
    </w:p>
    <w:p w14:paraId="04820181" w14:textId="0A80700F" w:rsidR="00B82F07" w:rsidRDefault="00B82F07" w:rsidP="00762CFB">
      <w:pPr>
        <w:rPr>
          <w:lang w:val="en-US"/>
        </w:rPr>
      </w:pPr>
    </w:p>
    <w:p w14:paraId="7C5799C8" w14:textId="47B37F8C" w:rsidR="00B82F07" w:rsidRDefault="00B82F07" w:rsidP="00762CFB">
      <w:pPr>
        <w:rPr>
          <w:lang w:val="en-US"/>
        </w:rPr>
      </w:pPr>
    </w:p>
    <w:p w14:paraId="4C30FB4B" w14:textId="0E25597F" w:rsidR="00B82F07" w:rsidRDefault="00B82F07" w:rsidP="00762CFB">
      <w:pPr>
        <w:rPr>
          <w:lang w:val="en-US"/>
        </w:rPr>
      </w:pPr>
    </w:p>
    <w:p w14:paraId="49E70A2B" w14:textId="77777777" w:rsidR="00B82F07" w:rsidRPr="00762CFB" w:rsidRDefault="00B82F07" w:rsidP="00762CFB">
      <w:pPr>
        <w:rPr>
          <w:lang w:val="en-US"/>
        </w:rPr>
      </w:pPr>
    </w:p>
    <w:p w14:paraId="35ED83E0" w14:textId="286AAF95" w:rsidR="00662AF5" w:rsidRDefault="00A43F5B" w:rsidP="006A0D42">
      <w:pPr>
        <w:pStyle w:val="Heading1"/>
        <w:rPr>
          <w:rFonts w:ascii="Times New Roman" w:hAnsi="Times New Roman" w:cs="Times New Roman"/>
          <w:color w:val="auto"/>
          <w:sz w:val="24"/>
          <w:szCs w:val="24"/>
        </w:rPr>
      </w:pPr>
      <w:r w:rsidRPr="006A0D42">
        <w:rPr>
          <w:rFonts w:ascii="Times New Roman" w:hAnsi="Times New Roman" w:cs="Times New Roman"/>
          <w:color w:val="auto"/>
          <w:sz w:val="24"/>
          <w:szCs w:val="24"/>
        </w:rPr>
        <w:lastRenderedPageBreak/>
        <w:t>7</w:t>
      </w:r>
      <w:r w:rsidR="00A27DD1" w:rsidRPr="006A0D42">
        <w:rPr>
          <w:rFonts w:ascii="Times New Roman" w:hAnsi="Times New Roman" w:cs="Times New Roman"/>
          <w:color w:val="auto"/>
          <w:sz w:val="24"/>
          <w:szCs w:val="24"/>
        </w:rPr>
        <w:t xml:space="preserve">.0: </w:t>
      </w:r>
      <w:r w:rsidR="00662AF5" w:rsidRPr="006A0D42">
        <w:rPr>
          <w:rFonts w:ascii="Times New Roman" w:hAnsi="Times New Roman" w:cs="Times New Roman"/>
          <w:color w:val="auto"/>
          <w:sz w:val="24"/>
          <w:szCs w:val="24"/>
        </w:rPr>
        <w:t>APPENDIX</w:t>
      </w:r>
      <w:bookmarkEnd w:id="140"/>
      <w:bookmarkEnd w:id="141"/>
    </w:p>
    <w:p w14:paraId="64C8415F" w14:textId="0789FF90" w:rsidR="00662AF5" w:rsidRPr="00BC628B" w:rsidRDefault="00D94355" w:rsidP="00BC628B">
      <w:pPr>
        <w:pStyle w:val="Heading2"/>
        <w:rPr>
          <w:rFonts w:ascii="Times New Roman" w:hAnsi="Times New Roman" w:cs="Times New Roman"/>
          <w:b/>
          <w:bCs/>
          <w:color w:val="auto"/>
          <w:sz w:val="24"/>
          <w:szCs w:val="24"/>
        </w:rPr>
      </w:pPr>
      <w:bookmarkStart w:id="142" w:name="_Toc27579840"/>
      <w:r w:rsidRPr="00BC628B">
        <w:rPr>
          <w:rFonts w:ascii="Times New Roman" w:hAnsi="Times New Roman" w:cs="Times New Roman"/>
          <w:b/>
          <w:bCs/>
          <w:color w:val="auto"/>
          <w:sz w:val="24"/>
          <w:szCs w:val="24"/>
        </w:rPr>
        <w:t>Appendix 1</w:t>
      </w:r>
      <w:bookmarkStart w:id="143" w:name="_Toc27223658"/>
      <w:r w:rsidR="00A46ACE" w:rsidRPr="00BC628B">
        <w:rPr>
          <w:rFonts w:ascii="Times New Roman" w:hAnsi="Times New Roman" w:cs="Times New Roman"/>
          <w:b/>
          <w:bCs/>
          <w:color w:val="auto"/>
          <w:sz w:val="24"/>
          <w:szCs w:val="24"/>
        </w:rPr>
        <w:t xml:space="preserve">: </w:t>
      </w:r>
      <w:r w:rsidR="00F555E6" w:rsidRPr="00BC628B">
        <w:rPr>
          <w:rFonts w:ascii="Times New Roman" w:hAnsi="Times New Roman" w:cs="Times New Roman"/>
          <w:b/>
          <w:bCs/>
          <w:color w:val="auto"/>
          <w:sz w:val="24"/>
          <w:szCs w:val="24"/>
        </w:rPr>
        <w:t>Companies listed on the Nairobi Security Exchange</w:t>
      </w:r>
      <w:bookmarkEnd w:id="142"/>
      <w:bookmarkEnd w:id="143"/>
    </w:p>
    <w:tbl>
      <w:tblPr>
        <w:tblStyle w:val="TableGrid"/>
        <w:tblW w:w="0" w:type="auto"/>
        <w:tblLook w:val="04A0" w:firstRow="1" w:lastRow="0" w:firstColumn="1" w:lastColumn="0" w:noHBand="0" w:noVBand="1"/>
      </w:tblPr>
      <w:tblGrid>
        <w:gridCol w:w="4115"/>
        <w:gridCol w:w="4378"/>
      </w:tblGrid>
      <w:tr w:rsidR="00662AF5" w:rsidRPr="00766F99" w14:paraId="5656CAFB" w14:textId="77777777" w:rsidTr="003064F6">
        <w:trPr>
          <w:trHeight w:val="558"/>
        </w:trPr>
        <w:tc>
          <w:tcPr>
            <w:tcW w:w="4440" w:type="dxa"/>
          </w:tcPr>
          <w:p w14:paraId="7D9431F2"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AGRICULTURAL SECTOR </w:t>
            </w:r>
          </w:p>
          <w:p w14:paraId="394D12D7"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Eaagands </w:t>
            </w:r>
          </w:p>
          <w:p w14:paraId="5CD89ABF"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Kakuzi</w:t>
            </w:r>
          </w:p>
          <w:p w14:paraId="7CB566A7"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Kapchorua tea company</w:t>
            </w:r>
          </w:p>
          <w:p w14:paraId="563009A1"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Limuru tea company ltd</w:t>
            </w:r>
          </w:p>
          <w:p w14:paraId="0BEE5429"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Rea vipingo plantation ltd </w:t>
            </w:r>
          </w:p>
          <w:p w14:paraId="511F673C"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Sasini ltd </w:t>
            </w:r>
          </w:p>
          <w:p w14:paraId="3CC8476F"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Williamson tea (K) ltd </w:t>
            </w:r>
          </w:p>
          <w:p w14:paraId="6A69309C"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COMMERCIAL AND SERVICES SECTOR </w:t>
            </w:r>
          </w:p>
          <w:p w14:paraId="607AAEDB"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Express Ltd </w:t>
            </w:r>
          </w:p>
          <w:p w14:paraId="5D92EDC2"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Kenya airways Ltd</w:t>
            </w:r>
          </w:p>
          <w:p w14:paraId="68B82263"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Nation Media Group ltd </w:t>
            </w:r>
          </w:p>
          <w:p w14:paraId="7B0C13EA"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Standard Group Ltd </w:t>
            </w:r>
          </w:p>
          <w:p w14:paraId="1965040D"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TPS Eastern Africa (Serena) Ltd</w:t>
            </w:r>
          </w:p>
          <w:p w14:paraId="53592CEE"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Scangroup Ltd </w:t>
            </w:r>
          </w:p>
          <w:p w14:paraId="1F1D87DF"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Uchumi Supermarket Ltd </w:t>
            </w:r>
          </w:p>
          <w:p w14:paraId="4AF22E95"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Hutching Beimer Ltd </w:t>
            </w:r>
          </w:p>
          <w:p w14:paraId="47F1E94A"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Longhorn (K) Ltd</w:t>
            </w:r>
          </w:p>
          <w:p w14:paraId="268F8996"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CONSTRUCTION AND ALLIED </w:t>
            </w:r>
          </w:p>
          <w:p w14:paraId="6B9E00D4"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Athi River Mining ltd </w:t>
            </w:r>
          </w:p>
          <w:p w14:paraId="2792ADD8"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Bamburi Cement ltd</w:t>
            </w:r>
          </w:p>
          <w:p w14:paraId="4123EF71"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Crown Berger ltd</w:t>
            </w:r>
          </w:p>
          <w:p w14:paraId="1AA58FD4"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East African Cables ltd </w:t>
            </w:r>
          </w:p>
          <w:p w14:paraId="5C8B8052"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East African Cement ltd </w:t>
            </w:r>
          </w:p>
          <w:p w14:paraId="6EC6AE7D"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ENERGY AND PETROLEUM </w:t>
            </w:r>
          </w:p>
          <w:p w14:paraId="5720F668"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Kenolkobil ltd </w:t>
            </w:r>
          </w:p>
          <w:p w14:paraId="2699DD82"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Total Kenya </w:t>
            </w:r>
          </w:p>
          <w:p w14:paraId="77D38303"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Kengen ltd </w:t>
            </w:r>
          </w:p>
          <w:p w14:paraId="0856128A"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Kenya power and Lighting Co. ltd </w:t>
            </w:r>
          </w:p>
          <w:p w14:paraId="6911E2C4" w14:textId="77777777" w:rsidR="00662AF5" w:rsidRPr="00766F99" w:rsidRDefault="00662AF5" w:rsidP="00466A11">
            <w:pPr>
              <w:jc w:val="both"/>
              <w:rPr>
                <w:rFonts w:asciiTheme="majorBidi" w:hAnsiTheme="majorBidi" w:cstheme="majorBidi"/>
                <w:sz w:val="24"/>
                <w:szCs w:val="24"/>
              </w:rPr>
            </w:pPr>
          </w:p>
          <w:p w14:paraId="6E35609A"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BANKING </w:t>
            </w:r>
          </w:p>
          <w:p w14:paraId="10C7E743"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Barclays Bank ltd </w:t>
            </w:r>
          </w:p>
          <w:p w14:paraId="5FFFBDCB"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CFC Stanbic Holding ltd </w:t>
            </w:r>
          </w:p>
          <w:p w14:paraId="71210762"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Diamond Trust Bank ltd</w:t>
            </w:r>
          </w:p>
          <w:p w14:paraId="1B25375C"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Housing Finance </w:t>
            </w:r>
          </w:p>
          <w:p w14:paraId="7DC98887"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Kenya Commercial Bank ltd </w:t>
            </w:r>
          </w:p>
          <w:p w14:paraId="3787A784"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National Bank of Kenya</w:t>
            </w:r>
          </w:p>
          <w:p w14:paraId="6A32522F"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NIC Bank ltd </w:t>
            </w:r>
          </w:p>
          <w:p w14:paraId="2787D01C"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Standard Chartered Bank ltd </w:t>
            </w:r>
          </w:p>
          <w:p w14:paraId="20477F64"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Equity Bank ltd </w:t>
            </w:r>
          </w:p>
          <w:p w14:paraId="71EEE229"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Cooperative Bank ltd </w:t>
            </w:r>
          </w:p>
          <w:p w14:paraId="74673FFE"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I&amp;M bank ltd</w:t>
            </w:r>
          </w:p>
        </w:tc>
        <w:tc>
          <w:tcPr>
            <w:tcW w:w="4576" w:type="dxa"/>
          </w:tcPr>
          <w:p w14:paraId="380EF247"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MANUFACTURING AND ALLIED </w:t>
            </w:r>
          </w:p>
          <w:p w14:paraId="30716323"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BOC Kenya ltd </w:t>
            </w:r>
          </w:p>
          <w:p w14:paraId="08F50B49"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British American Tobacco ltd </w:t>
            </w:r>
          </w:p>
          <w:p w14:paraId="3BBEB3A1"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Carbacid Investments ltd </w:t>
            </w:r>
          </w:p>
          <w:p w14:paraId="1DFE059A"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East African Breweries ltd </w:t>
            </w:r>
          </w:p>
          <w:p w14:paraId="35299DD1"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Mumias Sugar co ltd </w:t>
            </w:r>
          </w:p>
          <w:p w14:paraId="18982F99"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Unga Group ltd </w:t>
            </w:r>
          </w:p>
          <w:p w14:paraId="2166BDCD"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Eveready E.A ltd </w:t>
            </w:r>
          </w:p>
          <w:p w14:paraId="7D8C244E"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Kenya Orchards ltd</w:t>
            </w:r>
          </w:p>
          <w:p w14:paraId="0459C571"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A.Bauman co ltd </w:t>
            </w:r>
          </w:p>
          <w:p w14:paraId="02F83255"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INVESTMENT </w:t>
            </w:r>
          </w:p>
          <w:p w14:paraId="06AF95CA"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Olympia Capital ltd </w:t>
            </w:r>
          </w:p>
          <w:p w14:paraId="19120EA0"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Centum Investment ltd </w:t>
            </w:r>
          </w:p>
          <w:p w14:paraId="64C7C8FC"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Trans-Century ltd</w:t>
            </w:r>
          </w:p>
          <w:p w14:paraId="5F765754"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AUTOMOBILES AND ACCESSORIES </w:t>
            </w:r>
          </w:p>
          <w:p w14:paraId="5A0129B3"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Car and General ltd </w:t>
            </w:r>
          </w:p>
          <w:p w14:paraId="79A99F5A"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CMC ltd </w:t>
            </w:r>
          </w:p>
          <w:p w14:paraId="7B532C0A"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Sameer Africa ltd </w:t>
            </w:r>
          </w:p>
          <w:p w14:paraId="40CD6EA6"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Marshals ltd </w:t>
            </w:r>
          </w:p>
          <w:p w14:paraId="241AA941"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TELECOMMUNICATIONS AND TECHNOLOGY </w:t>
            </w:r>
          </w:p>
          <w:p w14:paraId="2DDBD903"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Access Kenya Group ltd </w:t>
            </w:r>
          </w:p>
          <w:p w14:paraId="66211CFB"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Safaricom ltd </w:t>
            </w:r>
          </w:p>
          <w:p w14:paraId="1F61C1AC"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INSURANCE </w:t>
            </w:r>
          </w:p>
          <w:p w14:paraId="044F99F6"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Jubilee Holding ltd </w:t>
            </w:r>
          </w:p>
          <w:p w14:paraId="7CD227DD"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Pan Africa Insurance Holding ltd </w:t>
            </w:r>
          </w:p>
          <w:p w14:paraId="25503DA7"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Kenya Re-Insurance Corporation ltd </w:t>
            </w:r>
          </w:p>
          <w:p w14:paraId="1259E698"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CFC Insurance holding ltd </w:t>
            </w:r>
          </w:p>
          <w:p w14:paraId="1DF00E2B"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British American Investment Co (K) ltd </w:t>
            </w:r>
          </w:p>
          <w:p w14:paraId="1D5C3CE6"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CIC Insurance Group </w:t>
            </w:r>
          </w:p>
          <w:p w14:paraId="7698FCA6"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INVESTMENT SERVICES </w:t>
            </w:r>
          </w:p>
          <w:p w14:paraId="662155E0"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Nairobi securities exchange </w:t>
            </w:r>
          </w:p>
          <w:p w14:paraId="27E87008" w14:textId="77777777" w:rsidR="00662AF5" w:rsidRPr="00766F99" w:rsidRDefault="00662AF5" w:rsidP="00466A11">
            <w:pPr>
              <w:jc w:val="both"/>
              <w:rPr>
                <w:rFonts w:asciiTheme="majorBidi" w:hAnsiTheme="majorBidi" w:cstheme="majorBidi"/>
                <w:b/>
                <w:sz w:val="24"/>
                <w:szCs w:val="24"/>
              </w:rPr>
            </w:pPr>
            <w:r w:rsidRPr="00766F99">
              <w:rPr>
                <w:rFonts w:asciiTheme="majorBidi" w:hAnsiTheme="majorBidi" w:cstheme="majorBidi"/>
                <w:b/>
                <w:sz w:val="24"/>
                <w:szCs w:val="24"/>
              </w:rPr>
              <w:t xml:space="preserve">GROWTH ENTERPRISE MARKET SEGMENT </w:t>
            </w:r>
          </w:p>
          <w:p w14:paraId="1B1EADD6"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Atlas development and support service </w:t>
            </w:r>
          </w:p>
          <w:p w14:paraId="02FFB6CC"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 xml:space="preserve">Kurwitu ltd </w:t>
            </w:r>
          </w:p>
          <w:p w14:paraId="27147199" w14:textId="77777777" w:rsidR="00662AF5" w:rsidRPr="00766F99" w:rsidRDefault="00662AF5" w:rsidP="00466A11">
            <w:pPr>
              <w:jc w:val="both"/>
              <w:rPr>
                <w:rFonts w:asciiTheme="majorBidi" w:hAnsiTheme="majorBidi" w:cstheme="majorBidi"/>
                <w:sz w:val="24"/>
                <w:szCs w:val="24"/>
              </w:rPr>
            </w:pPr>
            <w:r w:rsidRPr="00766F99">
              <w:rPr>
                <w:rFonts w:asciiTheme="majorBidi" w:hAnsiTheme="majorBidi" w:cstheme="majorBidi"/>
                <w:sz w:val="24"/>
                <w:szCs w:val="24"/>
              </w:rPr>
              <w:t>Flame tree group</w:t>
            </w:r>
          </w:p>
        </w:tc>
      </w:tr>
    </w:tbl>
    <w:p w14:paraId="1BCA7BCE" w14:textId="14D5F73D" w:rsidR="00662AF5" w:rsidRDefault="00662AF5" w:rsidP="005913C8">
      <w:pPr>
        <w:autoSpaceDE w:val="0"/>
        <w:autoSpaceDN w:val="0"/>
        <w:adjustRightInd w:val="0"/>
        <w:spacing w:after="0" w:line="480" w:lineRule="auto"/>
        <w:jc w:val="center"/>
        <w:rPr>
          <w:rFonts w:asciiTheme="majorBidi" w:hAnsiTheme="majorBidi" w:cstheme="majorBidi"/>
          <w:b/>
          <w:bCs/>
          <w:sz w:val="24"/>
          <w:szCs w:val="24"/>
        </w:rPr>
      </w:pPr>
      <w:r w:rsidRPr="00766F99">
        <w:rPr>
          <w:rFonts w:asciiTheme="majorBidi" w:hAnsiTheme="majorBidi" w:cstheme="majorBidi"/>
          <w:b/>
          <w:bCs/>
          <w:sz w:val="24"/>
          <w:szCs w:val="24"/>
        </w:rPr>
        <w:t xml:space="preserve">Source: </w:t>
      </w:r>
      <w:r w:rsidRPr="00766F99">
        <w:rPr>
          <w:rFonts w:asciiTheme="majorBidi" w:hAnsiTheme="majorBidi" w:cstheme="majorBidi"/>
          <w:b/>
          <w:bCs/>
          <w:color w:val="222222"/>
          <w:sz w:val="24"/>
          <w:szCs w:val="24"/>
          <w:shd w:val="clear" w:color="auto" w:fill="FFFFFF"/>
        </w:rPr>
        <w:t xml:space="preserve">Nse.co.ke., </w:t>
      </w:r>
      <w:r w:rsidR="005E602E">
        <w:rPr>
          <w:rFonts w:asciiTheme="majorBidi" w:hAnsiTheme="majorBidi" w:cstheme="majorBidi"/>
          <w:b/>
          <w:bCs/>
          <w:color w:val="222222"/>
          <w:sz w:val="24"/>
          <w:szCs w:val="24"/>
          <w:shd w:val="clear" w:color="auto" w:fill="FFFFFF"/>
        </w:rPr>
        <w:t>(</w:t>
      </w:r>
      <w:r w:rsidRPr="00766F99">
        <w:rPr>
          <w:rFonts w:asciiTheme="majorBidi" w:hAnsiTheme="majorBidi" w:cstheme="majorBidi"/>
          <w:b/>
          <w:bCs/>
          <w:color w:val="222222"/>
          <w:sz w:val="24"/>
          <w:szCs w:val="24"/>
          <w:shd w:val="clear" w:color="auto" w:fill="FFFFFF"/>
        </w:rPr>
        <w:t>2019</w:t>
      </w:r>
      <w:r w:rsidRPr="00766F99">
        <w:rPr>
          <w:rFonts w:asciiTheme="majorBidi" w:hAnsiTheme="majorBidi" w:cstheme="majorBidi"/>
          <w:b/>
          <w:bCs/>
          <w:sz w:val="24"/>
          <w:szCs w:val="24"/>
        </w:rPr>
        <w:t>)</w:t>
      </w:r>
    </w:p>
    <w:p w14:paraId="16983E19" w14:textId="77777777" w:rsidR="00380620" w:rsidRDefault="00380620" w:rsidP="00A46ACE">
      <w:pPr>
        <w:rPr>
          <w:rFonts w:asciiTheme="majorBidi" w:hAnsiTheme="majorBidi" w:cstheme="majorBidi"/>
          <w:b/>
          <w:bCs/>
          <w:sz w:val="24"/>
          <w:szCs w:val="24"/>
        </w:rPr>
      </w:pPr>
    </w:p>
    <w:p w14:paraId="48B36C66" w14:textId="77777777" w:rsidR="00380620" w:rsidRDefault="00380620" w:rsidP="00A46ACE">
      <w:pPr>
        <w:rPr>
          <w:rFonts w:asciiTheme="majorBidi" w:hAnsiTheme="majorBidi" w:cstheme="majorBidi"/>
          <w:b/>
          <w:bCs/>
          <w:sz w:val="24"/>
          <w:szCs w:val="24"/>
        </w:rPr>
      </w:pPr>
    </w:p>
    <w:p w14:paraId="464B23EF" w14:textId="69930854" w:rsidR="00D94355" w:rsidRPr="00BC628B" w:rsidRDefault="00D94355" w:rsidP="00BC628B">
      <w:pPr>
        <w:pStyle w:val="Heading2"/>
        <w:rPr>
          <w:rFonts w:ascii="Times New Roman" w:hAnsi="Times New Roman" w:cs="Times New Roman"/>
          <w:b/>
          <w:color w:val="auto"/>
          <w:sz w:val="28"/>
          <w:szCs w:val="28"/>
        </w:rPr>
      </w:pPr>
      <w:bookmarkStart w:id="144" w:name="_Toc27579841"/>
      <w:r w:rsidRPr="00BC628B">
        <w:rPr>
          <w:rFonts w:ascii="Times New Roman" w:hAnsi="Times New Roman" w:cs="Times New Roman"/>
          <w:b/>
          <w:color w:val="auto"/>
          <w:sz w:val="24"/>
          <w:szCs w:val="24"/>
        </w:rPr>
        <w:t>Appendix 2</w:t>
      </w:r>
      <w:r w:rsidR="00A46ACE" w:rsidRPr="00BC628B">
        <w:rPr>
          <w:rFonts w:ascii="Times New Roman" w:hAnsi="Times New Roman" w:cs="Times New Roman"/>
          <w:b/>
          <w:color w:val="auto"/>
          <w:sz w:val="24"/>
          <w:szCs w:val="24"/>
        </w:rPr>
        <w:t>: Initial Research Paper Proposal</w:t>
      </w:r>
      <w:bookmarkEnd w:id="144"/>
    </w:p>
    <w:p w14:paraId="181AE01F" w14:textId="77777777" w:rsidR="00D94355" w:rsidRPr="00D94355" w:rsidRDefault="00D94355" w:rsidP="00D94355">
      <w:pPr>
        <w:rPr>
          <w:rFonts w:ascii="Times New Roman" w:hAnsi="Times New Roman" w:cs="Times New Roman"/>
          <w:b/>
          <w:sz w:val="24"/>
          <w:szCs w:val="24"/>
        </w:rPr>
      </w:pPr>
      <w:r w:rsidRPr="00D94355">
        <w:rPr>
          <w:rFonts w:ascii="Times New Roman" w:hAnsi="Times New Roman" w:cs="Times New Roman"/>
          <w:b/>
          <w:sz w:val="24"/>
          <w:szCs w:val="24"/>
        </w:rPr>
        <w:t xml:space="preserve">INTI International University </w:t>
      </w:r>
    </w:p>
    <w:p w14:paraId="5A14C70C" w14:textId="77777777" w:rsidR="00D94355" w:rsidRPr="00D94355" w:rsidRDefault="00D94355" w:rsidP="00D94355">
      <w:pPr>
        <w:rPr>
          <w:rFonts w:ascii="Times New Roman" w:hAnsi="Times New Roman" w:cs="Times New Roman"/>
          <w:b/>
          <w:sz w:val="24"/>
          <w:szCs w:val="24"/>
        </w:rPr>
      </w:pPr>
      <w:r w:rsidRPr="00D94355">
        <w:rPr>
          <w:rFonts w:ascii="Times New Roman" w:hAnsi="Times New Roman" w:cs="Times New Roman"/>
          <w:b/>
          <w:sz w:val="24"/>
          <w:szCs w:val="24"/>
        </w:rPr>
        <w:t>Master of Business Administration MGT7998</w:t>
      </w:r>
    </w:p>
    <w:p w14:paraId="791CA880" w14:textId="21B3DB7B" w:rsidR="00D94355" w:rsidRPr="00D94355" w:rsidRDefault="00D94355" w:rsidP="00D94355">
      <w:pPr>
        <w:rPr>
          <w:b/>
          <w:sz w:val="32"/>
          <w:szCs w:val="32"/>
        </w:rPr>
      </w:pPr>
      <w:r w:rsidRPr="00D94355">
        <w:rPr>
          <w:rFonts w:ascii="Times New Roman" w:hAnsi="Times New Roman" w:cs="Times New Roman"/>
          <w:b/>
          <w:sz w:val="24"/>
          <w:szCs w:val="24"/>
        </w:rPr>
        <w:t>Initial Research Paper Proposal</w:t>
      </w:r>
    </w:p>
    <w:tbl>
      <w:tblPr>
        <w:tblpPr w:leftFromText="180" w:rightFromText="180" w:vertAnchor="text" w:horzAnchor="margin" w:tblpY="175"/>
        <w:tblW w:w="99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260"/>
        <w:gridCol w:w="7655"/>
      </w:tblGrid>
      <w:tr w:rsidR="00D94355" w:rsidRPr="00D94355" w14:paraId="20C48CBE" w14:textId="77777777" w:rsidTr="00A84FFE">
        <w:trPr>
          <w:trHeight w:val="480"/>
        </w:trPr>
        <w:tc>
          <w:tcPr>
            <w:tcW w:w="2260" w:type="dxa"/>
            <w:tcBorders>
              <w:top w:val="single" w:sz="6" w:space="0" w:color="000000"/>
              <w:left w:val="single" w:sz="6" w:space="0" w:color="000000"/>
              <w:bottom w:val="single" w:sz="6" w:space="0" w:color="000000"/>
              <w:right w:val="single" w:sz="6" w:space="0" w:color="000000"/>
            </w:tcBorders>
            <w:vAlign w:val="center"/>
          </w:tcPr>
          <w:p w14:paraId="00085FBC" w14:textId="77777777" w:rsidR="00D94355" w:rsidRPr="00A84FFE" w:rsidRDefault="00D94355" w:rsidP="00D94355">
            <w:pPr>
              <w:rPr>
                <w:rFonts w:ascii="Times New Roman" w:hAnsi="Times New Roman" w:cs="Times New Roman"/>
                <w:sz w:val="20"/>
                <w:szCs w:val="20"/>
              </w:rPr>
            </w:pPr>
            <w:r w:rsidRPr="00A84FFE">
              <w:rPr>
                <w:rFonts w:ascii="Times New Roman" w:hAnsi="Times New Roman" w:cs="Times New Roman"/>
                <w:b/>
                <w:sz w:val="20"/>
                <w:szCs w:val="20"/>
              </w:rPr>
              <w:t>STUDENT NAME &amp; ID NO</w:t>
            </w:r>
          </w:p>
        </w:tc>
        <w:tc>
          <w:tcPr>
            <w:tcW w:w="7655" w:type="dxa"/>
            <w:tcBorders>
              <w:top w:val="single" w:sz="6" w:space="0" w:color="000000"/>
              <w:left w:val="single" w:sz="6" w:space="0" w:color="000000"/>
              <w:bottom w:val="single" w:sz="6" w:space="0" w:color="000000"/>
              <w:right w:val="single" w:sz="6" w:space="0" w:color="000000"/>
            </w:tcBorders>
          </w:tcPr>
          <w:p w14:paraId="5C4D6911" w14:textId="7DEFD6D8" w:rsidR="00D94355" w:rsidRPr="00D94355" w:rsidRDefault="00480305" w:rsidP="00480305">
            <w:pPr>
              <w:rPr>
                <w:rFonts w:ascii="Times New Roman" w:hAnsi="Times New Roman" w:cs="Times New Roman"/>
                <w:sz w:val="24"/>
                <w:szCs w:val="24"/>
              </w:rPr>
            </w:pPr>
            <w:r w:rsidRPr="00A84FFE">
              <w:rPr>
                <w:rFonts w:ascii="Times New Roman" w:hAnsi="Times New Roman" w:cs="Times New Roman"/>
                <w:b/>
                <w:sz w:val="20"/>
                <w:szCs w:val="20"/>
              </w:rPr>
              <w:t>JAWAHER SWALEH KARAMA TIMIMI</w:t>
            </w:r>
          </w:p>
        </w:tc>
      </w:tr>
      <w:tr w:rsidR="00D94355" w:rsidRPr="00D94355" w14:paraId="7CD58F70" w14:textId="77777777" w:rsidTr="00A84FFE">
        <w:tc>
          <w:tcPr>
            <w:tcW w:w="2260" w:type="dxa"/>
            <w:tcBorders>
              <w:top w:val="single" w:sz="6" w:space="0" w:color="000000"/>
              <w:left w:val="single" w:sz="6" w:space="0" w:color="000000"/>
              <w:bottom w:val="single" w:sz="6" w:space="0" w:color="000000"/>
              <w:right w:val="single" w:sz="6" w:space="0" w:color="000000"/>
            </w:tcBorders>
          </w:tcPr>
          <w:p w14:paraId="2F5814CA" w14:textId="77777777" w:rsidR="00D94355" w:rsidRPr="00A84FFE" w:rsidRDefault="00D94355" w:rsidP="00D94355">
            <w:pPr>
              <w:rPr>
                <w:rFonts w:ascii="Times New Roman" w:hAnsi="Times New Roman" w:cs="Times New Roman"/>
                <w:b/>
                <w:sz w:val="20"/>
                <w:szCs w:val="20"/>
              </w:rPr>
            </w:pPr>
            <w:r w:rsidRPr="00A84FFE">
              <w:rPr>
                <w:rFonts w:ascii="Times New Roman" w:hAnsi="Times New Roman" w:cs="Times New Roman"/>
                <w:b/>
                <w:sz w:val="20"/>
                <w:szCs w:val="20"/>
              </w:rPr>
              <w:t>BROAD AREA</w:t>
            </w:r>
          </w:p>
        </w:tc>
        <w:tc>
          <w:tcPr>
            <w:tcW w:w="7655" w:type="dxa"/>
            <w:tcBorders>
              <w:top w:val="single" w:sz="6" w:space="0" w:color="000000"/>
              <w:left w:val="single" w:sz="6" w:space="0" w:color="000000"/>
              <w:bottom w:val="single" w:sz="6" w:space="0" w:color="000000"/>
              <w:right w:val="single" w:sz="6" w:space="0" w:color="000000"/>
            </w:tcBorders>
          </w:tcPr>
          <w:p w14:paraId="612252F6" w14:textId="5A2C8903" w:rsidR="00D94355" w:rsidRPr="00D94355" w:rsidRDefault="00480305" w:rsidP="00D94355">
            <w:pPr>
              <w:rPr>
                <w:rFonts w:ascii="Times New Roman" w:hAnsi="Times New Roman" w:cs="Times New Roman"/>
                <w:sz w:val="24"/>
                <w:szCs w:val="24"/>
              </w:rPr>
            </w:pPr>
            <w:r>
              <w:rPr>
                <w:rFonts w:asciiTheme="majorBidi" w:hAnsiTheme="majorBidi" w:cstheme="majorBidi"/>
                <w:sz w:val="24"/>
                <w:szCs w:val="24"/>
              </w:rPr>
              <w:t>Finance</w:t>
            </w:r>
          </w:p>
        </w:tc>
      </w:tr>
      <w:tr w:rsidR="00D94355" w:rsidRPr="00D94355" w14:paraId="41A8B7B7" w14:textId="77777777" w:rsidTr="00D94355">
        <w:trPr>
          <w:trHeight w:val="300"/>
        </w:trPr>
        <w:tc>
          <w:tcPr>
            <w:tcW w:w="9915" w:type="dxa"/>
            <w:gridSpan w:val="2"/>
            <w:tcBorders>
              <w:top w:val="single" w:sz="6" w:space="0" w:color="000000"/>
              <w:left w:val="single" w:sz="6" w:space="0" w:color="000000"/>
              <w:bottom w:val="single" w:sz="6" w:space="0" w:color="000000"/>
              <w:right w:val="single" w:sz="6" w:space="0" w:color="000000"/>
            </w:tcBorders>
          </w:tcPr>
          <w:p w14:paraId="27ECC75B" w14:textId="77777777" w:rsidR="00D94355" w:rsidRPr="00A84FFE" w:rsidRDefault="00D94355" w:rsidP="00D94355">
            <w:pPr>
              <w:rPr>
                <w:rFonts w:ascii="Times New Roman" w:hAnsi="Times New Roman" w:cs="Times New Roman"/>
                <w:sz w:val="20"/>
                <w:szCs w:val="20"/>
              </w:rPr>
            </w:pPr>
          </w:p>
        </w:tc>
      </w:tr>
      <w:tr w:rsidR="00480305" w:rsidRPr="00D94355" w14:paraId="3CD3274C" w14:textId="77777777" w:rsidTr="00A84FFE">
        <w:trPr>
          <w:trHeight w:val="633"/>
        </w:trPr>
        <w:tc>
          <w:tcPr>
            <w:tcW w:w="2260" w:type="dxa"/>
            <w:tcBorders>
              <w:top w:val="single" w:sz="6" w:space="0" w:color="000000"/>
              <w:left w:val="single" w:sz="6" w:space="0" w:color="000000"/>
              <w:bottom w:val="single" w:sz="6" w:space="0" w:color="000000"/>
              <w:right w:val="single" w:sz="6" w:space="0" w:color="000000"/>
            </w:tcBorders>
          </w:tcPr>
          <w:p w14:paraId="009CB02A" w14:textId="77777777" w:rsidR="00480305" w:rsidRPr="00A84FFE" w:rsidRDefault="00480305" w:rsidP="00480305">
            <w:pPr>
              <w:spacing w:after="0"/>
              <w:rPr>
                <w:rFonts w:ascii="Times New Roman" w:hAnsi="Times New Roman" w:cs="Times New Roman"/>
                <w:b/>
                <w:sz w:val="20"/>
                <w:szCs w:val="20"/>
              </w:rPr>
            </w:pPr>
            <w:r w:rsidRPr="00A84FFE">
              <w:rPr>
                <w:rFonts w:ascii="Times New Roman" w:hAnsi="Times New Roman" w:cs="Times New Roman"/>
                <w:b/>
                <w:sz w:val="20"/>
                <w:szCs w:val="20"/>
              </w:rPr>
              <w:t xml:space="preserve">Concise Title  </w:t>
            </w:r>
          </w:p>
        </w:tc>
        <w:tc>
          <w:tcPr>
            <w:tcW w:w="7655" w:type="dxa"/>
            <w:tcBorders>
              <w:top w:val="single" w:sz="6" w:space="0" w:color="000000"/>
              <w:left w:val="single" w:sz="6" w:space="0" w:color="000000"/>
              <w:bottom w:val="single" w:sz="6" w:space="0" w:color="000000"/>
              <w:right w:val="single" w:sz="6" w:space="0" w:color="000000"/>
            </w:tcBorders>
          </w:tcPr>
          <w:p w14:paraId="161EF614" w14:textId="1F124F1A" w:rsidR="00480305" w:rsidRPr="00D94355" w:rsidRDefault="00480305" w:rsidP="00480305">
            <w:pPr>
              <w:spacing w:after="0"/>
              <w:rPr>
                <w:rFonts w:ascii="Times New Roman" w:hAnsi="Times New Roman" w:cs="Times New Roman"/>
                <w:sz w:val="24"/>
                <w:szCs w:val="24"/>
              </w:rPr>
            </w:pPr>
            <w:r w:rsidRPr="00480305">
              <w:rPr>
                <w:rFonts w:asciiTheme="majorBidi" w:hAnsiTheme="majorBidi" w:cstheme="majorBidi"/>
                <w:bCs/>
              </w:rPr>
              <w:t>Effects of Public Financial Management on financial performance in county governments (a case study of Mombasa County Government)</w:t>
            </w:r>
          </w:p>
        </w:tc>
      </w:tr>
      <w:tr w:rsidR="00480305" w:rsidRPr="00D94355" w14:paraId="37A3F1F4" w14:textId="77777777" w:rsidTr="00A84FFE">
        <w:tc>
          <w:tcPr>
            <w:tcW w:w="2260" w:type="dxa"/>
            <w:tcBorders>
              <w:top w:val="single" w:sz="6" w:space="0" w:color="000000"/>
              <w:left w:val="single" w:sz="6" w:space="0" w:color="000000"/>
              <w:bottom w:val="single" w:sz="6" w:space="0" w:color="000000"/>
              <w:right w:val="single" w:sz="6" w:space="0" w:color="000000"/>
            </w:tcBorders>
          </w:tcPr>
          <w:p w14:paraId="0B975F46" w14:textId="77777777" w:rsidR="00480305" w:rsidRPr="00A84FFE" w:rsidRDefault="00480305" w:rsidP="00480305">
            <w:pPr>
              <w:pStyle w:val="BodyText"/>
              <w:rPr>
                <w:rFonts w:ascii="Times New Roman" w:hAnsi="Times New Roman"/>
                <w:b/>
                <w:sz w:val="20"/>
              </w:rPr>
            </w:pPr>
            <w:r w:rsidRPr="00A84FFE">
              <w:rPr>
                <w:rFonts w:ascii="Times New Roman" w:hAnsi="Times New Roman"/>
                <w:b/>
                <w:sz w:val="20"/>
              </w:rPr>
              <w:t xml:space="preserve">Problem Definition  </w:t>
            </w:r>
          </w:p>
        </w:tc>
        <w:tc>
          <w:tcPr>
            <w:tcW w:w="7655" w:type="dxa"/>
            <w:tcBorders>
              <w:top w:val="single" w:sz="6" w:space="0" w:color="000000"/>
              <w:left w:val="single" w:sz="6" w:space="0" w:color="000000"/>
              <w:bottom w:val="single" w:sz="6" w:space="0" w:color="000000"/>
              <w:right w:val="single" w:sz="6" w:space="0" w:color="000000"/>
            </w:tcBorders>
          </w:tcPr>
          <w:p w14:paraId="64DF9670" w14:textId="77777777" w:rsidR="00480305" w:rsidRPr="00480305" w:rsidRDefault="00480305" w:rsidP="00480305">
            <w:pPr>
              <w:jc w:val="both"/>
              <w:rPr>
                <w:color w:val="000000"/>
                <w:sz w:val="20"/>
                <w:szCs w:val="20"/>
              </w:rPr>
            </w:pPr>
            <w:r w:rsidRPr="00480305">
              <w:rPr>
                <w:rFonts w:asciiTheme="majorBidi" w:hAnsiTheme="majorBidi" w:cstheme="majorBidi"/>
                <w:bCs/>
                <w:sz w:val="20"/>
                <w:szCs w:val="20"/>
              </w:rPr>
              <w:t xml:space="preserve">Kenyan Public sector was rampant with corruption and inefficiencies and therefore poor management of public finance and is because accounting procedures and budget implementations were hand-operated and, in some instances, helped by inadequately and very historic supported software applications (Hashim and Piatti, 2016). The accompanying absence of timely and dependable expenditure and revenue data for budget planning, expenditure control, reporting and monitoring has impacted negatively on budget management. The consequence has been unsuccessfully administered responsibility of government resources, frequently following in a huge build-up of arrears, raising up interest rates, excessive borrowing, and crowding out investment of private sector; and misallocation of resources, undermining the efficiency and effectiveness of delivery services </w:t>
            </w:r>
            <w:r w:rsidRPr="00480305">
              <w:rPr>
                <w:rFonts w:ascii="Times New Roman" w:hAnsi="Times New Roman" w:cs="Times New Roman"/>
                <w:color w:val="000000"/>
                <w:sz w:val="20"/>
                <w:szCs w:val="20"/>
              </w:rPr>
              <w:t>(Mburu and Ngahu, 2016).</w:t>
            </w:r>
          </w:p>
          <w:p w14:paraId="709B392D" w14:textId="77777777" w:rsidR="00480305" w:rsidRPr="00480305" w:rsidRDefault="00480305" w:rsidP="00480305">
            <w:pPr>
              <w:jc w:val="both"/>
              <w:rPr>
                <w:rFonts w:asciiTheme="majorBidi" w:hAnsiTheme="majorBidi" w:cstheme="majorBidi"/>
                <w:bCs/>
                <w:sz w:val="20"/>
                <w:szCs w:val="20"/>
              </w:rPr>
            </w:pPr>
            <w:r w:rsidRPr="00480305">
              <w:rPr>
                <w:rFonts w:asciiTheme="majorBidi" w:hAnsiTheme="majorBidi" w:cstheme="majorBidi"/>
                <w:bCs/>
                <w:sz w:val="20"/>
                <w:szCs w:val="20"/>
              </w:rPr>
              <w:t xml:space="preserve">The commencement of an advanced information system such as IFMIS (Integrated Financial Management Information System) essentially modifies the way performance are operated and, therefore, needs am operation that is carefully managed in order to prevent possible resistance of staff. This procedure leads in the formation of a new organizational culture, that is, alterations in the way the company operates declare (Combaz, 2015). </w:t>
            </w:r>
          </w:p>
          <w:p w14:paraId="1FEF3A80" w14:textId="0DED622C" w:rsidR="00480305" w:rsidRPr="00480305" w:rsidRDefault="00480305" w:rsidP="00480305">
            <w:pPr>
              <w:jc w:val="both"/>
              <w:rPr>
                <w:rFonts w:ascii="Times New Roman" w:hAnsi="Times New Roman" w:cs="Times New Roman"/>
                <w:sz w:val="20"/>
                <w:szCs w:val="20"/>
              </w:rPr>
            </w:pPr>
            <w:r w:rsidRPr="00480305">
              <w:rPr>
                <w:rFonts w:asciiTheme="majorBidi" w:hAnsiTheme="majorBidi" w:cstheme="majorBidi"/>
                <w:bCs/>
                <w:sz w:val="20"/>
                <w:szCs w:val="20"/>
              </w:rPr>
              <w:t xml:space="preserve">Hashim (2014) stated that IFMIS can enable capital budget integration and boost accounting and reporting systems, only if the classification of the country’s accounts and budgets is reformed and the system is adapted and phased appropriately to a country’s potential to sustain it. This leads to my research question; what the effect of public financial management on financial performance of Mombasa County in Kenya is. </w:t>
            </w:r>
          </w:p>
        </w:tc>
      </w:tr>
      <w:tr w:rsidR="00480305" w:rsidRPr="00D94355" w14:paraId="78FDDA01" w14:textId="77777777" w:rsidTr="00A84FFE">
        <w:trPr>
          <w:trHeight w:val="1120"/>
        </w:trPr>
        <w:tc>
          <w:tcPr>
            <w:tcW w:w="2260" w:type="dxa"/>
            <w:tcBorders>
              <w:top w:val="single" w:sz="6" w:space="0" w:color="000000"/>
              <w:left w:val="single" w:sz="6" w:space="0" w:color="000000"/>
              <w:bottom w:val="single" w:sz="6" w:space="0" w:color="000000"/>
              <w:right w:val="single" w:sz="6" w:space="0" w:color="000000"/>
            </w:tcBorders>
          </w:tcPr>
          <w:p w14:paraId="2785F2FC" w14:textId="77777777" w:rsidR="00480305" w:rsidRPr="00A84FFE" w:rsidRDefault="00480305" w:rsidP="00A84FFE">
            <w:pPr>
              <w:spacing w:after="0"/>
              <w:rPr>
                <w:rFonts w:ascii="Times New Roman" w:hAnsi="Times New Roman" w:cs="Times New Roman"/>
                <w:sz w:val="20"/>
                <w:szCs w:val="20"/>
              </w:rPr>
            </w:pPr>
            <w:r w:rsidRPr="00A84FFE">
              <w:rPr>
                <w:rFonts w:ascii="Times New Roman" w:hAnsi="Times New Roman" w:cs="Times New Roman"/>
                <w:b/>
                <w:sz w:val="20"/>
                <w:szCs w:val="20"/>
              </w:rPr>
              <w:t xml:space="preserve">Research Questions OR Objectives </w:t>
            </w:r>
          </w:p>
        </w:tc>
        <w:tc>
          <w:tcPr>
            <w:tcW w:w="7655" w:type="dxa"/>
            <w:tcBorders>
              <w:top w:val="single" w:sz="6" w:space="0" w:color="000000"/>
              <w:left w:val="single" w:sz="6" w:space="0" w:color="000000"/>
              <w:bottom w:val="single" w:sz="6" w:space="0" w:color="000000"/>
              <w:right w:val="single" w:sz="6" w:space="0" w:color="000000"/>
            </w:tcBorders>
          </w:tcPr>
          <w:p w14:paraId="07565E4A" w14:textId="77777777" w:rsidR="00480305" w:rsidRPr="00A84FFE" w:rsidRDefault="00480305" w:rsidP="00A84FFE">
            <w:pPr>
              <w:spacing w:after="0" w:line="276" w:lineRule="auto"/>
              <w:rPr>
                <w:rFonts w:asciiTheme="majorBidi" w:hAnsiTheme="majorBidi" w:cstheme="majorBidi"/>
                <w:bCs/>
                <w:sz w:val="20"/>
                <w:szCs w:val="20"/>
              </w:rPr>
            </w:pPr>
            <w:r w:rsidRPr="00A84FFE">
              <w:rPr>
                <w:rFonts w:asciiTheme="majorBidi" w:hAnsiTheme="majorBidi" w:cstheme="majorBidi"/>
                <w:bCs/>
                <w:sz w:val="20"/>
                <w:szCs w:val="20"/>
              </w:rPr>
              <w:t xml:space="preserve">The general objective was to determine the effect of effective public financial management on financial performance of Mombasa County. </w:t>
            </w:r>
          </w:p>
          <w:p w14:paraId="5075509D" w14:textId="77777777" w:rsidR="00480305" w:rsidRPr="00A84FFE" w:rsidRDefault="00480305" w:rsidP="00A84FFE">
            <w:pPr>
              <w:spacing w:after="0"/>
              <w:jc w:val="both"/>
              <w:rPr>
                <w:rFonts w:asciiTheme="majorBidi" w:hAnsiTheme="majorBidi" w:cstheme="majorBidi"/>
                <w:bCs/>
                <w:sz w:val="20"/>
                <w:szCs w:val="20"/>
              </w:rPr>
            </w:pPr>
            <w:r w:rsidRPr="00A84FFE">
              <w:rPr>
                <w:rFonts w:asciiTheme="majorBidi" w:hAnsiTheme="majorBidi" w:cstheme="majorBidi"/>
                <w:bCs/>
                <w:sz w:val="20"/>
                <w:szCs w:val="20"/>
              </w:rPr>
              <w:t>To establish the effect of budgeting reforms on financial performance of Mombasa County.</w:t>
            </w:r>
          </w:p>
          <w:p w14:paraId="3FA27B24" w14:textId="77777777" w:rsidR="00480305" w:rsidRPr="00A84FFE" w:rsidRDefault="00480305" w:rsidP="00A84FFE">
            <w:pPr>
              <w:spacing w:after="0"/>
              <w:jc w:val="both"/>
              <w:rPr>
                <w:rFonts w:asciiTheme="majorBidi" w:hAnsiTheme="majorBidi" w:cstheme="majorBidi"/>
                <w:bCs/>
                <w:sz w:val="20"/>
                <w:szCs w:val="20"/>
              </w:rPr>
            </w:pPr>
            <w:r w:rsidRPr="00A84FFE">
              <w:rPr>
                <w:rFonts w:asciiTheme="majorBidi" w:hAnsiTheme="majorBidi" w:cstheme="majorBidi"/>
                <w:bCs/>
                <w:sz w:val="20"/>
                <w:szCs w:val="20"/>
              </w:rPr>
              <w:t xml:space="preserve">To establish the effect of implementation of IFMIS on financial performance of Mombasa County. </w:t>
            </w:r>
          </w:p>
          <w:p w14:paraId="575AE154" w14:textId="77777777" w:rsidR="00480305" w:rsidRPr="00A84FFE" w:rsidRDefault="00480305" w:rsidP="00A84FFE">
            <w:pPr>
              <w:spacing w:after="0"/>
              <w:jc w:val="both"/>
              <w:rPr>
                <w:rFonts w:asciiTheme="majorBidi" w:hAnsiTheme="majorBidi" w:cstheme="majorBidi"/>
                <w:bCs/>
                <w:sz w:val="20"/>
                <w:szCs w:val="20"/>
              </w:rPr>
            </w:pPr>
            <w:r w:rsidRPr="00A84FFE">
              <w:rPr>
                <w:rFonts w:asciiTheme="majorBidi" w:hAnsiTheme="majorBidi" w:cstheme="majorBidi"/>
                <w:bCs/>
                <w:sz w:val="20"/>
                <w:szCs w:val="20"/>
              </w:rPr>
              <w:t>To establish the effect of enhanced tax revenue administration on public financial management financial performance of Mombasa County.</w:t>
            </w:r>
          </w:p>
          <w:p w14:paraId="548337C5" w14:textId="77777777" w:rsidR="00480305" w:rsidRPr="00A84FFE" w:rsidRDefault="00480305" w:rsidP="00A84FFE">
            <w:pPr>
              <w:pStyle w:val="Heading2"/>
              <w:spacing w:line="240" w:lineRule="auto"/>
              <w:jc w:val="both"/>
              <w:rPr>
                <w:rFonts w:ascii="Times New Roman" w:hAnsi="Times New Roman" w:cs="Times New Roman"/>
                <w:color w:val="auto"/>
                <w:sz w:val="20"/>
                <w:szCs w:val="20"/>
              </w:rPr>
            </w:pPr>
            <w:bookmarkStart w:id="145" w:name="_Toc27427830"/>
            <w:bookmarkStart w:id="146" w:name="_Toc27579842"/>
            <w:r w:rsidRPr="00A84FFE">
              <w:rPr>
                <w:rFonts w:ascii="Times New Roman" w:hAnsi="Times New Roman" w:cs="Times New Roman"/>
                <w:color w:val="auto"/>
                <w:sz w:val="20"/>
                <w:szCs w:val="20"/>
              </w:rPr>
              <w:t>Research Questions:</w:t>
            </w:r>
            <w:bookmarkEnd w:id="145"/>
            <w:bookmarkEnd w:id="146"/>
          </w:p>
          <w:p w14:paraId="48FF5BC1" w14:textId="77777777" w:rsidR="00480305" w:rsidRPr="00A84FFE" w:rsidRDefault="00480305" w:rsidP="00A84FFE">
            <w:pPr>
              <w:pStyle w:val="ListParagraph"/>
              <w:numPr>
                <w:ilvl w:val="0"/>
                <w:numId w:val="7"/>
              </w:numPr>
              <w:spacing w:before="240" w:after="0" w:line="240" w:lineRule="auto"/>
              <w:jc w:val="both"/>
              <w:rPr>
                <w:rFonts w:asciiTheme="majorBidi" w:hAnsiTheme="majorBidi" w:cstheme="majorBidi"/>
                <w:bCs/>
                <w:sz w:val="20"/>
                <w:szCs w:val="20"/>
              </w:rPr>
            </w:pPr>
            <w:r w:rsidRPr="00A84FFE">
              <w:rPr>
                <w:rFonts w:asciiTheme="majorBidi" w:hAnsiTheme="majorBidi" w:cstheme="majorBidi"/>
                <w:bCs/>
                <w:sz w:val="20"/>
                <w:szCs w:val="20"/>
              </w:rPr>
              <w:t>What is the effect of budgeting reforms on financial performance of Mombasa County?</w:t>
            </w:r>
          </w:p>
          <w:p w14:paraId="076FD721" w14:textId="77777777" w:rsidR="00480305" w:rsidRPr="00A84FFE" w:rsidRDefault="00480305" w:rsidP="00A84FFE">
            <w:pPr>
              <w:pStyle w:val="ListParagraph"/>
              <w:numPr>
                <w:ilvl w:val="0"/>
                <w:numId w:val="7"/>
              </w:numPr>
              <w:spacing w:before="240" w:after="0" w:line="240" w:lineRule="auto"/>
              <w:jc w:val="both"/>
              <w:rPr>
                <w:rFonts w:asciiTheme="majorBidi" w:hAnsiTheme="majorBidi" w:cstheme="majorBidi"/>
                <w:bCs/>
                <w:sz w:val="20"/>
                <w:szCs w:val="20"/>
              </w:rPr>
            </w:pPr>
            <w:r w:rsidRPr="00A84FFE">
              <w:rPr>
                <w:rFonts w:asciiTheme="majorBidi" w:hAnsiTheme="majorBidi" w:cstheme="majorBidi"/>
                <w:bCs/>
                <w:sz w:val="20"/>
                <w:szCs w:val="20"/>
              </w:rPr>
              <w:t xml:space="preserve">What is the effect of implementation of IFMIS on financial performance of Mombasa County? </w:t>
            </w:r>
          </w:p>
          <w:p w14:paraId="58C7831D" w14:textId="689CC28F" w:rsidR="00480305" w:rsidRPr="00A84FFE" w:rsidRDefault="00480305" w:rsidP="00A84FFE">
            <w:pPr>
              <w:pStyle w:val="ListParagraph"/>
              <w:numPr>
                <w:ilvl w:val="0"/>
                <w:numId w:val="7"/>
              </w:numPr>
              <w:spacing w:after="0" w:line="276" w:lineRule="auto"/>
              <w:rPr>
                <w:rFonts w:ascii="Times New Roman" w:hAnsi="Times New Roman" w:cs="Times New Roman"/>
                <w:sz w:val="20"/>
                <w:szCs w:val="20"/>
              </w:rPr>
            </w:pPr>
            <w:r w:rsidRPr="00A84FFE">
              <w:rPr>
                <w:rFonts w:asciiTheme="majorBidi" w:hAnsiTheme="majorBidi" w:cstheme="majorBidi"/>
                <w:bCs/>
                <w:sz w:val="20"/>
                <w:szCs w:val="20"/>
              </w:rPr>
              <w:lastRenderedPageBreak/>
              <w:t>What is the effect of enhanced tax revenue administration on financial performance of Mombasa County?</w:t>
            </w:r>
          </w:p>
        </w:tc>
      </w:tr>
      <w:tr w:rsidR="00A84FFE" w:rsidRPr="00D94355" w14:paraId="4EC2B77D" w14:textId="77777777" w:rsidTr="00A84FFE">
        <w:tc>
          <w:tcPr>
            <w:tcW w:w="2260" w:type="dxa"/>
            <w:tcBorders>
              <w:top w:val="single" w:sz="6" w:space="0" w:color="000000"/>
              <w:left w:val="single" w:sz="6" w:space="0" w:color="000000"/>
              <w:bottom w:val="single" w:sz="6" w:space="0" w:color="000000"/>
              <w:right w:val="single" w:sz="6" w:space="0" w:color="000000"/>
            </w:tcBorders>
          </w:tcPr>
          <w:p w14:paraId="3DA15CD6" w14:textId="77777777" w:rsidR="00A84FFE" w:rsidRPr="00A84FFE" w:rsidRDefault="00A84FFE" w:rsidP="00A84FFE">
            <w:pPr>
              <w:spacing w:after="0"/>
              <w:rPr>
                <w:rFonts w:ascii="Times New Roman" w:hAnsi="Times New Roman" w:cs="Times New Roman"/>
                <w:b/>
                <w:sz w:val="20"/>
                <w:szCs w:val="20"/>
              </w:rPr>
            </w:pPr>
            <w:r w:rsidRPr="00A84FFE">
              <w:rPr>
                <w:rFonts w:ascii="Times New Roman" w:hAnsi="Times New Roman" w:cs="Times New Roman"/>
                <w:b/>
                <w:sz w:val="20"/>
                <w:szCs w:val="20"/>
              </w:rPr>
              <w:lastRenderedPageBreak/>
              <w:t xml:space="preserve">Scope of study  </w:t>
            </w:r>
          </w:p>
        </w:tc>
        <w:tc>
          <w:tcPr>
            <w:tcW w:w="7655" w:type="dxa"/>
            <w:tcBorders>
              <w:top w:val="single" w:sz="6" w:space="0" w:color="000000"/>
              <w:left w:val="single" w:sz="6" w:space="0" w:color="000000"/>
              <w:bottom w:val="single" w:sz="6" w:space="0" w:color="000000"/>
              <w:right w:val="single" w:sz="6" w:space="0" w:color="000000"/>
            </w:tcBorders>
          </w:tcPr>
          <w:p w14:paraId="72735CF9" w14:textId="042AF3D4" w:rsidR="00A84FFE" w:rsidRPr="00A84FFE" w:rsidRDefault="00A84FFE" w:rsidP="00A84FFE">
            <w:pPr>
              <w:spacing w:after="0"/>
              <w:rPr>
                <w:rFonts w:ascii="Times New Roman" w:hAnsi="Times New Roman" w:cs="Times New Roman"/>
                <w:sz w:val="20"/>
                <w:szCs w:val="20"/>
              </w:rPr>
            </w:pPr>
            <w:r w:rsidRPr="00A84FFE">
              <w:rPr>
                <w:rFonts w:asciiTheme="majorBidi" w:hAnsiTheme="majorBidi" w:cstheme="majorBidi"/>
                <w:sz w:val="20"/>
                <w:szCs w:val="20"/>
              </w:rPr>
              <w:t>The research focus is aimed in establishing the effect of effective budgeting, enhance revenue collection, revision of procurement laws and IFMIS effect also it investigated the effect of practices such as accounting, financial reporting, fix asset management and financial planning on financial performance of Mombasa County in Kenya. The geographic focus of the study will be conducted in Kenya, specifically in Mombasa. The sample size of the study comprises of 50 employees. The unit of analysis focus of the study, targets employees in finance department section from Mombasa County Government that includes at public works department, budgeting and internal audits and financial reporting where the financial systems are in use. A quantitative method of approach will be utilised for research methodology, and descriptive and inferential statistics will be used to present findings into frequencies and percentages.</w:t>
            </w:r>
          </w:p>
        </w:tc>
      </w:tr>
      <w:tr w:rsidR="00A84FFE" w:rsidRPr="00D94355" w14:paraId="67A528B0" w14:textId="77777777" w:rsidTr="00A84FFE">
        <w:trPr>
          <w:trHeight w:val="1020"/>
        </w:trPr>
        <w:tc>
          <w:tcPr>
            <w:tcW w:w="2260" w:type="dxa"/>
            <w:tcBorders>
              <w:top w:val="single" w:sz="6" w:space="0" w:color="000000"/>
              <w:left w:val="single" w:sz="6" w:space="0" w:color="000000"/>
              <w:bottom w:val="single" w:sz="4" w:space="0" w:color="auto"/>
              <w:right w:val="single" w:sz="6" w:space="0" w:color="000000"/>
            </w:tcBorders>
          </w:tcPr>
          <w:p w14:paraId="1F061A24" w14:textId="77777777" w:rsidR="00A84FFE" w:rsidRPr="00A84FFE" w:rsidRDefault="00A84FFE" w:rsidP="00A84FFE">
            <w:pPr>
              <w:spacing w:after="0"/>
              <w:rPr>
                <w:rFonts w:ascii="Times New Roman" w:hAnsi="Times New Roman" w:cs="Times New Roman"/>
                <w:b/>
                <w:sz w:val="20"/>
                <w:szCs w:val="20"/>
              </w:rPr>
            </w:pPr>
            <w:r w:rsidRPr="00A84FFE">
              <w:rPr>
                <w:rFonts w:ascii="Times New Roman" w:hAnsi="Times New Roman" w:cs="Times New Roman"/>
                <w:b/>
                <w:sz w:val="20"/>
                <w:szCs w:val="20"/>
              </w:rPr>
              <w:t xml:space="preserve">Significance of the Research  </w:t>
            </w:r>
          </w:p>
        </w:tc>
        <w:tc>
          <w:tcPr>
            <w:tcW w:w="7655" w:type="dxa"/>
            <w:tcBorders>
              <w:top w:val="single" w:sz="6" w:space="0" w:color="000000"/>
              <w:left w:val="single" w:sz="6" w:space="0" w:color="000000"/>
              <w:bottom w:val="single" w:sz="6" w:space="0" w:color="000000"/>
              <w:right w:val="single" w:sz="6" w:space="0" w:color="000000"/>
            </w:tcBorders>
          </w:tcPr>
          <w:p w14:paraId="7ED8B67F" w14:textId="77777777" w:rsidR="00A84FFE" w:rsidRPr="00A84FFE" w:rsidRDefault="00A84FFE" w:rsidP="00A84FFE">
            <w:pPr>
              <w:spacing w:after="0"/>
              <w:ind w:right="27"/>
              <w:jc w:val="both"/>
              <w:rPr>
                <w:rFonts w:asciiTheme="majorBidi" w:hAnsiTheme="majorBidi" w:cstheme="majorBidi"/>
                <w:bCs/>
                <w:sz w:val="20"/>
                <w:szCs w:val="20"/>
              </w:rPr>
            </w:pPr>
            <w:r w:rsidRPr="00A84FFE">
              <w:rPr>
                <w:rFonts w:asciiTheme="majorBidi" w:hAnsiTheme="majorBidi" w:cstheme="majorBidi"/>
                <w:bCs/>
                <w:sz w:val="20"/>
                <w:szCs w:val="20"/>
              </w:rPr>
              <w:t xml:space="preserve">The government might be interested in the study as it will enable them to form a basis for formulation of financial policies in the country as well as improve it potential to administer on its main concerns by ensuring the most effective and efficient use of public funds in government owned institutions. </w:t>
            </w:r>
          </w:p>
          <w:p w14:paraId="5ADE25F7" w14:textId="77777777" w:rsidR="00A84FFE" w:rsidRPr="00A84FFE" w:rsidRDefault="00A84FFE" w:rsidP="00A84FFE">
            <w:pPr>
              <w:spacing w:after="0"/>
              <w:ind w:right="27"/>
              <w:jc w:val="both"/>
              <w:rPr>
                <w:rFonts w:asciiTheme="majorBidi" w:hAnsiTheme="majorBidi" w:cstheme="majorBidi"/>
                <w:bCs/>
                <w:sz w:val="20"/>
                <w:szCs w:val="20"/>
              </w:rPr>
            </w:pPr>
            <w:r w:rsidRPr="00A84FFE">
              <w:rPr>
                <w:rFonts w:asciiTheme="majorBidi" w:hAnsiTheme="majorBidi" w:cstheme="majorBidi"/>
                <w:bCs/>
                <w:sz w:val="20"/>
                <w:szCs w:val="20"/>
              </w:rPr>
              <w:t xml:space="preserve">Scholars and academicians may find the study useful as it will form the basis upon which further impact of the PFM on financial performance. </w:t>
            </w:r>
          </w:p>
          <w:p w14:paraId="4825A7DA" w14:textId="17634A14" w:rsidR="00A84FFE" w:rsidRPr="00A84FFE" w:rsidRDefault="00A84FFE" w:rsidP="00A84FFE">
            <w:pPr>
              <w:spacing w:after="0"/>
              <w:rPr>
                <w:rFonts w:ascii="Times New Roman" w:hAnsi="Times New Roman" w:cs="Times New Roman"/>
                <w:sz w:val="20"/>
                <w:szCs w:val="20"/>
              </w:rPr>
            </w:pPr>
            <w:r w:rsidRPr="00A84FFE">
              <w:rPr>
                <w:rFonts w:asciiTheme="majorBidi" w:hAnsiTheme="majorBidi" w:cstheme="majorBidi"/>
                <w:bCs/>
                <w:sz w:val="20"/>
                <w:szCs w:val="20"/>
              </w:rPr>
              <w:t>International donors and partners will benefit from the study by being able to access and collect data relating to the effect of public financial management on financial performance, hence being able to review their terms and conditions in terms of future expectation.</w:t>
            </w:r>
            <w:r w:rsidRPr="00A84FFE">
              <w:rPr>
                <w:sz w:val="20"/>
                <w:szCs w:val="20"/>
              </w:rPr>
              <w:t xml:space="preserve">    </w:t>
            </w:r>
          </w:p>
        </w:tc>
      </w:tr>
      <w:tr w:rsidR="00A84FFE" w:rsidRPr="00D94355" w14:paraId="2A227FE8" w14:textId="77777777" w:rsidTr="00A84FFE">
        <w:trPr>
          <w:trHeight w:val="597"/>
        </w:trPr>
        <w:tc>
          <w:tcPr>
            <w:tcW w:w="2260" w:type="dxa"/>
            <w:tcBorders>
              <w:top w:val="single" w:sz="6" w:space="0" w:color="000000"/>
              <w:left w:val="single" w:sz="6" w:space="0" w:color="000000"/>
              <w:bottom w:val="single" w:sz="4" w:space="0" w:color="auto"/>
              <w:right w:val="single" w:sz="6" w:space="0" w:color="000000"/>
            </w:tcBorders>
          </w:tcPr>
          <w:p w14:paraId="4616E79E" w14:textId="77777777" w:rsidR="00A84FFE" w:rsidRPr="00A84FFE" w:rsidRDefault="00A84FFE" w:rsidP="00A84FFE">
            <w:pPr>
              <w:spacing w:after="0"/>
              <w:rPr>
                <w:rFonts w:ascii="Times New Roman" w:hAnsi="Times New Roman" w:cs="Times New Roman"/>
                <w:b/>
                <w:sz w:val="20"/>
                <w:szCs w:val="20"/>
              </w:rPr>
            </w:pPr>
            <w:r w:rsidRPr="00A84FFE">
              <w:rPr>
                <w:rFonts w:ascii="Times New Roman" w:hAnsi="Times New Roman" w:cs="Times New Roman"/>
                <w:b/>
                <w:sz w:val="20"/>
                <w:szCs w:val="20"/>
              </w:rPr>
              <w:t xml:space="preserve">Literature Review </w:t>
            </w:r>
          </w:p>
        </w:tc>
        <w:tc>
          <w:tcPr>
            <w:tcW w:w="7655" w:type="dxa"/>
            <w:tcBorders>
              <w:top w:val="single" w:sz="6" w:space="0" w:color="000000"/>
              <w:left w:val="single" w:sz="6" w:space="0" w:color="000000"/>
              <w:bottom w:val="single" w:sz="6" w:space="0" w:color="000000"/>
              <w:right w:val="single" w:sz="6" w:space="0" w:color="000000"/>
            </w:tcBorders>
          </w:tcPr>
          <w:p w14:paraId="571D9078"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This section highlights the following theories: Institutional theory was developed by (Fernando and Lawrence, 2014) and states that an organization is functioned and designed to encounter social expectations in so far as its operations are recognizable to the public.</w:t>
            </w:r>
          </w:p>
          <w:p w14:paraId="243C3612"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 xml:space="preserve">In tandem with institutional-centric theory, Muzaale (2016) stated that financial regulations indeed mitigate moral hazard, and as such address the issues of transparency and accountability. </w:t>
            </w:r>
          </w:p>
          <w:p w14:paraId="34F30849"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The Agency theory identifies the insufficient information about the interests, work performance or relationship of the agent expressed as moral hazard and adverse selection.</w:t>
            </w:r>
          </w:p>
          <w:p w14:paraId="6A91B7C0" w14:textId="77777777" w:rsidR="00A84FFE" w:rsidRPr="00A84FFE" w:rsidRDefault="00A84FFE" w:rsidP="00A84FFE">
            <w:pPr>
              <w:tabs>
                <w:tab w:val="left" w:pos="2475"/>
              </w:tabs>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 xml:space="preserve">A concise review of literature includes: Implementation of IFMIS (Integrated Financial Management Information System) whereby Lundu and Shale (2015) holds the view that an IFMIS can enhance public financial management in several ways, but in general it aims to boost credibility and confidence of the budget through greater transparency and  comprehensiveness of information. </w:t>
            </w:r>
          </w:p>
          <w:p w14:paraId="73433BC8" w14:textId="77777777" w:rsidR="00A84FFE" w:rsidRPr="00A84FFE" w:rsidRDefault="00A84FFE" w:rsidP="00A84FFE">
            <w:pPr>
              <w:tabs>
                <w:tab w:val="left" w:pos="2475"/>
              </w:tabs>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 xml:space="preserve">Tax revenue administration whereby according to (Dabla-Norris </w:t>
            </w:r>
            <w:r w:rsidRPr="00A84FFE">
              <w:rPr>
                <w:rFonts w:asciiTheme="majorBidi" w:eastAsia="Calibri" w:hAnsiTheme="majorBidi" w:cstheme="majorBidi"/>
                <w:i/>
                <w:iCs/>
                <w:color w:val="000000"/>
                <w:sz w:val="20"/>
                <w:szCs w:val="20"/>
              </w:rPr>
              <w:t>et al</w:t>
            </w:r>
            <w:r w:rsidRPr="00A84FFE">
              <w:rPr>
                <w:rFonts w:asciiTheme="majorBidi" w:eastAsia="Calibri" w:hAnsiTheme="majorBidi" w:cstheme="majorBidi"/>
                <w:color w:val="000000"/>
                <w:sz w:val="20"/>
                <w:szCs w:val="20"/>
              </w:rPr>
              <w:t>., 2017) a strong County revenues base is essential for the sustainability of decentralization programmes.</w:t>
            </w:r>
          </w:p>
          <w:p w14:paraId="75594B3C" w14:textId="77777777" w:rsidR="00A84FFE" w:rsidRPr="00A84FFE" w:rsidRDefault="00A84FFE" w:rsidP="00A84FFE">
            <w:pPr>
              <w:tabs>
                <w:tab w:val="left" w:pos="2475"/>
              </w:tabs>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Budgeting reforms: Pimpong and Laryea (2016) studied on the obstacles faced at (NSSF) National social security fund on budgeting. Th motive of the research was to determine the problems of budgeting process and the obstacles looked on to by an organization when drawing up a budget and how the organization can productively face the budgeting challenges.</w:t>
            </w:r>
          </w:p>
          <w:p w14:paraId="7DA82611"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 xml:space="preserve">Hypothesis: </w:t>
            </w:r>
          </w:p>
          <w:p w14:paraId="36C96252"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H</w:t>
            </w:r>
            <w:r w:rsidRPr="00A84FFE">
              <w:rPr>
                <w:rFonts w:asciiTheme="majorBidi" w:eastAsia="Calibri" w:hAnsiTheme="majorBidi" w:cstheme="majorBidi"/>
                <w:color w:val="000000"/>
                <w:sz w:val="20"/>
                <w:szCs w:val="20"/>
                <w:vertAlign w:val="subscript"/>
              </w:rPr>
              <w:t>0</w:t>
            </w:r>
            <w:r w:rsidRPr="00A84FFE">
              <w:rPr>
                <w:rFonts w:asciiTheme="majorBidi" w:eastAsia="Calibri" w:hAnsiTheme="majorBidi" w:cstheme="majorBidi"/>
                <w:color w:val="000000"/>
                <w:sz w:val="20"/>
                <w:szCs w:val="20"/>
              </w:rPr>
              <w:t>: Budgeting reforms have an impact on financial performance in Mombasa County.</w:t>
            </w:r>
          </w:p>
          <w:p w14:paraId="66CDBF46"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H</w:t>
            </w:r>
            <w:r w:rsidRPr="00A84FFE">
              <w:rPr>
                <w:rFonts w:asciiTheme="majorBidi" w:eastAsia="Calibri" w:hAnsiTheme="majorBidi" w:cstheme="majorBidi"/>
                <w:color w:val="000000"/>
                <w:sz w:val="20"/>
                <w:szCs w:val="20"/>
                <w:vertAlign w:val="subscript"/>
              </w:rPr>
              <w:t>1</w:t>
            </w:r>
            <w:r w:rsidRPr="00A84FFE">
              <w:rPr>
                <w:rFonts w:asciiTheme="majorBidi" w:eastAsia="Calibri" w:hAnsiTheme="majorBidi" w:cstheme="majorBidi"/>
                <w:color w:val="000000"/>
                <w:sz w:val="20"/>
                <w:szCs w:val="20"/>
              </w:rPr>
              <w:t>: Budgeting reforms do have an impact on financial performance in Mombasa County.</w:t>
            </w:r>
          </w:p>
          <w:p w14:paraId="7E2FD850"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H</w:t>
            </w:r>
            <w:r w:rsidRPr="00A84FFE">
              <w:rPr>
                <w:rFonts w:asciiTheme="majorBidi" w:eastAsia="Calibri" w:hAnsiTheme="majorBidi" w:cstheme="majorBidi"/>
                <w:color w:val="000000"/>
                <w:sz w:val="20"/>
                <w:szCs w:val="20"/>
                <w:vertAlign w:val="subscript"/>
              </w:rPr>
              <w:t>0</w:t>
            </w:r>
            <w:r w:rsidRPr="00A84FFE">
              <w:rPr>
                <w:rFonts w:asciiTheme="majorBidi" w:eastAsia="Calibri" w:hAnsiTheme="majorBidi" w:cstheme="majorBidi"/>
                <w:color w:val="000000"/>
                <w:sz w:val="20"/>
                <w:szCs w:val="20"/>
              </w:rPr>
              <w:t>: Implementation of IFMIS has an impact on financial performance in Mombasa County.</w:t>
            </w:r>
          </w:p>
          <w:p w14:paraId="0C8A66E2"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H</w:t>
            </w:r>
            <w:r w:rsidRPr="00A84FFE">
              <w:rPr>
                <w:rFonts w:asciiTheme="majorBidi" w:eastAsia="Calibri" w:hAnsiTheme="majorBidi" w:cstheme="majorBidi"/>
                <w:color w:val="000000"/>
                <w:sz w:val="20"/>
                <w:szCs w:val="20"/>
                <w:vertAlign w:val="subscript"/>
              </w:rPr>
              <w:t>1</w:t>
            </w:r>
            <w:r w:rsidRPr="00A84FFE">
              <w:rPr>
                <w:rFonts w:asciiTheme="majorBidi" w:eastAsia="Calibri" w:hAnsiTheme="majorBidi" w:cstheme="majorBidi"/>
                <w:color w:val="000000"/>
                <w:sz w:val="20"/>
                <w:szCs w:val="20"/>
              </w:rPr>
              <w:t>: Implementation of IFMIS do have an impact on financial performance in Mombasa County.</w:t>
            </w:r>
          </w:p>
          <w:p w14:paraId="34999C48" w14:textId="77777777" w:rsidR="00A84FFE" w:rsidRPr="00A84FFE" w:rsidRDefault="00A84FFE" w:rsidP="00A84FFE">
            <w:pPr>
              <w:spacing w:after="0"/>
              <w:jc w:val="both"/>
              <w:rPr>
                <w:rFonts w:asciiTheme="majorBidi" w:eastAsia="Calibri" w:hAnsiTheme="majorBidi" w:cstheme="majorBidi"/>
                <w:color w:val="000000"/>
                <w:sz w:val="20"/>
                <w:szCs w:val="20"/>
              </w:rPr>
            </w:pPr>
            <w:r w:rsidRPr="00A84FFE">
              <w:rPr>
                <w:rFonts w:asciiTheme="majorBidi" w:eastAsia="Calibri" w:hAnsiTheme="majorBidi" w:cstheme="majorBidi"/>
                <w:color w:val="000000"/>
                <w:sz w:val="20"/>
                <w:szCs w:val="20"/>
              </w:rPr>
              <w:t>H</w:t>
            </w:r>
            <w:r w:rsidRPr="00A84FFE">
              <w:rPr>
                <w:rFonts w:asciiTheme="majorBidi" w:eastAsia="Calibri" w:hAnsiTheme="majorBidi" w:cstheme="majorBidi"/>
                <w:color w:val="000000"/>
                <w:sz w:val="20"/>
                <w:szCs w:val="20"/>
                <w:vertAlign w:val="subscript"/>
              </w:rPr>
              <w:t>0</w:t>
            </w:r>
            <w:r w:rsidRPr="00A84FFE">
              <w:rPr>
                <w:rFonts w:asciiTheme="majorBidi" w:eastAsia="Calibri" w:hAnsiTheme="majorBidi" w:cstheme="majorBidi"/>
                <w:color w:val="000000"/>
                <w:sz w:val="20"/>
                <w:szCs w:val="20"/>
              </w:rPr>
              <w:t>: Tax revenue administration has an impact on financial performance in Mombasa County.</w:t>
            </w:r>
          </w:p>
          <w:p w14:paraId="77C05FA7" w14:textId="040D4822" w:rsidR="00A84FFE" w:rsidRPr="00A84FFE" w:rsidRDefault="00A84FFE" w:rsidP="00A84FFE">
            <w:pPr>
              <w:spacing w:after="0"/>
              <w:rPr>
                <w:rFonts w:ascii="Times New Roman" w:hAnsi="Times New Roman" w:cs="Times New Roman"/>
                <w:sz w:val="20"/>
                <w:szCs w:val="20"/>
              </w:rPr>
            </w:pPr>
            <w:r w:rsidRPr="00A84FFE">
              <w:rPr>
                <w:rFonts w:asciiTheme="majorBidi" w:eastAsia="Calibri" w:hAnsiTheme="majorBidi" w:cstheme="majorBidi"/>
                <w:color w:val="000000"/>
                <w:sz w:val="20"/>
                <w:szCs w:val="20"/>
              </w:rPr>
              <w:t>H</w:t>
            </w:r>
            <w:r w:rsidRPr="00A84FFE">
              <w:rPr>
                <w:rFonts w:asciiTheme="majorBidi" w:eastAsia="Calibri" w:hAnsiTheme="majorBidi" w:cstheme="majorBidi"/>
                <w:color w:val="000000"/>
                <w:sz w:val="20"/>
                <w:szCs w:val="20"/>
                <w:vertAlign w:val="subscript"/>
              </w:rPr>
              <w:t>1</w:t>
            </w:r>
            <w:r w:rsidRPr="00A84FFE">
              <w:rPr>
                <w:rFonts w:asciiTheme="majorBidi" w:eastAsia="Calibri" w:hAnsiTheme="majorBidi" w:cstheme="majorBidi"/>
                <w:color w:val="000000"/>
                <w:sz w:val="20"/>
                <w:szCs w:val="20"/>
              </w:rPr>
              <w:t>: Tax revenue administration do have an impact on financial performance in Mombasa County.</w:t>
            </w:r>
          </w:p>
        </w:tc>
      </w:tr>
      <w:tr w:rsidR="00A84FFE" w:rsidRPr="00D94355" w14:paraId="61444DC4" w14:textId="77777777" w:rsidTr="00A84FFE">
        <w:trPr>
          <w:trHeight w:val="525"/>
        </w:trPr>
        <w:tc>
          <w:tcPr>
            <w:tcW w:w="2260" w:type="dxa"/>
            <w:tcBorders>
              <w:top w:val="single" w:sz="4" w:space="0" w:color="auto"/>
              <w:left w:val="single" w:sz="4" w:space="0" w:color="auto"/>
              <w:bottom w:val="single" w:sz="4" w:space="0" w:color="auto"/>
              <w:right w:val="single" w:sz="4" w:space="0" w:color="auto"/>
            </w:tcBorders>
          </w:tcPr>
          <w:p w14:paraId="0891B30A" w14:textId="77777777" w:rsidR="00A84FFE" w:rsidRPr="00A84FFE" w:rsidRDefault="00A84FFE" w:rsidP="00A84FFE">
            <w:pPr>
              <w:rPr>
                <w:rFonts w:ascii="Times New Roman" w:hAnsi="Times New Roman" w:cs="Times New Roman"/>
                <w:b/>
                <w:sz w:val="20"/>
                <w:szCs w:val="20"/>
              </w:rPr>
            </w:pPr>
            <w:r w:rsidRPr="00A84FFE">
              <w:rPr>
                <w:rFonts w:ascii="Times New Roman" w:hAnsi="Times New Roman" w:cs="Times New Roman"/>
                <w:b/>
                <w:sz w:val="20"/>
                <w:szCs w:val="20"/>
              </w:rPr>
              <w:lastRenderedPageBreak/>
              <w:t xml:space="preserve">Research Methodology </w:t>
            </w:r>
          </w:p>
        </w:tc>
        <w:tc>
          <w:tcPr>
            <w:tcW w:w="7655" w:type="dxa"/>
            <w:tcBorders>
              <w:top w:val="single" w:sz="6" w:space="0" w:color="000000"/>
              <w:left w:val="single" w:sz="4" w:space="0" w:color="auto"/>
              <w:bottom w:val="single" w:sz="6" w:space="0" w:color="000000"/>
              <w:right w:val="single" w:sz="6" w:space="0" w:color="000000"/>
            </w:tcBorders>
          </w:tcPr>
          <w:p w14:paraId="728DD8B5" w14:textId="77777777" w:rsidR="00A84FFE" w:rsidRPr="00A84FFE" w:rsidRDefault="00A84FFE" w:rsidP="00A84FFE">
            <w:pPr>
              <w:jc w:val="both"/>
              <w:rPr>
                <w:rFonts w:ascii="Times New Roman" w:hAnsi="Times New Roman"/>
                <w:sz w:val="20"/>
                <w:szCs w:val="20"/>
              </w:rPr>
            </w:pPr>
            <w:r w:rsidRPr="00A84FFE">
              <w:rPr>
                <w:rFonts w:ascii="Times New Roman" w:hAnsi="Times New Roman"/>
                <w:sz w:val="20"/>
                <w:szCs w:val="20"/>
              </w:rPr>
              <w:t>The research methodology that will be used is the quantitative approach and a descriptive and inferential research survey will be formulated to make sure an entire description of the condition enabling that there is less bias in the data collection and to minimise error in expounding the collected data.</w:t>
            </w:r>
          </w:p>
          <w:p w14:paraId="46BF8513" w14:textId="77777777" w:rsidR="00A84FFE" w:rsidRPr="00A84FFE" w:rsidRDefault="00A84FFE" w:rsidP="00A84FFE">
            <w:pPr>
              <w:jc w:val="both"/>
              <w:rPr>
                <w:sz w:val="20"/>
                <w:szCs w:val="20"/>
              </w:rPr>
            </w:pPr>
            <w:r w:rsidRPr="00A84FFE">
              <w:rPr>
                <w:rFonts w:ascii="Times New Roman" w:hAnsi="Times New Roman"/>
                <w:sz w:val="20"/>
                <w:szCs w:val="20"/>
              </w:rPr>
              <w:t xml:space="preserve">The sample size of the study is 50 as calculated using Raosoft.com from a population size of 136 </w:t>
            </w:r>
            <w:r w:rsidRPr="00A84FFE">
              <w:rPr>
                <w:rFonts w:asciiTheme="majorBidi" w:hAnsiTheme="majorBidi" w:cstheme="majorBidi"/>
                <w:sz w:val="20"/>
                <w:szCs w:val="20"/>
              </w:rPr>
              <w:t xml:space="preserve">employees in finance department section from Mombasa County Government that includes at public works department, budgeting and internal audits and financial reporting where the financial systems are in use </w:t>
            </w:r>
            <w:r w:rsidRPr="00A84FFE">
              <w:rPr>
                <w:rFonts w:ascii="Times New Roman" w:hAnsi="Times New Roman"/>
                <w:sz w:val="20"/>
                <w:szCs w:val="20"/>
              </w:rPr>
              <w:t>and was validated by Dr. Arasu, our module lecturer of BRM as this allows for reliable data analysis and testing for significance of differences between estimates. This study employed the stratified random sampling technique to put the entire population into three strata. The strata included Financial Reporting department, Budgeting and Internal Audits department and the Public Works department.</w:t>
            </w:r>
          </w:p>
          <w:p w14:paraId="588E2C3F" w14:textId="3C610457" w:rsidR="00A84FFE" w:rsidRPr="00A84FFE" w:rsidRDefault="00A84FFE" w:rsidP="00A84FFE">
            <w:pPr>
              <w:tabs>
                <w:tab w:val="left" w:pos="4245"/>
              </w:tabs>
              <w:jc w:val="both"/>
              <w:rPr>
                <w:rFonts w:ascii="Times New Roman" w:hAnsi="Times New Roman" w:cs="Times New Roman"/>
                <w:sz w:val="20"/>
                <w:szCs w:val="20"/>
              </w:rPr>
            </w:pPr>
            <w:r w:rsidRPr="00A84FFE">
              <w:rPr>
                <w:rFonts w:ascii="Times New Roman" w:hAnsi="Times New Roman"/>
                <w:sz w:val="20"/>
                <w:szCs w:val="20"/>
              </w:rPr>
              <w:t xml:space="preserve">The main data collection method for study is questionnaire. The questionnaires will be used because feedbacks will be collected in a standardized manner, so questionnaires are more unbiased and equitable, assuredly more than interviews. The questionnaires used contained closed-ended questions Data will be analysed using </w:t>
            </w:r>
            <w:r w:rsidRPr="00A84FFE">
              <w:rPr>
                <w:rFonts w:asciiTheme="majorBidi" w:hAnsiTheme="majorBidi" w:cstheme="majorBidi"/>
                <w:sz w:val="20"/>
                <w:szCs w:val="20"/>
              </w:rPr>
              <w:t>IBM SPSS (</w:t>
            </w:r>
            <w:r w:rsidRPr="00A84FFE">
              <w:rPr>
                <w:rFonts w:ascii="Times New Roman" w:hAnsi="Times New Roman"/>
                <w:sz w:val="20"/>
                <w:szCs w:val="20"/>
              </w:rPr>
              <w:t>Statistical Package for the Social Sciences) then the information will be presented into charts, tables and graphs to make it more meaningful.</w:t>
            </w:r>
            <w:r w:rsidRPr="00A84FFE">
              <w:rPr>
                <w:rFonts w:ascii="Times New Roman" w:hAnsi="Times New Roman" w:cs="Times New Roman"/>
                <w:sz w:val="20"/>
                <w:szCs w:val="20"/>
              </w:rPr>
              <w:tab/>
            </w:r>
          </w:p>
        </w:tc>
      </w:tr>
    </w:tbl>
    <w:p w14:paraId="746B6F8B" w14:textId="58A31305" w:rsidR="00D94355" w:rsidRDefault="00D94355" w:rsidP="00D94355">
      <w:pPr>
        <w:autoSpaceDE w:val="0"/>
        <w:autoSpaceDN w:val="0"/>
        <w:adjustRightInd w:val="0"/>
        <w:spacing w:after="0" w:line="480" w:lineRule="auto"/>
        <w:rPr>
          <w:rFonts w:asciiTheme="majorBidi" w:hAnsiTheme="majorBidi" w:cstheme="majorBidi"/>
          <w:b/>
          <w:bCs/>
          <w:sz w:val="24"/>
          <w:szCs w:val="24"/>
        </w:rPr>
      </w:pPr>
    </w:p>
    <w:p w14:paraId="031D7F03" w14:textId="1D9E418D" w:rsidR="00D94355" w:rsidRDefault="00D94355" w:rsidP="00D94355">
      <w:pPr>
        <w:autoSpaceDE w:val="0"/>
        <w:autoSpaceDN w:val="0"/>
        <w:adjustRightInd w:val="0"/>
        <w:spacing w:after="0" w:line="480" w:lineRule="auto"/>
        <w:rPr>
          <w:rFonts w:asciiTheme="majorBidi" w:hAnsiTheme="majorBidi" w:cstheme="majorBidi"/>
          <w:b/>
          <w:bCs/>
          <w:sz w:val="24"/>
          <w:szCs w:val="24"/>
        </w:rPr>
      </w:pPr>
    </w:p>
    <w:p w14:paraId="5B457F30" w14:textId="142D316D" w:rsidR="00D94355" w:rsidRDefault="00D94355" w:rsidP="00D94355">
      <w:pPr>
        <w:autoSpaceDE w:val="0"/>
        <w:autoSpaceDN w:val="0"/>
        <w:adjustRightInd w:val="0"/>
        <w:spacing w:after="0" w:line="480" w:lineRule="auto"/>
        <w:rPr>
          <w:rFonts w:asciiTheme="majorBidi" w:hAnsiTheme="majorBidi" w:cstheme="majorBidi"/>
          <w:b/>
          <w:bCs/>
          <w:sz w:val="24"/>
          <w:szCs w:val="24"/>
        </w:rPr>
      </w:pPr>
    </w:p>
    <w:p w14:paraId="24CDE609" w14:textId="09FEAD08" w:rsidR="00D94355" w:rsidRDefault="00D94355" w:rsidP="00D94355">
      <w:pPr>
        <w:autoSpaceDE w:val="0"/>
        <w:autoSpaceDN w:val="0"/>
        <w:adjustRightInd w:val="0"/>
        <w:spacing w:after="0" w:line="480" w:lineRule="auto"/>
        <w:rPr>
          <w:rFonts w:asciiTheme="majorBidi" w:hAnsiTheme="majorBidi" w:cstheme="majorBidi"/>
          <w:b/>
          <w:bCs/>
          <w:sz w:val="24"/>
          <w:szCs w:val="24"/>
        </w:rPr>
      </w:pPr>
    </w:p>
    <w:p w14:paraId="0A40C382" w14:textId="7198FD28" w:rsidR="00D94355" w:rsidRDefault="00D94355" w:rsidP="00D94355">
      <w:pPr>
        <w:autoSpaceDE w:val="0"/>
        <w:autoSpaceDN w:val="0"/>
        <w:adjustRightInd w:val="0"/>
        <w:spacing w:after="0" w:line="480" w:lineRule="auto"/>
        <w:rPr>
          <w:rFonts w:asciiTheme="majorBidi" w:hAnsiTheme="majorBidi" w:cstheme="majorBidi"/>
          <w:b/>
          <w:bCs/>
          <w:sz w:val="24"/>
          <w:szCs w:val="24"/>
        </w:rPr>
      </w:pPr>
    </w:p>
    <w:p w14:paraId="1534EACF" w14:textId="1DC65266" w:rsidR="00D94355" w:rsidRDefault="00D94355" w:rsidP="00D94355">
      <w:pPr>
        <w:autoSpaceDE w:val="0"/>
        <w:autoSpaceDN w:val="0"/>
        <w:adjustRightInd w:val="0"/>
        <w:spacing w:after="0" w:line="480" w:lineRule="auto"/>
        <w:rPr>
          <w:rFonts w:asciiTheme="majorBidi" w:hAnsiTheme="majorBidi" w:cstheme="majorBidi"/>
          <w:b/>
          <w:bCs/>
          <w:sz w:val="24"/>
          <w:szCs w:val="24"/>
        </w:rPr>
      </w:pPr>
    </w:p>
    <w:p w14:paraId="5C53E028" w14:textId="18CB34DA"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46B74C43" w14:textId="00F5819B"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6579D3EC" w14:textId="0DC402EB"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33B0ABD1" w14:textId="1BBC3E7B"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1FB5A816" w14:textId="16FE1EB3"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2DEC702D" w14:textId="62983C32"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054A3FCE" w14:textId="0C7E7C0F"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6B6A0418" w14:textId="5D2BF2D8"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7A10387C" w14:textId="5B53DC17" w:rsidR="00A84FFE" w:rsidRDefault="00A84FFE" w:rsidP="00D94355">
      <w:pPr>
        <w:autoSpaceDE w:val="0"/>
        <w:autoSpaceDN w:val="0"/>
        <w:adjustRightInd w:val="0"/>
        <w:spacing w:after="0" w:line="480" w:lineRule="auto"/>
        <w:rPr>
          <w:rFonts w:asciiTheme="majorBidi" w:hAnsiTheme="majorBidi" w:cstheme="majorBidi"/>
          <w:b/>
          <w:bCs/>
          <w:sz w:val="24"/>
          <w:szCs w:val="24"/>
        </w:rPr>
      </w:pPr>
    </w:p>
    <w:p w14:paraId="1DB0DBC8" w14:textId="77777777" w:rsidR="00380620" w:rsidRDefault="00380620" w:rsidP="00150169">
      <w:pPr>
        <w:rPr>
          <w:rFonts w:asciiTheme="majorBidi" w:hAnsiTheme="majorBidi" w:cstheme="majorBidi"/>
          <w:b/>
          <w:bCs/>
          <w:sz w:val="24"/>
          <w:szCs w:val="24"/>
        </w:rPr>
      </w:pPr>
    </w:p>
    <w:p w14:paraId="399FC28C" w14:textId="26F84662" w:rsidR="00D94355" w:rsidRPr="00BC628B" w:rsidRDefault="00D94355" w:rsidP="00BC628B">
      <w:pPr>
        <w:pStyle w:val="Heading2"/>
        <w:rPr>
          <w:rFonts w:ascii="Times New Roman" w:hAnsi="Times New Roman" w:cs="Times New Roman"/>
          <w:b/>
          <w:bCs/>
          <w:color w:val="auto"/>
          <w:sz w:val="24"/>
          <w:szCs w:val="24"/>
        </w:rPr>
      </w:pPr>
      <w:bookmarkStart w:id="147" w:name="_Toc27579843"/>
      <w:r w:rsidRPr="00BC628B">
        <w:rPr>
          <w:rFonts w:ascii="Times New Roman" w:hAnsi="Times New Roman" w:cs="Times New Roman"/>
          <w:b/>
          <w:bCs/>
          <w:color w:val="auto"/>
          <w:sz w:val="24"/>
          <w:szCs w:val="24"/>
        </w:rPr>
        <w:lastRenderedPageBreak/>
        <w:t>Appendix 3</w:t>
      </w:r>
      <w:r w:rsidR="00150169" w:rsidRPr="00BC628B">
        <w:rPr>
          <w:rFonts w:ascii="Times New Roman" w:hAnsi="Times New Roman" w:cs="Times New Roman"/>
          <w:b/>
          <w:bCs/>
          <w:color w:val="auto"/>
          <w:sz w:val="24"/>
          <w:szCs w:val="24"/>
        </w:rPr>
        <w:t xml:space="preserve">: </w:t>
      </w:r>
      <w:r w:rsidRPr="00BC628B">
        <w:rPr>
          <w:rFonts w:ascii="Times New Roman" w:hAnsi="Times New Roman" w:cs="Times New Roman"/>
          <w:b/>
          <w:bCs/>
          <w:color w:val="auto"/>
          <w:sz w:val="24"/>
          <w:szCs w:val="24"/>
          <w:lang w:val="en-GB"/>
        </w:rPr>
        <w:t>MBA Project Assessment Form</w:t>
      </w:r>
      <w:bookmarkEnd w:id="147"/>
      <w:r w:rsidRPr="00BC628B">
        <w:rPr>
          <w:rFonts w:ascii="Times New Roman" w:hAnsi="Times New Roman" w:cs="Times New Roman"/>
          <w:b/>
          <w:bCs/>
          <w:i/>
          <w:color w:val="auto"/>
          <w:sz w:val="24"/>
          <w:szCs w:val="24"/>
          <w:lang w:val="en-GB"/>
        </w:rPr>
        <w:t xml:space="preserve"> </w:t>
      </w:r>
    </w:p>
    <w:p w14:paraId="6A8A5B16" w14:textId="0E37B513" w:rsidR="00D94355" w:rsidRPr="00D94355" w:rsidRDefault="00D94355" w:rsidP="00D94355">
      <w:pPr>
        <w:pStyle w:val="Heading2"/>
        <w:spacing w:line="360" w:lineRule="auto"/>
        <w:rPr>
          <w:rFonts w:ascii="Times New Roman" w:hAnsi="Times New Roman" w:cs="Times New Roman"/>
          <w:color w:val="auto"/>
          <w:sz w:val="32"/>
          <w:lang w:val="en-GB"/>
        </w:rPr>
      </w:pPr>
      <w:bookmarkStart w:id="148" w:name="_Toc88882997"/>
      <w:bookmarkStart w:id="149" w:name="_Toc27427832"/>
      <w:bookmarkStart w:id="150" w:name="_Toc27579844"/>
      <w:r w:rsidRPr="00D94355">
        <w:rPr>
          <w:rFonts w:ascii="Times New Roman" w:hAnsi="Times New Roman" w:cs="Times New Roman"/>
          <w:color w:val="auto"/>
          <w:sz w:val="32"/>
          <w:lang w:val="en-GB"/>
        </w:rPr>
        <w:t xml:space="preserve">First Marker </w:t>
      </w:r>
      <w:bookmarkEnd w:id="148"/>
      <w:r w:rsidRPr="00D94355">
        <w:rPr>
          <w:rFonts w:ascii="Times New Roman" w:hAnsi="Times New Roman" w:cs="Times New Roman"/>
          <w:color w:val="auto"/>
          <w:sz w:val="32"/>
          <w:lang w:val="en-GB"/>
        </w:rPr>
        <w:t>/ Supervisor Form</w:t>
      </w:r>
      <w:bookmarkEnd w:id="149"/>
      <w:bookmarkEnd w:id="150"/>
    </w:p>
    <w:tbl>
      <w:tblPr>
        <w:tblW w:w="9990" w:type="dxa"/>
        <w:tblInd w:w="-60" w:type="dxa"/>
        <w:tblCellMar>
          <w:left w:w="30" w:type="dxa"/>
          <w:right w:w="30" w:type="dxa"/>
        </w:tblCellMar>
        <w:tblLook w:val="0000" w:firstRow="0" w:lastRow="0" w:firstColumn="0" w:lastColumn="0" w:noHBand="0" w:noVBand="0"/>
      </w:tblPr>
      <w:tblGrid>
        <w:gridCol w:w="1625"/>
        <w:gridCol w:w="1974"/>
        <w:gridCol w:w="460"/>
        <w:gridCol w:w="142"/>
        <w:gridCol w:w="1199"/>
        <w:gridCol w:w="1034"/>
        <w:gridCol w:w="992"/>
        <w:gridCol w:w="993"/>
        <w:gridCol w:w="1571"/>
      </w:tblGrid>
      <w:tr w:rsidR="00D94355" w14:paraId="3D029845" w14:textId="77777777" w:rsidTr="00762CFB">
        <w:trPr>
          <w:cantSplit/>
          <w:trHeight w:val="202"/>
        </w:trPr>
        <w:tc>
          <w:tcPr>
            <w:tcW w:w="1625" w:type="dxa"/>
            <w:vMerge w:val="restart"/>
            <w:tcBorders>
              <w:top w:val="single" w:sz="4" w:space="0" w:color="auto"/>
              <w:left w:val="single" w:sz="4" w:space="0" w:color="auto"/>
              <w:bottom w:val="single" w:sz="4" w:space="0" w:color="auto"/>
              <w:right w:val="single" w:sz="4" w:space="0" w:color="auto"/>
            </w:tcBorders>
            <w:vAlign w:val="center"/>
          </w:tcPr>
          <w:p w14:paraId="58D540BE" w14:textId="77777777" w:rsidR="00D94355" w:rsidRDefault="00D94355" w:rsidP="00D94355">
            <w:pPr>
              <w:rPr>
                <w:snapToGrid w:val="0"/>
                <w:color w:val="000000"/>
                <w:sz w:val="20"/>
              </w:rPr>
            </w:pPr>
            <w:r>
              <w:rPr>
                <w:snapToGrid w:val="0"/>
                <w:color w:val="000000"/>
                <w:sz w:val="20"/>
              </w:rPr>
              <w:t>Student ID</w:t>
            </w:r>
          </w:p>
        </w:tc>
        <w:tc>
          <w:tcPr>
            <w:tcW w:w="1974" w:type="dxa"/>
            <w:vMerge w:val="restart"/>
            <w:tcBorders>
              <w:top w:val="single" w:sz="4" w:space="0" w:color="auto"/>
              <w:left w:val="single" w:sz="4" w:space="0" w:color="auto"/>
              <w:bottom w:val="single" w:sz="4" w:space="0" w:color="auto"/>
              <w:right w:val="single" w:sz="4" w:space="0" w:color="auto"/>
            </w:tcBorders>
            <w:vAlign w:val="center"/>
          </w:tcPr>
          <w:p w14:paraId="0821AC7E" w14:textId="77777777" w:rsidR="00D94355" w:rsidRDefault="00D94355" w:rsidP="00D94355">
            <w:pPr>
              <w:jc w:val="right"/>
              <w:rPr>
                <w:snapToGrid w:val="0"/>
                <w:color w:val="000000"/>
                <w:sz w:val="20"/>
              </w:rPr>
            </w:pPr>
          </w:p>
        </w:tc>
        <w:tc>
          <w:tcPr>
            <w:tcW w:w="460" w:type="dxa"/>
            <w:tcBorders>
              <w:left w:val="single" w:sz="4" w:space="0" w:color="auto"/>
            </w:tcBorders>
          </w:tcPr>
          <w:p w14:paraId="0EE30DBB" w14:textId="77777777" w:rsidR="00D94355" w:rsidRDefault="00D94355" w:rsidP="00D94355">
            <w:pPr>
              <w:jc w:val="right"/>
              <w:rPr>
                <w:snapToGrid w:val="0"/>
                <w:color w:val="000000"/>
                <w:sz w:val="20"/>
              </w:rPr>
            </w:pPr>
            <w:r>
              <w:rPr>
                <w:snapToGrid w:val="0"/>
                <w:color w:val="000000"/>
                <w:sz w:val="20"/>
              </w:rPr>
              <w:t>.</w:t>
            </w:r>
          </w:p>
        </w:tc>
        <w:tc>
          <w:tcPr>
            <w:tcW w:w="142" w:type="dxa"/>
          </w:tcPr>
          <w:p w14:paraId="37927C00" w14:textId="77777777" w:rsidR="00D94355" w:rsidRDefault="00D94355" w:rsidP="00D94355">
            <w:pPr>
              <w:jc w:val="right"/>
              <w:rPr>
                <w:snapToGrid w:val="0"/>
                <w:color w:val="000000"/>
                <w:sz w:val="20"/>
              </w:rPr>
            </w:pPr>
          </w:p>
        </w:tc>
        <w:tc>
          <w:tcPr>
            <w:tcW w:w="1199" w:type="dxa"/>
            <w:tcBorders>
              <w:bottom w:val="single" w:sz="4" w:space="0" w:color="auto"/>
            </w:tcBorders>
          </w:tcPr>
          <w:p w14:paraId="09ABE744" w14:textId="77777777" w:rsidR="00D94355" w:rsidRDefault="00D94355" w:rsidP="00D94355">
            <w:pPr>
              <w:jc w:val="right"/>
              <w:rPr>
                <w:snapToGrid w:val="0"/>
                <w:color w:val="000000"/>
                <w:sz w:val="20"/>
              </w:rPr>
            </w:pPr>
          </w:p>
        </w:tc>
        <w:tc>
          <w:tcPr>
            <w:tcW w:w="1034" w:type="dxa"/>
            <w:tcBorders>
              <w:bottom w:val="single" w:sz="4" w:space="0" w:color="auto"/>
              <w:right w:val="single" w:sz="4" w:space="0" w:color="auto"/>
            </w:tcBorders>
          </w:tcPr>
          <w:p w14:paraId="22D3D852" w14:textId="77777777" w:rsidR="00D94355" w:rsidRDefault="00D94355" w:rsidP="00D94355">
            <w:pPr>
              <w:jc w:val="right"/>
              <w:rPr>
                <w:snapToGrid w:val="0"/>
                <w:color w:val="000000"/>
                <w:sz w:val="20"/>
              </w:rPr>
            </w:pPr>
          </w:p>
        </w:tc>
        <w:tc>
          <w:tcPr>
            <w:tcW w:w="992" w:type="dxa"/>
            <w:tcBorders>
              <w:top w:val="single" w:sz="4" w:space="0" w:color="auto"/>
              <w:left w:val="single" w:sz="4" w:space="0" w:color="auto"/>
              <w:bottom w:val="single" w:sz="4" w:space="0" w:color="auto"/>
              <w:right w:val="single" w:sz="4" w:space="0" w:color="auto"/>
            </w:tcBorders>
          </w:tcPr>
          <w:p w14:paraId="341E999B" w14:textId="77777777" w:rsidR="00D94355" w:rsidRDefault="00D94355" w:rsidP="00D94355">
            <w:pPr>
              <w:jc w:val="center"/>
              <w:rPr>
                <w:snapToGrid w:val="0"/>
                <w:color w:val="000000"/>
                <w:sz w:val="20"/>
              </w:rPr>
            </w:pPr>
            <w:r>
              <w:rPr>
                <w:snapToGrid w:val="0"/>
                <w:color w:val="000000"/>
                <w:sz w:val="20"/>
              </w:rPr>
              <w:t>Marks %</w:t>
            </w:r>
          </w:p>
        </w:tc>
        <w:tc>
          <w:tcPr>
            <w:tcW w:w="993" w:type="dxa"/>
            <w:tcBorders>
              <w:top w:val="single" w:sz="4" w:space="0" w:color="auto"/>
              <w:left w:val="single" w:sz="4" w:space="0" w:color="auto"/>
              <w:bottom w:val="single" w:sz="4" w:space="0" w:color="auto"/>
              <w:right w:val="single" w:sz="4" w:space="0" w:color="auto"/>
            </w:tcBorders>
          </w:tcPr>
          <w:p w14:paraId="14F7A4A8" w14:textId="77777777" w:rsidR="00D94355" w:rsidRDefault="00D94355" w:rsidP="00D94355">
            <w:pPr>
              <w:jc w:val="center"/>
              <w:rPr>
                <w:snapToGrid w:val="0"/>
                <w:color w:val="000000"/>
                <w:sz w:val="20"/>
              </w:rPr>
            </w:pPr>
            <w:r>
              <w:rPr>
                <w:snapToGrid w:val="0"/>
                <w:color w:val="000000"/>
                <w:sz w:val="20"/>
              </w:rPr>
              <w:t>Signature</w:t>
            </w:r>
          </w:p>
        </w:tc>
        <w:tc>
          <w:tcPr>
            <w:tcW w:w="1571" w:type="dxa"/>
            <w:tcBorders>
              <w:top w:val="single" w:sz="4" w:space="0" w:color="auto"/>
              <w:left w:val="single" w:sz="4" w:space="0" w:color="auto"/>
              <w:bottom w:val="single" w:sz="4" w:space="0" w:color="auto"/>
              <w:right w:val="single" w:sz="4" w:space="0" w:color="auto"/>
            </w:tcBorders>
          </w:tcPr>
          <w:p w14:paraId="7B74703C" w14:textId="77777777" w:rsidR="00D94355" w:rsidRDefault="00D94355" w:rsidP="00D94355">
            <w:pPr>
              <w:jc w:val="center"/>
              <w:rPr>
                <w:snapToGrid w:val="0"/>
                <w:color w:val="000000"/>
                <w:sz w:val="20"/>
              </w:rPr>
            </w:pPr>
            <w:r>
              <w:rPr>
                <w:snapToGrid w:val="0"/>
                <w:color w:val="000000"/>
                <w:sz w:val="20"/>
              </w:rPr>
              <w:t>Final Agreed Mark</w:t>
            </w:r>
          </w:p>
        </w:tc>
      </w:tr>
      <w:tr w:rsidR="00D94355" w14:paraId="7997A187" w14:textId="77777777" w:rsidTr="00762CFB">
        <w:trPr>
          <w:cantSplit/>
          <w:trHeight w:val="202"/>
        </w:trPr>
        <w:tc>
          <w:tcPr>
            <w:tcW w:w="1625" w:type="dxa"/>
            <w:vMerge/>
            <w:tcBorders>
              <w:top w:val="single" w:sz="4" w:space="0" w:color="auto"/>
              <w:left w:val="single" w:sz="4" w:space="0" w:color="auto"/>
              <w:bottom w:val="single" w:sz="4" w:space="0" w:color="auto"/>
              <w:right w:val="single" w:sz="4" w:space="0" w:color="auto"/>
            </w:tcBorders>
            <w:vAlign w:val="center"/>
          </w:tcPr>
          <w:p w14:paraId="27986D41" w14:textId="77777777" w:rsidR="00D94355" w:rsidRDefault="00D94355" w:rsidP="00D94355">
            <w:pPr>
              <w:jc w:val="right"/>
              <w:rPr>
                <w:snapToGrid w:val="0"/>
                <w:color w:val="000000"/>
                <w:sz w:val="20"/>
              </w:rPr>
            </w:pPr>
          </w:p>
        </w:tc>
        <w:tc>
          <w:tcPr>
            <w:tcW w:w="1974" w:type="dxa"/>
            <w:vMerge/>
            <w:tcBorders>
              <w:top w:val="single" w:sz="4" w:space="0" w:color="auto"/>
              <w:left w:val="single" w:sz="4" w:space="0" w:color="auto"/>
              <w:bottom w:val="single" w:sz="4" w:space="0" w:color="auto"/>
              <w:right w:val="single" w:sz="4" w:space="0" w:color="auto"/>
            </w:tcBorders>
            <w:vAlign w:val="center"/>
          </w:tcPr>
          <w:p w14:paraId="1DA41674" w14:textId="77777777" w:rsidR="00D94355" w:rsidRDefault="00D94355" w:rsidP="00D94355">
            <w:pPr>
              <w:jc w:val="right"/>
              <w:rPr>
                <w:snapToGrid w:val="0"/>
                <w:color w:val="000000"/>
                <w:sz w:val="20"/>
              </w:rPr>
            </w:pPr>
          </w:p>
        </w:tc>
        <w:tc>
          <w:tcPr>
            <w:tcW w:w="460" w:type="dxa"/>
            <w:tcBorders>
              <w:left w:val="single" w:sz="4" w:space="0" w:color="auto"/>
            </w:tcBorders>
          </w:tcPr>
          <w:p w14:paraId="3AFE30B0" w14:textId="77777777" w:rsidR="00D94355" w:rsidRDefault="00D94355" w:rsidP="00D94355">
            <w:pPr>
              <w:jc w:val="right"/>
              <w:rPr>
                <w:snapToGrid w:val="0"/>
                <w:color w:val="000000"/>
                <w:sz w:val="20"/>
              </w:rPr>
            </w:pPr>
          </w:p>
        </w:tc>
        <w:tc>
          <w:tcPr>
            <w:tcW w:w="142" w:type="dxa"/>
            <w:tcBorders>
              <w:right w:val="single" w:sz="4" w:space="0" w:color="auto"/>
            </w:tcBorders>
          </w:tcPr>
          <w:p w14:paraId="449EB3E4" w14:textId="77777777" w:rsidR="00D94355" w:rsidRDefault="00D94355" w:rsidP="00D94355">
            <w:pPr>
              <w:jc w:val="right"/>
              <w:rPr>
                <w:snapToGrid w:val="0"/>
                <w:color w:val="000000"/>
                <w:sz w:val="20"/>
              </w:rPr>
            </w:pPr>
          </w:p>
        </w:tc>
        <w:tc>
          <w:tcPr>
            <w:tcW w:w="2233" w:type="dxa"/>
            <w:gridSpan w:val="2"/>
            <w:vMerge w:val="restart"/>
            <w:tcBorders>
              <w:top w:val="single" w:sz="4" w:space="0" w:color="auto"/>
              <w:left w:val="single" w:sz="4" w:space="0" w:color="auto"/>
              <w:bottom w:val="single" w:sz="4" w:space="0" w:color="auto"/>
              <w:right w:val="single" w:sz="4" w:space="0" w:color="auto"/>
            </w:tcBorders>
            <w:vAlign w:val="center"/>
          </w:tcPr>
          <w:p w14:paraId="17681782" w14:textId="77777777" w:rsidR="00D94355" w:rsidRDefault="00D94355" w:rsidP="00D94355">
            <w:pPr>
              <w:rPr>
                <w:snapToGrid w:val="0"/>
                <w:color w:val="000000"/>
                <w:sz w:val="20"/>
              </w:rPr>
            </w:pPr>
            <w:r>
              <w:rPr>
                <w:snapToGrid w:val="0"/>
                <w:color w:val="000000"/>
                <w:sz w:val="20"/>
              </w:rPr>
              <w:t xml:space="preserve">First Marker / </w:t>
            </w:r>
          </w:p>
          <w:p w14:paraId="0F5A9C5D" w14:textId="77777777" w:rsidR="00D94355" w:rsidRDefault="00D94355" w:rsidP="00D94355">
            <w:pPr>
              <w:rPr>
                <w:snapToGrid w:val="0"/>
                <w:color w:val="000000"/>
                <w:sz w:val="20"/>
              </w:rPr>
            </w:pPr>
            <w:r>
              <w:rPr>
                <w:snapToGrid w:val="0"/>
                <w:color w:val="000000"/>
                <w:sz w:val="20"/>
              </w:rPr>
              <w:t>Supervisor’s name</w:t>
            </w:r>
          </w:p>
        </w:tc>
        <w:tc>
          <w:tcPr>
            <w:tcW w:w="992" w:type="dxa"/>
            <w:vMerge w:val="restart"/>
            <w:tcBorders>
              <w:top w:val="single" w:sz="4" w:space="0" w:color="auto"/>
              <w:left w:val="single" w:sz="4" w:space="0" w:color="auto"/>
              <w:right w:val="single" w:sz="4" w:space="0" w:color="auto"/>
            </w:tcBorders>
            <w:vAlign w:val="center"/>
          </w:tcPr>
          <w:p w14:paraId="222D4FDD" w14:textId="77777777" w:rsidR="00D94355" w:rsidRDefault="00D94355" w:rsidP="00D94355">
            <w:pPr>
              <w:jc w:val="right"/>
              <w:rPr>
                <w:snapToGrid w:val="0"/>
                <w:color w:val="000000"/>
                <w:sz w:val="20"/>
              </w:rPr>
            </w:pPr>
          </w:p>
        </w:tc>
        <w:tc>
          <w:tcPr>
            <w:tcW w:w="993" w:type="dxa"/>
            <w:vMerge w:val="restart"/>
            <w:tcBorders>
              <w:top w:val="single" w:sz="4" w:space="0" w:color="auto"/>
              <w:left w:val="single" w:sz="4" w:space="0" w:color="auto"/>
              <w:right w:val="single" w:sz="4" w:space="0" w:color="auto"/>
            </w:tcBorders>
            <w:vAlign w:val="center"/>
          </w:tcPr>
          <w:p w14:paraId="3F5D8DFA" w14:textId="77777777" w:rsidR="00D94355" w:rsidRDefault="00D94355" w:rsidP="00D94355">
            <w:pPr>
              <w:jc w:val="right"/>
              <w:rPr>
                <w:snapToGrid w:val="0"/>
                <w:color w:val="000000"/>
                <w:sz w:val="20"/>
              </w:rPr>
            </w:pPr>
          </w:p>
        </w:tc>
        <w:tc>
          <w:tcPr>
            <w:tcW w:w="1571" w:type="dxa"/>
            <w:vMerge w:val="restart"/>
            <w:tcBorders>
              <w:top w:val="single" w:sz="4" w:space="0" w:color="auto"/>
              <w:left w:val="single" w:sz="4" w:space="0" w:color="auto"/>
              <w:bottom w:val="single" w:sz="4" w:space="0" w:color="auto"/>
              <w:right w:val="single" w:sz="4" w:space="0" w:color="auto"/>
            </w:tcBorders>
            <w:vAlign w:val="center"/>
          </w:tcPr>
          <w:p w14:paraId="031C8E9C" w14:textId="77777777" w:rsidR="00D94355" w:rsidRDefault="00D94355" w:rsidP="00D94355">
            <w:pPr>
              <w:jc w:val="right"/>
              <w:rPr>
                <w:snapToGrid w:val="0"/>
                <w:color w:val="000000"/>
                <w:sz w:val="20"/>
              </w:rPr>
            </w:pPr>
          </w:p>
        </w:tc>
      </w:tr>
      <w:tr w:rsidR="00D94355" w14:paraId="64647DF3" w14:textId="77777777" w:rsidTr="00762CFB">
        <w:trPr>
          <w:cantSplit/>
          <w:trHeight w:val="373"/>
        </w:trPr>
        <w:tc>
          <w:tcPr>
            <w:tcW w:w="1625" w:type="dxa"/>
            <w:vMerge w:val="restart"/>
            <w:tcBorders>
              <w:top w:val="single" w:sz="4" w:space="0" w:color="auto"/>
              <w:left w:val="single" w:sz="4" w:space="0" w:color="auto"/>
              <w:right w:val="single" w:sz="4" w:space="0" w:color="auto"/>
            </w:tcBorders>
            <w:vAlign w:val="center"/>
          </w:tcPr>
          <w:p w14:paraId="491CB45A" w14:textId="02119965" w:rsidR="00D94355" w:rsidRDefault="00D94355" w:rsidP="00D94355">
            <w:pPr>
              <w:rPr>
                <w:snapToGrid w:val="0"/>
                <w:color w:val="000000"/>
                <w:sz w:val="20"/>
              </w:rPr>
            </w:pPr>
            <w:r>
              <w:rPr>
                <w:snapToGrid w:val="0"/>
                <w:color w:val="000000"/>
                <w:sz w:val="20"/>
              </w:rPr>
              <w:t>Student Name</w:t>
            </w:r>
          </w:p>
        </w:tc>
        <w:tc>
          <w:tcPr>
            <w:tcW w:w="1974" w:type="dxa"/>
            <w:vMerge w:val="restart"/>
            <w:tcBorders>
              <w:top w:val="single" w:sz="4" w:space="0" w:color="auto"/>
              <w:left w:val="single" w:sz="4" w:space="0" w:color="auto"/>
              <w:right w:val="single" w:sz="4" w:space="0" w:color="auto"/>
            </w:tcBorders>
            <w:vAlign w:val="center"/>
          </w:tcPr>
          <w:p w14:paraId="6D3FB849" w14:textId="77777777" w:rsidR="00D94355" w:rsidRDefault="00D94355" w:rsidP="00D94355">
            <w:pPr>
              <w:ind w:right="100"/>
              <w:jc w:val="right"/>
              <w:rPr>
                <w:snapToGrid w:val="0"/>
                <w:color w:val="000000"/>
                <w:sz w:val="20"/>
              </w:rPr>
            </w:pPr>
          </w:p>
        </w:tc>
        <w:tc>
          <w:tcPr>
            <w:tcW w:w="460" w:type="dxa"/>
            <w:tcBorders>
              <w:left w:val="single" w:sz="4" w:space="0" w:color="auto"/>
            </w:tcBorders>
          </w:tcPr>
          <w:p w14:paraId="408DAF52" w14:textId="77777777" w:rsidR="00D94355" w:rsidRDefault="00D94355" w:rsidP="00762CFB">
            <w:pPr>
              <w:rPr>
                <w:snapToGrid w:val="0"/>
                <w:color w:val="000000"/>
                <w:sz w:val="20"/>
              </w:rPr>
            </w:pPr>
          </w:p>
        </w:tc>
        <w:tc>
          <w:tcPr>
            <w:tcW w:w="142" w:type="dxa"/>
            <w:tcBorders>
              <w:right w:val="single" w:sz="4" w:space="0" w:color="auto"/>
            </w:tcBorders>
          </w:tcPr>
          <w:p w14:paraId="168BBEB9" w14:textId="77777777" w:rsidR="00D94355" w:rsidRDefault="00D94355" w:rsidP="00D94355">
            <w:pPr>
              <w:jc w:val="right"/>
              <w:rPr>
                <w:snapToGrid w:val="0"/>
                <w:color w:val="000000"/>
                <w:sz w:val="20"/>
              </w:rPr>
            </w:pPr>
          </w:p>
        </w:tc>
        <w:tc>
          <w:tcPr>
            <w:tcW w:w="2233" w:type="dxa"/>
            <w:gridSpan w:val="2"/>
            <w:vMerge/>
            <w:tcBorders>
              <w:top w:val="single" w:sz="4" w:space="0" w:color="auto"/>
              <w:left w:val="single" w:sz="4" w:space="0" w:color="auto"/>
              <w:bottom w:val="single" w:sz="4" w:space="0" w:color="auto"/>
              <w:right w:val="single" w:sz="4" w:space="0" w:color="auto"/>
            </w:tcBorders>
            <w:vAlign w:val="center"/>
          </w:tcPr>
          <w:p w14:paraId="0A208232" w14:textId="77777777" w:rsidR="00D94355" w:rsidRDefault="00D94355" w:rsidP="00D94355">
            <w:pPr>
              <w:jc w:val="right"/>
              <w:rPr>
                <w:snapToGrid w:val="0"/>
                <w:color w:val="000000"/>
                <w:sz w:val="20"/>
              </w:rPr>
            </w:pPr>
          </w:p>
        </w:tc>
        <w:tc>
          <w:tcPr>
            <w:tcW w:w="992" w:type="dxa"/>
            <w:vMerge/>
            <w:tcBorders>
              <w:left w:val="single" w:sz="4" w:space="0" w:color="auto"/>
              <w:right w:val="single" w:sz="4" w:space="0" w:color="auto"/>
            </w:tcBorders>
            <w:vAlign w:val="center"/>
          </w:tcPr>
          <w:p w14:paraId="1C2F7A7A" w14:textId="77777777" w:rsidR="00D94355" w:rsidRDefault="00D94355" w:rsidP="00D94355">
            <w:pPr>
              <w:jc w:val="right"/>
              <w:rPr>
                <w:snapToGrid w:val="0"/>
                <w:color w:val="000000"/>
                <w:sz w:val="20"/>
              </w:rPr>
            </w:pPr>
          </w:p>
        </w:tc>
        <w:tc>
          <w:tcPr>
            <w:tcW w:w="993" w:type="dxa"/>
            <w:vMerge/>
            <w:tcBorders>
              <w:left w:val="single" w:sz="4" w:space="0" w:color="auto"/>
              <w:right w:val="single" w:sz="4" w:space="0" w:color="auto"/>
            </w:tcBorders>
            <w:vAlign w:val="center"/>
          </w:tcPr>
          <w:p w14:paraId="647A6AA4" w14:textId="77777777" w:rsidR="00D94355" w:rsidRDefault="00D94355" w:rsidP="00D94355">
            <w:pPr>
              <w:jc w:val="right"/>
              <w:rPr>
                <w:snapToGrid w:val="0"/>
                <w:color w:val="000000"/>
                <w:sz w:val="20"/>
              </w:rPr>
            </w:pPr>
          </w:p>
        </w:tc>
        <w:tc>
          <w:tcPr>
            <w:tcW w:w="1571" w:type="dxa"/>
            <w:vMerge/>
            <w:tcBorders>
              <w:top w:val="single" w:sz="4" w:space="0" w:color="auto"/>
              <w:left w:val="single" w:sz="4" w:space="0" w:color="auto"/>
              <w:bottom w:val="single" w:sz="4" w:space="0" w:color="auto"/>
              <w:right w:val="single" w:sz="4" w:space="0" w:color="auto"/>
            </w:tcBorders>
            <w:vAlign w:val="center"/>
          </w:tcPr>
          <w:p w14:paraId="475A0AFE" w14:textId="77777777" w:rsidR="00D94355" w:rsidRDefault="00D94355" w:rsidP="00D94355">
            <w:pPr>
              <w:jc w:val="right"/>
              <w:rPr>
                <w:snapToGrid w:val="0"/>
                <w:color w:val="000000"/>
                <w:sz w:val="20"/>
              </w:rPr>
            </w:pPr>
          </w:p>
        </w:tc>
      </w:tr>
      <w:tr w:rsidR="00D94355" w14:paraId="7CD06AF0" w14:textId="77777777" w:rsidTr="00762CFB">
        <w:trPr>
          <w:cantSplit/>
          <w:trHeight w:val="175"/>
        </w:trPr>
        <w:tc>
          <w:tcPr>
            <w:tcW w:w="1625" w:type="dxa"/>
            <w:vMerge/>
            <w:tcBorders>
              <w:left w:val="single" w:sz="4" w:space="0" w:color="auto"/>
              <w:right w:val="single" w:sz="4" w:space="0" w:color="auto"/>
            </w:tcBorders>
          </w:tcPr>
          <w:p w14:paraId="7E40BEA5" w14:textId="77777777" w:rsidR="00D94355" w:rsidRDefault="00D94355" w:rsidP="00D94355">
            <w:pPr>
              <w:rPr>
                <w:snapToGrid w:val="0"/>
                <w:color w:val="000000"/>
                <w:sz w:val="20"/>
              </w:rPr>
            </w:pPr>
          </w:p>
        </w:tc>
        <w:tc>
          <w:tcPr>
            <w:tcW w:w="1974" w:type="dxa"/>
            <w:vMerge/>
            <w:tcBorders>
              <w:left w:val="single" w:sz="4" w:space="0" w:color="auto"/>
              <w:right w:val="single" w:sz="4" w:space="0" w:color="auto"/>
            </w:tcBorders>
          </w:tcPr>
          <w:p w14:paraId="14DECB50" w14:textId="77777777" w:rsidR="00D94355" w:rsidRDefault="00D94355" w:rsidP="00D94355">
            <w:pPr>
              <w:jc w:val="right"/>
              <w:rPr>
                <w:snapToGrid w:val="0"/>
                <w:color w:val="000000"/>
                <w:sz w:val="20"/>
              </w:rPr>
            </w:pPr>
          </w:p>
        </w:tc>
        <w:tc>
          <w:tcPr>
            <w:tcW w:w="460" w:type="dxa"/>
            <w:tcBorders>
              <w:left w:val="single" w:sz="4" w:space="0" w:color="auto"/>
            </w:tcBorders>
          </w:tcPr>
          <w:p w14:paraId="422A69D8" w14:textId="77777777" w:rsidR="00D94355" w:rsidRDefault="00D94355" w:rsidP="00D94355">
            <w:pPr>
              <w:jc w:val="right"/>
              <w:rPr>
                <w:snapToGrid w:val="0"/>
                <w:color w:val="000000"/>
                <w:sz w:val="20"/>
              </w:rPr>
            </w:pPr>
          </w:p>
          <w:p w14:paraId="702B5CA1" w14:textId="77777777" w:rsidR="00D94355" w:rsidRDefault="00D94355" w:rsidP="00D94355">
            <w:pPr>
              <w:jc w:val="right"/>
              <w:rPr>
                <w:snapToGrid w:val="0"/>
                <w:color w:val="000000"/>
                <w:sz w:val="20"/>
              </w:rPr>
            </w:pPr>
          </w:p>
        </w:tc>
        <w:tc>
          <w:tcPr>
            <w:tcW w:w="142" w:type="dxa"/>
            <w:tcBorders>
              <w:right w:val="single" w:sz="4" w:space="0" w:color="auto"/>
            </w:tcBorders>
          </w:tcPr>
          <w:p w14:paraId="4A8D9289" w14:textId="77777777" w:rsidR="00D94355" w:rsidRDefault="00D94355" w:rsidP="00D94355">
            <w:pPr>
              <w:jc w:val="right"/>
              <w:rPr>
                <w:snapToGrid w:val="0"/>
                <w:color w:val="000000"/>
                <w:sz w:val="20"/>
              </w:rPr>
            </w:pPr>
          </w:p>
        </w:tc>
        <w:tc>
          <w:tcPr>
            <w:tcW w:w="2233" w:type="dxa"/>
            <w:gridSpan w:val="2"/>
            <w:vMerge w:val="restart"/>
            <w:tcBorders>
              <w:top w:val="single" w:sz="4" w:space="0" w:color="auto"/>
              <w:left w:val="single" w:sz="4" w:space="0" w:color="auto"/>
              <w:bottom w:val="single" w:sz="4" w:space="0" w:color="auto"/>
              <w:right w:val="single" w:sz="4" w:space="0" w:color="auto"/>
            </w:tcBorders>
            <w:vAlign w:val="center"/>
          </w:tcPr>
          <w:p w14:paraId="343B69F6" w14:textId="77777777" w:rsidR="00D94355" w:rsidRDefault="00D94355" w:rsidP="00D94355">
            <w:pPr>
              <w:rPr>
                <w:snapToGrid w:val="0"/>
                <w:color w:val="000000"/>
                <w:sz w:val="20"/>
              </w:rPr>
            </w:pPr>
          </w:p>
        </w:tc>
        <w:tc>
          <w:tcPr>
            <w:tcW w:w="992" w:type="dxa"/>
            <w:vMerge/>
            <w:tcBorders>
              <w:left w:val="single" w:sz="4" w:space="0" w:color="auto"/>
              <w:right w:val="single" w:sz="4" w:space="0" w:color="auto"/>
            </w:tcBorders>
            <w:vAlign w:val="center"/>
          </w:tcPr>
          <w:p w14:paraId="665CD430" w14:textId="77777777" w:rsidR="00D94355" w:rsidRDefault="00D94355" w:rsidP="00D94355">
            <w:pPr>
              <w:jc w:val="right"/>
              <w:rPr>
                <w:snapToGrid w:val="0"/>
                <w:color w:val="000000"/>
                <w:sz w:val="20"/>
              </w:rPr>
            </w:pPr>
          </w:p>
        </w:tc>
        <w:tc>
          <w:tcPr>
            <w:tcW w:w="993" w:type="dxa"/>
            <w:vMerge/>
            <w:tcBorders>
              <w:left w:val="single" w:sz="4" w:space="0" w:color="auto"/>
              <w:right w:val="single" w:sz="4" w:space="0" w:color="auto"/>
            </w:tcBorders>
            <w:vAlign w:val="center"/>
          </w:tcPr>
          <w:p w14:paraId="12451CC4" w14:textId="77777777" w:rsidR="00D94355" w:rsidRDefault="00D94355" w:rsidP="00D94355">
            <w:pPr>
              <w:jc w:val="right"/>
              <w:rPr>
                <w:snapToGrid w:val="0"/>
                <w:color w:val="000000"/>
                <w:sz w:val="20"/>
              </w:rPr>
            </w:pPr>
          </w:p>
        </w:tc>
        <w:tc>
          <w:tcPr>
            <w:tcW w:w="1571" w:type="dxa"/>
            <w:vMerge/>
            <w:tcBorders>
              <w:top w:val="single" w:sz="4" w:space="0" w:color="auto"/>
              <w:left w:val="single" w:sz="4" w:space="0" w:color="auto"/>
              <w:bottom w:val="single" w:sz="4" w:space="0" w:color="auto"/>
              <w:right w:val="single" w:sz="4" w:space="0" w:color="auto"/>
            </w:tcBorders>
            <w:vAlign w:val="center"/>
          </w:tcPr>
          <w:p w14:paraId="006D5131" w14:textId="77777777" w:rsidR="00D94355" w:rsidRDefault="00D94355" w:rsidP="00D94355">
            <w:pPr>
              <w:jc w:val="right"/>
              <w:rPr>
                <w:snapToGrid w:val="0"/>
                <w:color w:val="000000"/>
                <w:sz w:val="20"/>
              </w:rPr>
            </w:pPr>
          </w:p>
        </w:tc>
      </w:tr>
      <w:tr w:rsidR="00D94355" w14:paraId="44191B2D" w14:textId="77777777" w:rsidTr="00762CFB">
        <w:trPr>
          <w:cantSplit/>
          <w:trHeight w:val="202"/>
        </w:trPr>
        <w:tc>
          <w:tcPr>
            <w:tcW w:w="1625" w:type="dxa"/>
            <w:vMerge/>
            <w:tcBorders>
              <w:left w:val="single" w:sz="4" w:space="0" w:color="auto"/>
              <w:right w:val="single" w:sz="4" w:space="0" w:color="auto"/>
            </w:tcBorders>
            <w:vAlign w:val="center"/>
          </w:tcPr>
          <w:p w14:paraId="62A3647C" w14:textId="77777777" w:rsidR="00D94355" w:rsidRDefault="00D94355" w:rsidP="00D94355">
            <w:pPr>
              <w:rPr>
                <w:snapToGrid w:val="0"/>
                <w:color w:val="000000"/>
                <w:sz w:val="20"/>
              </w:rPr>
            </w:pPr>
          </w:p>
        </w:tc>
        <w:tc>
          <w:tcPr>
            <w:tcW w:w="1974" w:type="dxa"/>
            <w:vMerge/>
            <w:tcBorders>
              <w:left w:val="single" w:sz="4" w:space="0" w:color="auto"/>
              <w:right w:val="single" w:sz="4" w:space="0" w:color="auto"/>
            </w:tcBorders>
            <w:vAlign w:val="center"/>
          </w:tcPr>
          <w:p w14:paraId="3152D29F" w14:textId="77777777" w:rsidR="00D94355" w:rsidRDefault="00D94355" w:rsidP="00D94355">
            <w:pPr>
              <w:jc w:val="right"/>
              <w:rPr>
                <w:snapToGrid w:val="0"/>
                <w:color w:val="000000"/>
                <w:sz w:val="20"/>
              </w:rPr>
            </w:pPr>
          </w:p>
        </w:tc>
        <w:tc>
          <w:tcPr>
            <w:tcW w:w="460" w:type="dxa"/>
            <w:tcBorders>
              <w:left w:val="single" w:sz="4" w:space="0" w:color="auto"/>
            </w:tcBorders>
          </w:tcPr>
          <w:p w14:paraId="5166F4FA" w14:textId="77777777" w:rsidR="00D94355" w:rsidRDefault="00D94355" w:rsidP="00D94355">
            <w:pPr>
              <w:jc w:val="right"/>
              <w:rPr>
                <w:snapToGrid w:val="0"/>
                <w:color w:val="000000"/>
                <w:sz w:val="20"/>
              </w:rPr>
            </w:pPr>
          </w:p>
        </w:tc>
        <w:tc>
          <w:tcPr>
            <w:tcW w:w="142" w:type="dxa"/>
            <w:tcBorders>
              <w:right w:val="single" w:sz="4" w:space="0" w:color="auto"/>
            </w:tcBorders>
          </w:tcPr>
          <w:p w14:paraId="75D10524" w14:textId="77777777" w:rsidR="00D94355" w:rsidRDefault="00D94355" w:rsidP="00D94355">
            <w:pPr>
              <w:jc w:val="right"/>
              <w:rPr>
                <w:snapToGrid w:val="0"/>
                <w:color w:val="000000"/>
                <w:sz w:val="20"/>
              </w:rPr>
            </w:pPr>
          </w:p>
        </w:tc>
        <w:tc>
          <w:tcPr>
            <w:tcW w:w="2233" w:type="dxa"/>
            <w:gridSpan w:val="2"/>
            <w:vMerge/>
            <w:tcBorders>
              <w:top w:val="single" w:sz="4" w:space="0" w:color="auto"/>
              <w:left w:val="single" w:sz="4" w:space="0" w:color="auto"/>
              <w:bottom w:val="single" w:sz="4" w:space="0" w:color="auto"/>
              <w:right w:val="single" w:sz="4" w:space="0" w:color="auto"/>
            </w:tcBorders>
            <w:vAlign w:val="center"/>
          </w:tcPr>
          <w:p w14:paraId="6EBF2C9D" w14:textId="77777777" w:rsidR="00D94355" w:rsidRDefault="00D94355" w:rsidP="00D94355">
            <w:pPr>
              <w:jc w:val="right"/>
              <w:rPr>
                <w:snapToGrid w:val="0"/>
                <w:color w:val="000000"/>
                <w:sz w:val="20"/>
              </w:rPr>
            </w:pPr>
          </w:p>
        </w:tc>
        <w:tc>
          <w:tcPr>
            <w:tcW w:w="992" w:type="dxa"/>
            <w:vMerge/>
            <w:tcBorders>
              <w:left w:val="single" w:sz="4" w:space="0" w:color="auto"/>
              <w:bottom w:val="single" w:sz="4" w:space="0" w:color="auto"/>
              <w:right w:val="single" w:sz="4" w:space="0" w:color="auto"/>
            </w:tcBorders>
            <w:vAlign w:val="center"/>
          </w:tcPr>
          <w:p w14:paraId="371F6AA9" w14:textId="77777777" w:rsidR="00D94355" w:rsidRDefault="00D94355" w:rsidP="00D94355">
            <w:pPr>
              <w:jc w:val="right"/>
              <w:rPr>
                <w:snapToGrid w:val="0"/>
                <w:color w:val="000000"/>
                <w:sz w:val="20"/>
              </w:rPr>
            </w:pPr>
          </w:p>
        </w:tc>
        <w:tc>
          <w:tcPr>
            <w:tcW w:w="993" w:type="dxa"/>
            <w:vMerge/>
            <w:tcBorders>
              <w:left w:val="single" w:sz="4" w:space="0" w:color="auto"/>
              <w:bottom w:val="single" w:sz="4" w:space="0" w:color="auto"/>
              <w:right w:val="single" w:sz="4" w:space="0" w:color="auto"/>
            </w:tcBorders>
            <w:vAlign w:val="center"/>
          </w:tcPr>
          <w:p w14:paraId="4B4BB753" w14:textId="77777777" w:rsidR="00D94355" w:rsidRDefault="00D94355" w:rsidP="00D94355">
            <w:pPr>
              <w:jc w:val="right"/>
              <w:rPr>
                <w:snapToGrid w:val="0"/>
                <w:color w:val="000000"/>
                <w:sz w:val="20"/>
              </w:rPr>
            </w:pPr>
          </w:p>
        </w:tc>
        <w:tc>
          <w:tcPr>
            <w:tcW w:w="1571" w:type="dxa"/>
            <w:vMerge/>
            <w:tcBorders>
              <w:top w:val="single" w:sz="4" w:space="0" w:color="auto"/>
              <w:left w:val="single" w:sz="4" w:space="0" w:color="auto"/>
              <w:bottom w:val="single" w:sz="4" w:space="0" w:color="auto"/>
              <w:right w:val="single" w:sz="4" w:space="0" w:color="auto"/>
            </w:tcBorders>
            <w:vAlign w:val="center"/>
          </w:tcPr>
          <w:p w14:paraId="32C4D481" w14:textId="77777777" w:rsidR="00D94355" w:rsidRDefault="00D94355" w:rsidP="00D94355">
            <w:pPr>
              <w:jc w:val="right"/>
              <w:rPr>
                <w:snapToGrid w:val="0"/>
                <w:color w:val="000000"/>
                <w:sz w:val="20"/>
              </w:rPr>
            </w:pPr>
          </w:p>
        </w:tc>
      </w:tr>
      <w:tr w:rsidR="00D94355" w14:paraId="5E28470B" w14:textId="77777777" w:rsidTr="00762CFB">
        <w:trPr>
          <w:cantSplit/>
          <w:trHeight w:val="60"/>
        </w:trPr>
        <w:tc>
          <w:tcPr>
            <w:tcW w:w="1625" w:type="dxa"/>
            <w:vMerge/>
            <w:tcBorders>
              <w:left w:val="single" w:sz="4" w:space="0" w:color="auto"/>
              <w:bottom w:val="single" w:sz="4" w:space="0" w:color="auto"/>
              <w:right w:val="single" w:sz="4" w:space="0" w:color="auto"/>
            </w:tcBorders>
          </w:tcPr>
          <w:p w14:paraId="12345DAD" w14:textId="77777777" w:rsidR="00D94355" w:rsidRDefault="00D94355" w:rsidP="00D94355">
            <w:pPr>
              <w:rPr>
                <w:snapToGrid w:val="0"/>
                <w:color w:val="000000"/>
                <w:sz w:val="20"/>
              </w:rPr>
            </w:pPr>
          </w:p>
        </w:tc>
        <w:tc>
          <w:tcPr>
            <w:tcW w:w="1974" w:type="dxa"/>
            <w:vMerge/>
            <w:tcBorders>
              <w:left w:val="single" w:sz="4" w:space="0" w:color="auto"/>
              <w:bottom w:val="single" w:sz="4" w:space="0" w:color="auto"/>
              <w:right w:val="single" w:sz="4" w:space="0" w:color="auto"/>
            </w:tcBorders>
          </w:tcPr>
          <w:p w14:paraId="7DFA5E88" w14:textId="77777777" w:rsidR="00D94355" w:rsidRDefault="00D94355" w:rsidP="00D94355">
            <w:pPr>
              <w:jc w:val="right"/>
              <w:rPr>
                <w:snapToGrid w:val="0"/>
                <w:color w:val="000000"/>
                <w:sz w:val="20"/>
              </w:rPr>
            </w:pPr>
          </w:p>
        </w:tc>
        <w:tc>
          <w:tcPr>
            <w:tcW w:w="460" w:type="dxa"/>
            <w:tcBorders>
              <w:left w:val="single" w:sz="4" w:space="0" w:color="auto"/>
            </w:tcBorders>
          </w:tcPr>
          <w:p w14:paraId="09097973" w14:textId="77777777" w:rsidR="00D94355" w:rsidRDefault="00D94355" w:rsidP="00D94355">
            <w:pPr>
              <w:jc w:val="right"/>
              <w:rPr>
                <w:snapToGrid w:val="0"/>
                <w:color w:val="000000"/>
                <w:sz w:val="20"/>
              </w:rPr>
            </w:pPr>
          </w:p>
        </w:tc>
        <w:tc>
          <w:tcPr>
            <w:tcW w:w="142" w:type="dxa"/>
          </w:tcPr>
          <w:p w14:paraId="4B84F5F0" w14:textId="77777777" w:rsidR="00D94355" w:rsidRDefault="00D94355" w:rsidP="00D94355">
            <w:pPr>
              <w:jc w:val="right"/>
              <w:rPr>
                <w:snapToGrid w:val="0"/>
                <w:color w:val="000000"/>
                <w:sz w:val="20"/>
              </w:rPr>
            </w:pPr>
          </w:p>
        </w:tc>
        <w:tc>
          <w:tcPr>
            <w:tcW w:w="1199" w:type="dxa"/>
            <w:tcBorders>
              <w:top w:val="single" w:sz="4" w:space="0" w:color="auto"/>
            </w:tcBorders>
            <w:vAlign w:val="center"/>
          </w:tcPr>
          <w:p w14:paraId="46DBC4C4" w14:textId="77777777" w:rsidR="00D94355" w:rsidRDefault="00D94355" w:rsidP="00D94355">
            <w:pPr>
              <w:jc w:val="right"/>
              <w:rPr>
                <w:snapToGrid w:val="0"/>
                <w:color w:val="000000"/>
                <w:sz w:val="20"/>
              </w:rPr>
            </w:pPr>
          </w:p>
        </w:tc>
        <w:tc>
          <w:tcPr>
            <w:tcW w:w="1034" w:type="dxa"/>
            <w:tcBorders>
              <w:top w:val="single" w:sz="4" w:space="0" w:color="auto"/>
            </w:tcBorders>
            <w:vAlign w:val="center"/>
          </w:tcPr>
          <w:p w14:paraId="78185F1A" w14:textId="77777777" w:rsidR="00D94355" w:rsidRDefault="00D94355" w:rsidP="00D94355">
            <w:pPr>
              <w:jc w:val="right"/>
              <w:rPr>
                <w:snapToGrid w:val="0"/>
                <w:color w:val="000000"/>
                <w:sz w:val="20"/>
              </w:rPr>
            </w:pPr>
          </w:p>
        </w:tc>
        <w:tc>
          <w:tcPr>
            <w:tcW w:w="992" w:type="dxa"/>
            <w:tcBorders>
              <w:top w:val="single" w:sz="4" w:space="0" w:color="auto"/>
            </w:tcBorders>
            <w:vAlign w:val="center"/>
          </w:tcPr>
          <w:p w14:paraId="5A0568B9" w14:textId="77777777" w:rsidR="00D94355" w:rsidRDefault="00D94355" w:rsidP="00D94355">
            <w:pPr>
              <w:jc w:val="right"/>
              <w:rPr>
                <w:snapToGrid w:val="0"/>
                <w:color w:val="000000"/>
                <w:sz w:val="20"/>
              </w:rPr>
            </w:pPr>
          </w:p>
        </w:tc>
        <w:tc>
          <w:tcPr>
            <w:tcW w:w="993" w:type="dxa"/>
            <w:tcBorders>
              <w:top w:val="single" w:sz="4" w:space="0" w:color="auto"/>
            </w:tcBorders>
            <w:vAlign w:val="center"/>
          </w:tcPr>
          <w:p w14:paraId="1C8F59DA" w14:textId="77777777" w:rsidR="00D94355" w:rsidRDefault="00D94355" w:rsidP="00D94355">
            <w:pPr>
              <w:jc w:val="right"/>
              <w:rPr>
                <w:snapToGrid w:val="0"/>
                <w:color w:val="000000"/>
                <w:sz w:val="20"/>
              </w:rPr>
            </w:pPr>
          </w:p>
        </w:tc>
        <w:tc>
          <w:tcPr>
            <w:tcW w:w="1571" w:type="dxa"/>
            <w:tcBorders>
              <w:top w:val="single" w:sz="4" w:space="0" w:color="auto"/>
            </w:tcBorders>
            <w:vAlign w:val="center"/>
          </w:tcPr>
          <w:p w14:paraId="4276AF1A" w14:textId="77777777" w:rsidR="00D94355" w:rsidRDefault="00D94355" w:rsidP="00D94355">
            <w:pPr>
              <w:jc w:val="right"/>
              <w:rPr>
                <w:snapToGrid w:val="0"/>
                <w:color w:val="000000"/>
                <w:sz w:val="20"/>
              </w:rPr>
            </w:pPr>
          </w:p>
        </w:tc>
      </w:tr>
    </w:tbl>
    <w:p w14:paraId="4A3A5F97" w14:textId="77777777" w:rsidR="00D94355" w:rsidRDefault="00D94355" w:rsidP="00D94355"/>
    <w:p w14:paraId="7CB3E09C" w14:textId="31653FE7" w:rsidR="00D94355" w:rsidRPr="00D94355" w:rsidRDefault="00D94355" w:rsidP="00D94355">
      <w:pPr>
        <w:rPr>
          <w:snapToGrid w:val="0"/>
          <w:color w:val="000000"/>
          <w:sz w:val="20"/>
        </w:rPr>
      </w:pPr>
      <w:r>
        <w:rPr>
          <w:snapToGrid w:val="0"/>
          <w:color w:val="000000"/>
          <w:sz w:val="20"/>
        </w:rPr>
        <w:t>Award a mark for each section and an A - C for an overall grade. Please refer to the rubric attach for marking.</w:t>
      </w:r>
    </w:p>
    <w:tbl>
      <w:tblPr>
        <w:tblStyle w:val="TableGrid"/>
        <w:tblW w:w="10297" w:type="dxa"/>
        <w:tblInd w:w="-289" w:type="dxa"/>
        <w:tblLook w:val="04A0" w:firstRow="1" w:lastRow="0" w:firstColumn="1" w:lastColumn="0" w:noHBand="0" w:noVBand="1"/>
      </w:tblPr>
      <w:tblGrid>
        <w:gridCol w:w="2066"/>
        <w:gridCol w:w="3240"/>
        <w:gridCol w:w="4991"/>
      </w:tblGrid>
      <w:tr w:rsidR="00D94355" w14:paraId="4D3A8BD2" w14:textId="77777777" w:rsidTr="00762CFB">
        <w:tc>
          <w:tcPr>
            <w:tcW w:w="2066" w:type="dxa"/>
            <w:tcBorders>
              <w:bottom w:val="single" w:sz="4" w:space="0" w:color="auto"/>
            </w:tcBorders>
          </w:tcPr>
          <w:p w14:paraId="1BBCA9F3" w14:textId="77777777" w:rsidR="00D94355" w:rsidRDefault="00D94355" w:rsidP="00D94355">
            <w:pPr>
              <w:rPr>
                <w:snapToGrid w:val="0"/>
                <w:color w:val="000000"/>
              </w:rPr>
            </w:pPr>
            <w:r>
              <w:rPr>
                <w:b/>
                <w:snapToGrid w:val="0"/>
                <w:color w:val="000000"/>
              </w:rPr>
              <w:t>Sections:</w:t>
            </w:r>
          </w:p>
        </w:tc>
        <w:tc>
          <w:tcPr>
            <w:tcW w:w="3240" w:type="dxa"/>
            <w:tcBorders>
              <w:bottom w:val="single" w:sz="4" w:space="0" w:color="auto"/>
            </w:tcBorders>
          </w:tcPr>
          <w:p w14:paraId="2FD08AB2" w14:textId="77777777" w:rsidR="00D94355" w:rsidRDefault="00D94355" w:rsidP="00D94355">
            <w:pPr>
              <w:rPr>
                <w:snapToGrid w:val="0"/>
                <w:color w:val="000000"/>
              </w:rPr>
            </w:pPr>
            <w:r>
              <w:rPr>
                <w:b/>
                <w:snapToGrid w:val="0"/>
                <w:color w:val="000000"/>
              </w:rPr>
              <w:t>Subsections:</w:t>
            </w:r>
          </w:p>
        </w:tc>
        <w:tc>
          <w:tcPr>
            <w:tcW w:w="4991" w:type="dxa"/>
            <w:tcBorders>
              <w:bottom w:val="single" w:sz="4" w:space="0" w:color="auto"/>
            </w:tcBorders>
          </w:tcPr>
          <w:p w14:paraId="6E65AA13" w14:textId="77777777" w:rsidR="00D94355" w:rsidRDefault="00D94355" w:rsidP="00D94355">
            <w:pPr>
              <w:rPr>
                <w:snapToGrid w:val="0"/>
                <w:color w:val="000000"/>
              </w:rPr>
            </w:pPr>
            <w:r>
              <w:rPr>
                <w:b/>
                <w:snapToGrid w:val="0"/>
                <w:color w:val="000000"/>
              </w:rPr>
              <w:t>Comments:</w:t>
            </w:r>
          </w:p>
        </w:tc>
      </w:tr>
      <w:tr w:rsidR="00D94355" w14:paraId="29B84958" w14:textId="77777777" w:rsidTr="00762CFB">
        <w:trPr>
          <w:trHeight w:val="2611"/>
        </w:trPr>
        <w:tc>
          <w:tcPr>
            <w:tcW w:w="2066" w:type="dxa"/>
            <w:tcBorders>
              <w:top w:val="single" w:sz="4" w:space="0" w:color="auto"/>
              <w:left w:val="single" w:sz="4" w:space="0" w:color="auto"/>
              <w:bottom w:val="single" w:sz="4" w:space="0" w:color="auto"/>
              <w:right w:val="nil"/>
            </w:tcBorders>
          </w:tcPr>
          <w:p w14:paraId="5A12C6F0" w14:textId="77777777" w:rsidR="00D94355" w:rsidRDefault="00D94355" w:rsidP="00D94355">
            <w:pPr>
              <w:rPr>
                <w:b/>
                <w:snapToGrid w:val="0"/>
                <w:color w:val="000000"/>
              </w:rPr>
            </w:pPr>
            <w:r>
              <w:rPr>
                <w:b/>
                <w:snapToGrid w:val="0"/>
                <w:color w:val="000000"/>
              </w:rPr>
              <w:t>Process</w:t>
            </w:r>
          </w:p>
          <w:p w14:paraId="1D66C240" w14:textId="77777777" w:rsidR="00D94355" w:rsidRDefault="00D94355" w:rsidP="00D94355">
            <w:pPr>
              <w:rPr>
                <w:snapToGrid w:val="0"/>
                <w:color w:val="000000"/>
              </w:rPr>
            </w:pPr>
          </w:p>
          <w:p w14:paraId="0A36DBA8" w14:textId="77777777" w:rsidR="00D94355" w:rsidRDefault="00D94355" w:rsidP="00D94355">
            <w:pPr>
              <w:rPr>
                <w:snapToGrid w:val="0"/>
                <w:color w:val="000000"/>
              </w:rPr>
            </w:pPr>
          </w:p>
          <w:p w14:paraId="75957DAA" w14:textId="77777777" w:rsidR="00D94355" w:rsidRDefault="00D94355" w:rsidP="00D94355">
            <w:pPr>
              <w:rPr>
                <w:snapToGrid w:val="0"/>
                <w:color w:val="000000"/>
              </w:rPr>
            </w:pPr>
          </w:p>
          <w:p w14:paraId="0302E776" w14:textId="77777777" w:rsidR="00D94355" w:rsidRDefault="00D94355" w:rsidP="00D94355">
            <w:pPr>
              <w:rPr>
                <w:snapToGrid w:val="0"/>
                <w:color w:val="000000"/>
              </w:rPr>
            </w:pPr>
          </w:p>
          <w:p w14:paraId="2176415B" w14:textId="77777777" w:rsidR="00D94355" w:rsidRDefault="00D94355" w:rsidP="00D94355">
            <w:pPr>
              <w:rPr>
                <w:snapToGrid w:val="0"/>
                <w:color w:val="000000"/>
              </w:rPr>
            </w:pPr>
          </w:p>
          <w:p w14:paraId="50B60F56" w14:textId="77777777" w:rsidR="00D94355" w:rsidRDefault="00D94355" w:rsidP="00D94355">
            <w:pPr>
              <w:rPr>
                <w:snapToGrid w:val="0"/>
                <w:color w:val="000000"/>
              </w:rPr>
            </w:pPr>
          </w:p>
          <w:p w14:paraId="73772776" w14:textId="77777777" w:rsidR="00D94355" w:rsidRDefault="00D94355" w:rsidP="00D94355">
            <w:pPr>
              <w:rPr>
                <w:snapToGrid w:val="0"/>
                <w:color w:val="000000"/>
              </w:rPr>
            </w:pPr>
          </w:p>
          <w:p w14:paraId="3D31D62C" w14:textId="77777777" w:rsidR="00D94355" w:rsidRDefault="00D94355" w:rsidP="00D94355">
            <w:pPr>
              <w:rPr>
                <w:snapToGrid w:val="0"/>
                <w:color w:val="000000"/>
              </w:rPr>
            </w:pPr>
          </w:p>
          <w:p w14:paraId="3BF23D03" w14:textId="77777777" w:rsidR="00D94355" w:rsidRDefault="00D94355" w:rsidP="00D94355">
            <w:pPr>
              <w:rPr>
                <w:snapToGrid w:val="0"/>
                <w:color w:val="000000"/>
              </w:rPr>
            </w:pPr>
          </w:p>
          <w:p w14:paraId="571B6C90" w14:textId="77777777" w:rsidR="00D94355" w:rsidRDefault="00D94355" w:rsidP="00D94355">
            <w:pPr>
              <w:rPr>
                <w:snapToGrid w:val="0"/>
                <w:color w:val="000000"/>
              </w:rPr>
            </w:pPr>
          </w:p>
          <w:p w14:paraId="5220AD4C" w14:textId="77777777" w:rsidR="00D94355" w:rsidRDefault="00D94355" w:rsidP="00D94355">
            <w:pPr>
              <w:rPr>
                <w:snapToGrid w:val="0"/>
                <w:color w:val="000000"/>
              </w:rPr>
            </w:pPr>
          </w:p>
          <w:p w14:paraId="4AA52668" w14:textId="77777777" w:rsidR="00D94355" w:rsidRPr="009C7196" w:rsidRDefault="00D94355" w:rsidP="00D94355">
            <w:pPr>
              <w:rPr>
                <w:snapToGrid w:val="0"/>
                <w:color w:val="000000"/>
              </w:rPr>
            </w:pPr>
          </w:p>
        </w:tc>
        <w:tc>
          <w:tcPr>
            <w:tcW w:w="3240" w:type="dxa"/>
            <w:tcBorders>
              <w:top w:val="single" w:sz="4" w:space="0" w:color="auto"/>
              <w:left w:val="nil"/>
              <w:bottom w:val="single" w:sz="4" w:space="0" w:color="auto"/>
              <w:right w:val="nil"/>
            </w:tcBorders>
          </w:tcPr>
          <w:p w14:paraId="3CBF4FE7" w14:textId="77777777" w:rsidR="00D94355" w:rsidRDefault="00D94355" w:rsidP="00D94355">
            <w:pPr>
              <w:rPr>
                <w:snapToGrid w:val="0"/>
                <w:color w:val="000000"/>
              </w:rPr>
            </w:pPr>
            <w:r>
              <w:rPr>
                <w:snapToGrid w:val="0"/>
                <w:color w:val="000000"/>
              </w:rPr>
              <w:t>Dissertation Proposal  (15%)</w:t>
            </w:r>
          </w:p>
          <w:p w14:paraId="50D7192E" w14:textId="77777777" w:rsidR="00D94355" w:rsidRDefault="00D94355" w:rsidP="00D94355">
            <w:pPr>
              <w:rPr>
                <w:snapToGrid w:val="0"/>
                <w:color w:val="000000"/>
              </w:rPr>
            </w:pPr>
          </w:p>
          <w:p w14:paraId="66EDDC8A" w14:textId="77777777" w:rsidR="00D94355" w:rsidRDefault="00D94355" w:rsidP="00D94355">
            <w:pPr>
              <w:rPr>
                <w:snapToGrid w:val="0"/>
                <w:color w:val="000000"/>
              </w:rPr>
            </w:pPr>
          </w:p>
          <w:p w14:paraId="4E328A60" w14:textId="77777777" w:rsidR="00D94355" w:rsidRDefault="00D94355" w:rsidP="00D94355">
            <w:pPr>
              <w:rPr>
                <w:snapToGrid w:val="0"/>
                <w:color w:val="000000"/>
              </w:rPr>
            </w:pPr>
          </w:p>
          <w:p w14:paraId="03F36277" w14:textId="77777777" w:rsidR="00D94355" w:rsidRDefault="00D94355" w:rsidP="00D94355">
            <w:pPr>
              <w:rPr>
                <w:snapToGrid w:val="0"/>
                <w:color w:val="000000"/>
              </w:rPr>
            </w:pPr>
            <w:r>
              <w:rPr>
                <w:snapToGrid w:val="0"/>
                <w:color w:val="000000"/>
              </w:rPr>
              <w:t>Reflection  (5%)</w:t>
            </w:r>
          </w:p>
          <w:p w14:paraId="2B151DB0" w14:textId="77777777" w:rsidR="00D94355" w:rsidRDefault="00D94355" w:rsidP="00D94355">
            <w:pPr>
              <w:rPr>
                <w:snapToGrid w:val="0"/>
                <w:color w:val="000000"/>
              </w:rPr>
            </w:pPr>
          </w:p>
          <w:p w14:paraId="6420B417" w14:textId="77777777" w:rsidR="00D94355" w:rsidRDefault="00D94355" w:rsidP="00D94355">
            <w:pPr>
              <w:rPr>
                <w:snapToGrid w:val="0"/>
                <w:color w:val="000000"/>
              </w:rPr>
            </w:pPr>
          </w:p>
          <w:p w14:paraId="6AEA538C" w14:textId="77777777" w:rsidR="00D94355" w:rsidRDefault="00D94355" w:rsidP="00D94355">
            <w:pPr>
              <w:rPr>
                <w:snapToGrid w:val="0"/>
                <w:color w:val="000000"/>
              </w:rPr>
            </w:pPr>
          </w:p>
          <w:p w14:paraId="1AB13193" w14:textId="49583A4D" w:rsidR="00D94355" w:rsidRDefault="00D94355" w:rsidP="00D94355">
            <w:pPr>
              <w:rPr>
                <w:snapToGrid w:val="0"/>
                <w:color w:val="000000"/>
              </w:rPr>
            </w:pPr>
            <w:r w:rsidRPr="009C7196">
              <w:rPr>
                <w:b/>
                <w:snapToGrid w:val="0"/>
                <w:color w:val="000000"/>
              </w:rPr>
              <w:t>Marks</w:t>
            </w:r>
            <w:r>
              <w:rPr>
                <w:snapToGrid w:val="0"/>
                <w:color w:val="000000"/>
              </w:rPr>
              <w:t>: _______ / 20%</w:t>
            </w:r>
          </w:p>
        </w:tc>
        <w:tc>
          <w:tcPr>
            <w:tcW w:w="4991" w:type="dxa"/>
            <w:tcBorders>
              <w:top w:val="single" w:sz="4" w:space="0" w:color="auto"/>
              <w:left w:val="nil"/>
              <w:bottom w:val="single" w:sz="4" w:space="0" w:color="auto"/>
              <w:right w:val="single" w:sz="4" w:space="0" w:color="auto"/>
            </w:tcBorders>
          </w:tcPr>
          <w:p w14:paraId="54480ABD" w14:textId="77777777" w:rsidR="00D94355" w:rsidRDefault="00D94355" w:rsidP="00D94355">
            <w:pPr>
              <w:rPr>
                <w:snapToGrid w:val="0"/>
                <w:color w:val="000000"/>
              </w:rPr>
            </w:pPr>
          </w:p>
          <w:p w14:paraId="6AD0CE1F" w14:textId="77777777" w:rsidR="00D94355" w:rsidRDefault="00D94355" w:rsidP="00D94355">
            <w:pPr>
              <w:rPr>
                <w:snapToGrid w:val="0"/>
                <w:color w:val="000000"/>
              </w:rPr>
            </w:pPr>
          </w:p>
          <w:p w14:paraId="678076D1" w14:textId="77777777" w:rsidR="00D94355" w:rsidRDefault="00D94355" w:rsidP="00D94355">
            <w:pPr>
              <w:rPr>
                <w:snapToGrid w:val="0"/>
                <w:color w:val="000000"/>
              </w:rPr>
            </w:pPr>
          </w:p>
          <w:p w14:paraId="465B1DFF" w14:textId="77777777" w:rsidR="00D94355" w:rsidRDefault="00D94355" w:rsidP="00D94355">
            <w:pPr>
              <w:rPr>
                <w:snapToGrid w:val="0"/>
                <w:color w:val="000000"/>
              </w:rPr>
            </w:pPr>
          </w:p>
          <w:p w14:paraId="309A92F5" w14:textId="77777777" w:rsidR="00D94355" w:rsidRDefault="00D94355" w:rsidP="00D94355">
            <w:pPr>
              <w:rPr>
                <w:snapToGrid w:val="0"/>
                <w:color w:val="000000"/>
              </w:rPr>
            </w:pPr>
          </w:p>
          <w:p w14:paraId="35049A3F" w14:textId="77777777" w:rsidR="00D94355" w:rsidRDefault="00D94355" w:rsidP="00D94355">
            <w:pPr>
              <w:rPr>
                <w:snapToGrid w:val="0"/>
                <w:color w:val="000000"/>
              </w:rPr>
            </w:pPr>
          </w:p>
          <w:p w14:paraId="0C9E232E" w14:textId="77777777" w:rsidR="00D94355" w:rsidRDefault="00D94355" w:rsidP="00D94355">
            <w:pPr>
              <w:rPr>
                <w:snapToGrid w:val="0"/>
                <w:color w:val="000000"/>
              </w:rPr>
            </w:pPr>
          </w:p>
        </w:tc>
      </w:tr>
      <w:tr w:rsidR="00D94355" w14:paraId="7AAD09CF" w14:textId="77777777" w:rsidTr="00762CFB">
        <w:trPr>
          <w:trHeight w:val="1525"/>
        </w:trPr>
        <w:tc>
          <w:tcPr>
            <w:tcW w:w="2066" w:type="dxa"/>
            <w:tcBorders>
              <w:top w:val="single" w:sz="4" w:space="0" w:color="auto"/>
              <w:left w:val="single" w:sz="4" w:space="0" w:color="auto"/>
              <w:bottom w:val="single" w:sz="4" w:space="0" w:color="auto"/>
              <w:right w:val="nil"/>
            </w:tcBorders>
          </w:tcPr>
          <w:p w14:paraId="1DE28033" w14:textId="77777777" w:rsidR="00D94355" w:rsidRDefault="00D94355" w:rsidP="00D94355">
            <w:pPr>
              <w:rPr>
                <w:b/>
                <w:snapToGrid w:val="0"/>
                <w:color w:val="000000"/>
              </w:rPr>
            </w:pPr>
            <w:r w:rsidRPr="009C7196">
              <w:rPr>
                <w:b/>
                <w:snapToGrid w:val="0"/>
                <w:color w:val="000000"/>
              </w:rPr>
              <w:t>Dissertation management</w:t>
            </w:r>
          </w:p>
          <w:p w14:paraId="155CE618" w14:textId="77777777" w:rsidR="00D94355" w:rsidRDefault="00D94355" w:rsidP="00D94355">
            <w:pPr>
              <w:rPr>
                <w:snapToGrid w:val="0"/>
                <w:color w:val="000000"/>
              </w:rPr>
            </w:pPr>
          </w:p>
          <w:p w14:paraId="27F3D7B9" w14:textId="77777777" w:rsidR="00D94355" w:rsidRDefault="00D94355" w:rsidP="00D94355">
            <w:pPr>
              <w:rPr>
                <w:snapToGrid w:val="0"/>
                <w:color w:val="000000"/>
              </w:rPr>
            </w:pPr>
          </w:p>
          <w:p w14:paraId="50A7A61A" w14:textId="77777777" w:rsidR="00D94355" w:rsidRDefault="00D94355" w:rsidP="00D94355">
            <w:pPr>
              <w:rPr>
                <w:snapToGrid w:val="0"/>
                <w:color w:val="000000"/>
              </w:rPr>
            </w:pPr>
          </w:p>
          <w:p w14:paraId="4A9C21BD" w14:textId="77777777" w:rsidR="00D94355" w:rsidRDefault="00D94355" w:rsidP="00D94355">
            <w:pPr>
              <w:rPr>
                <w:snapToGrid w:val="0"/>
                <w:color w:val="000000"/>
              </w:rPr>
            </w:pPr>
          </w:p>
          <w:p w14:paraId="62C737E2" w14:textId="77777777" w:rsidR="00D94355" w:rsidRDefault="00D94355" w:rsidP="00D94355">
            <w:pPr>
              <w:rPr>
                <w:snapToGrid w:val="0"/>
                <w:color w:val="000000"/>
              </w:rPr>
            </w:pPr>
          </w:p>
        </w:tc>
        <w:tc>
          <w:tcPr>
            <w:tcW w:w="3240" w:type="dxa"/>
            <w:tcBorders>
              <w:top w:val="single" w:sz="4" w:space="0" w:color="auto"/>
              <w:left w:val="nil"/>
              <w:bottom w:val="single" w:sz="4" w:space="0" w:color="auto"/>
              <w:right w:val="nil"/>
            </w:tcBorders>
          </w:tcPr>
          <w:p w14:paraId="0FB7CC58" w14:textId="77777777" w:rsidR="00D94355" w:rsidRDefault="00D94355" w:rsidP="00D94355">
            <w:pPr>
              <w:rPr>
                <w:snapToGrid w:val="0"/>
                <w:color w:val="000000"/>
              </w:rPr>
            </w:pPr>
            <w:r>
              <w:rPr>
                <w:snapToGrid w:val="0"/>
                <w:color w:val="000000"/>
              </w:rPr>
              <w:t>Management</w:t>
            </w:r>
          </w:p>
          <w:p w14:paraId="13E98E8B" w14:textId="77777777" w:rsidR="00D94355" w:rsidRDefault="00D94355" w:rsidP="00D94355">
            <w:pPr>
              <w:rPr>
                <w:snapToGrid w:val="0"/>
                <w:color w:val="000000"/>
              </w:rPr>
            </w:pPr>
          </w:p>
          <w:p w14:paraId="020E3368" w14:textId="77777777" w:rsidR="00D94355" w:rsidRDefault="00D94355" w:rsidP="00D94355">
            <w:pPr>
              <w:rPr>
                <w:snapToGrid w:val="0"/>
                <w:color w:val="000000"/>
              </w:rPr>
            </w:pPr>
          </w:p>
          <w:p w14:paraId="75D6C624" w14:textId="77777777" w:rsidR="00D94355" w:rsidRDefault="00D94355" w:rsidP="00D94355">
            <w:pPr>
              <w:rPr>
                <w:snapToGrid w:val="0"/>
                <w:color w:val="000000"/>
              </w:rPr>
            </w:pPr>
            <w:r w:rsidRPr="009C7196">
              <w:rPr>
                <w:b/>
                <w:snapToGrid w:val="0"/>
                <w:color w:val="000000"/>
              </w:rPr>
              <w:t>Marks</w:t>
            </w:r>
            <w:r>
              <w:rPr>
                <w:snapToGrid w:val="0"/>
                <w:color w:val="000000"/>
              </w:rPr>
              <w:t>: _______ / 10%</w:t>
            </w:r>
          </w:p>
          <w:p w14:paraId="4B7C371C" w14:textId="77777777" w:rsidR="00D94355" w:rsidRDefault="00D94355" w:rsidP="00D94355">
            <w:pPr>
              <w:rPr>
                <w:snapToGrid w:val="0"/>
                <w:color w:val="000000"/>
              </w:rPr>
            </w:pPr>
          </w:p>
        </w:tc>
        <w:tc>
          <w:tcPr>
            <w:tcW w:w="4991" w:type="dxa"/>
            <w:tcBorders>
              <w:top w:val="single" w:sz="4" w:space="0" w:color="auto"/>
              <w:left w:val="nil"/>
              <w:bottom w:val="single" w:sz="4" w:space="0" w:color="auto"/>
              <w:right w:val="single" w:sz="4" w:space="0" w:color="auto"/>
            </w:tcBorders>
          </w:tcPr>
          <w:p w14:paraId="775B0A74" w14:textId="77777777" w:rsidR="00D94355" w:rsidRDefault="00D94355" w:rsidP="00D94355">
            <w:pPr>
              <w:rPr>
                <w:snapToGrid w:val="0"/>
                <w:color w:val="000000"/>
              </w:rPr>
            </w:pPr>
          </w:p>
        </w:tc>
      </w:tr>
      <w:tr w:rsidR="00D94355" w14:paraId="0C4D8C43" w14:textId="77777777" w:rsidTr="00762CFB">
        <w:trPr>
          <w:trHeight w:val="1525"/>
        </w:trPr>
        <w:tc>
          <w:tcPr>
            <w:tcW w:w="2066" w:type="dxa"/>
            <w:tcBorders>
              <w:top w:val="single" w:sz="4" w:space="0" w:color="auto"/>
              <w:left w:val="single" w:sz="4" w:space="0" w:color="auto"/>
              <w:bottom w:val="single" w:sz="4" w:space="0" w:color="auto"/>
              <w:right w:val="nil"/>
            </w:tcBorders>
          </w:tcPr>
          <w:p w14:paraId="5B5E4C33" w14:textId="77777777" w:rsidR="00D94355" w:rsidRDefault="00D94355" w:rsidP="00D94355">
            <w:pPr>
              <w:rPr>
                <w:snapToGrid w:val="0"/>
                <w:color w:val="000000"/>
              </w:rPr>
            </w:pPr>
            <w:r>
              <w:rPr>
                <w:b/>
                <w:snapToGrid w:val="0"/>
                <w:color w:val="000000"/>
              </w:rPr>
              <w:t>Structure</w:t>
            </w:r>
            <w:r>
              <w:rPr>
                <w:snapToGrid w:val="0"/>
                <w:color w:val="000000"/>
              </w:rPr>
              <w:t xml:space="preserve"> </w:t>
            </w:r>
          </w:p>
          <w:p w14:paraId="4B9E200F" w14:textId="77777777" w:rsidR="00D94355" w:rsidRDefault="00D94355" w:rsidP="00D94355">
            <w:pPr>
              <w:rPr>
                <w:snapToGrid w:val="0"/>
                <w:color w:val="000000"/>
              </w:rPr>
            </w:pPr>
          </w:p>
          <w:p w14:paraId="0C40CFFF" w14:textId="77777777" w:rsidR="00D94355" w:rsidRDefault="00D94355" w:rsidP="00D94355">
            <w:pPr>
              <w:rPr>
                <w:snapToGrid w:val="0"/>
                <w:color w:val="000000"/>
              </w:rPr>
            </w:pPr>
          </w:p>
          <w:p w14:paraId="2D78165F" w14:textId="77777777" w:rsidR="00D94355" w:rsidRDefault="00D94355" w:rsidP="00D94355">
            <w:pPr>
              <w:rPr>
                <w:snapToGrid w:val="0"/>
                <w:color w:val="000000"/>
              </w:rPr>
            </w:pPr>
          </w:p>
          <w:p w14:paraId="72FEFED8" w14:textId="77777777" w:rsidR="00D94355" w:rsidRDefault="00D94355" w:rsidP="00D94355">
            <w:pPr>
              <w:rPr>
                <w:snapToGrid w:val="0"/>
                <w:color w:val="000000"/>
              </w:rPr>
            </w:pPr>
          </w:p>
          <w:p w14:paraId="3B83977C" w14:textId="77777777" w:rsidR="00D94355" w:rsidRDefault="00D94355" w:rsidP="00D94355">
            <w:pPr>
              <w:rPr>
                <w:snapToGrid w:val="0"/>
                <w:color w:val="000000"/>
              </w:rPr>
            </w:pPr>
          </w:p>
          <w:p w14:paraId="425742FE" w14:textId="77777777" w:rsidR="00D94355" w:rsidRDefault="00D94355" w:rsidP="00D94355">
            <w:pPr>
              <w:rPr>
                <w:snapToGrid w:val="0"/>
                <w:color w:val="000000"/>
              </w:rPr>
            </w:pPr>
          </w:p>
          <w:p w14:paraId="28B1E709" w14:textId="77777777" w:rsidR="00D94355" w:rsidRDefault="00D94355" w:rsidP="00D94355">
            <w:pPr>
              <w:rPr>
                <w:snapToGrid w:val="0"/>
                <w:color w:val="000000"/>
              </w:rPr>
            </w:pPr>
          </w:p>
          <w:p w14:paraId="4BF9192A" w14:textId="77777777" w:rsidR="00D94355" w:rsidRDefault="00D94355" w:rsidP="00D94355">
            <w:pPr>
              <w:rPr>
                <w:snapToGrid w:val="0"/>
                <w:color w:val="000000"/>
              </w:rPr>
            </w:pPr>
          </w:p>
          <w:p w14:paraId="2E473261" w14:textId="77777777" w:rsidR="00D94355" w:rsidRDefault="00D94355" w:rsidP="00D94355">
            <w:pPr>
              <w:rPr>
                <w:snapToGrid w:val="0"/>
                <w:color w:val="000000"/>
              </w:rPr>
            </w:pPr>
          </w:p>
          <w:p w14:paraId="7C649012" w14:textId="77777777" w:rsidR="00D94355" w:rsidRDefault="00D94355" w:rsidP="00D94355">
            <w:pPr>
              <w:rPr>
                <w:snapToGrid w:val="0"/>
                <w:color w:val="000000"/>
              </w:rPr>
            </w:pPr>
          </w:p>
          <w:p w14:paraId="38F804C4" w14:textId="77777777" w:rsidR="00D94355" w:rsidRDefault="00D94355" w:rsidP="00D94355">
            <w:pPr>
              <w:rPr>
                <w:snapToGrid w:val="0"/>
                <w:color w:val="000000"/>
              </w:rPr>
            </w:pPr>
          </w:p>
          <w:p w14:paraId="1DDBA15B" w14:textId="77777777" w:rsidR="00D94355" w:rsidRDefault="00D94355" w:rsidP="00D94355">
            <w:pPr>
              <w:rPr>
                <w:snapToGrid w:val="0"/>
                <w:color w:val="000000"/>
              </w:rPr>
            </w:pPr>
          </w:p>
          <w:p w14:paraId="1EF876C9" w14:textId="77777777" w:rsidR="00D94355" w:rsidRDefault="00D94355" w:rsidP="00D94355">
            <w:pPr>
              <w:rPr>
                <w:snapToGrid w:val="0"/>
                <w:color w:val="000000"/>
              </w:rPr>
            </w:pPr>
          </w:p>
          <w:p w14:paraId="3CF1C63A" w14:textId="77777777" w:rsidR="00D94355" w:rsidRDefault="00D94355" w:rsidP="00D94355">
            <w:pPr>
              <w:rPr>
                <w:snapToGrid w:val="0"/>
                <w:color w:val="000000"/>
              </w:rPr>
            </w:pPr>
          </w:p>
          <w:p w14:paraId="224E644E" w14:textId="77777777" w:rsidR="00D94355" w:rsidRDefault="00D94355" w:rsidP="00D94355">
            <w:pPr>
              <w:rPr>
                <w:snapToGrid w:val="0"/>
                <w:color w:val="000000"/>
              </w:rPr>
            </w:pPr>
          </w:p>
        </w:tc>
        <w:tc>
          <w:tcPr>
            <w:tcW w:w="3240" w:type="dxa"/>
            <w:tcBorders>
              <w:top w:val="single" w:sz="4" w:space="0" w:color="auto"/>
              <w:left w:val="nil"/>
              <w:bottom w:val="single" w:sz="4" w:space="0" w:color="auto"/>
              <w:right w:val="nil"/>
            </w:tcBorders>
          </w:tcPr>
          <w:p w14:paraId="346AD7E2" w14:textId="77777777" w:rsidR="00D94355" w:rsidRDefault="00D94355" w:rsidP="00D94355">
            <w:pPr>
              <w:rPr>
                <w:snapToGrid w:val="0"/>
                <w:color w:val="000000"/>
              </w:rPr>
            </w:pPr>
            <w:r>
              <w:rPr>
                <w:snapToGrid w:val="0"/>
                <w:color w:val="000000"/>
              </w:rPr>
              <w:lastRenderedPageBreak/>
              <w:t xml:space="preserve">Logical sequencing </w:t>
            </w:r>
          </w:p>
          <w:p w14:paraId="01E8C0E3" w14:textId="77777777" w:rsidR="00D94355" w:rsidRDefault="00D94355" w:rsidP="00D94355">
            <w:pPr>
              <w:rPr>
                <w:snapToGrid w:val="0"/>
                <w:color w:val="000000"/>
              </w:rPr>
            </w:pPr>
          </w:p>
          <w:p w14:paraId="593C7864" w14:textId="77777777" w:rsidR="00D94355" w:rsidRDefault="00D94355" w:rsidP="00D94355">
            <w:pPr>
              <w:rPr>
                <w:snapToGrid w:val="0"/>
                <w:color w:val="000000"/>
              </w:rPr>
            </w:pPr>
          </w:p>
          <w:p w14:paraId="7FE36972" w14:textId="77777777" w:rsidR="00D94355" w:rsidRDefault="00D94355" w:rsidP="00D94355">
            <w:pPr>
              <w:rPr>
                <w:snapToGrid w:val="0"/>
                <w:color w:val="000000"/>
              </w:rPr>
            </w:pPr>
          </w:p>
          <w:p w14:paraId="52513871" w14:textId="77777777" w:rsidR="00D94355" w:rsidRDefault="00D94355" w:rsidP="00D94355">
            <w:pPr>
              <w:rPr>
                <w:snapToGrid w:val="0"/>
                <w:color w:val="000000"/>
              </w:rPr>
            </w:pPr>
            <w:r>
              <w:rPr>
                <w:snapToGrid w:val="0"/>
                <w:color w:val="000000"/>
              </w:rPr>
              <w:t>Writing style</w:t>
            </w:r>
          </w:p>
          <w:p w14:paraId="10EF34F9" w14:textId="77777777" w:rsidR="00D94355" w:rsidRDefault="00D94355" w:rsidP="00D94355">
            <w:pPr>
              <w:rPr>
                <w:snapToGrid w:val="0"/>
                <w:color w:val="000000"/>
              </w:rPr>
            </w:pPr>
          </w:p>
          <w:p w14:paraId="43CFF9D7" w14:textId="77777777" w:rsidR="00D94355" w:rsidRDefault="00D94355" w:rsidP="00D94355">
            <w:pPr>
              <w:rPr>
                <w:snapToGrid w:val="0"/>
                <w:color w:val="000000"/>
              </w:rPr>
            </w:pPr>
          </w:p>
          <w:p w14:paraId="1CB08E97" w14:textId="77777777" w:rsidR="00D94355" w:rsidRDefault="00D94355" w:rsidP="00D94355">
            <w:pPr>
              <w:rPr>
                <w:snapToGrid w:val="0"/>
                <w:color w:val="000000"/>
              </w:rPr>
            </w:pPr>
          </w:p>
          <w:p w14:paraId="3C5AF665" w14:textId="77777777" w:rsidR="00D94355" w:rsidRDefault="00D94355" w:rsidP="00D94355">
            <w:pPr>
              <w:rPr>
                <w:snapToGrid w:val="0"/>
                <w:color w:val="000000"/>
              </w:rPr>
            </w:pPr>
            <w:r>
              <w:rPr>
                <w:snapToGrid w:val="0"/>
                <w:color w:val="000000"/>
              </w:rPr>
              <w:t>Referencing</w:t>
            </w:r>
          </w:p>
          <w:p w14:paraId="08AB5BBC" w14:textId="77777777" w:rsidR="00D94355" w:rsidRDefault="00D94355" w:rsidP="00D94355">
            <w:pPr>
              <w:rPr>
                <w:snapToGrid w:val="0"/>
                <w:color w:val="000000"/>
              </w:rPr>
            </w:pPr>
          </w:p>
          <w:p w14:paraId="30EAE303" w14:textId="77777777" w:rsidR="00D94355" w:rsidRDefault="00D94355" w:rsidP="00D94355">
            <w:pPr>
              <w:rPr>
                <w:snapToGrid w:val="0"/>
                <w:color w:val="000000"/>
              </w:rPr>
            </w:pPr>
          </w:p>
          <w:p w14:paraId="3E13A7E8" w14:textId="77777777" w:rsidR="00D94355" w:rsidRDefault="00D94355" w:rsidP="00D94355">
            <w:pPr>
              <w:rPr>
                <w:snapToGrid w:val="0"/>
                <w:color w:val="000000"/>
              </w:rPr>
            </w:pPr>
          </w:p>
          <w:p w14:paraId="131D4381" w14:textId="77777777" w:rsidR="00D94355" w:rsidRDefault="00D94355" w:rsidP="00D94355">
            <w:pPr>
              <w:rPr>
                <w:snapToGrid w:val="0"/>
                <w:color w:val="000000"/>
              </w:rPr>
            </w:pPr>
          </w:p>
          <w:p w14:paraId="64B365A2" w14:textId="77777777" w:rsidR="00D94355" w:rsidRDefault="00D94355" w:rsidP="00D94355">
            <w:pPr>
              <w:rPr>
                <w:snapToGrid w:val="0"/>
                <w:color w:val="000000"/>
              </w:rPr>
            </w:pPr>
            <w:r>
              <w:rPr>
                <w:snapToGrid w:val="0"/>
                <w:color w:val="000000"/>
              </w:rPr>
              <w:t>Presentation</w:t>
            </w:r>
          </w:p>
          <w:p w14:paraId="2DE96155" w14:textId="77777777" w:rsidR="00D94355" w:rsidRDefault="00D94355" w:rsidP="00D94355">
            <w:pPr>
              <w:rPr>
                <w:snapToGrid w:val="0"/>
                <w:color w:val="000000"/>
              </w:rPr>
            </w:pPr>
          </w:p>
          <w:p w14:paraId="6D47D0B8" w14:textId="77777777" w:rsidR="00D94355" w:rsidRDefault="00D94355" w:rsidP="00D94355">
            <w:pPr>
              <w:rPr>
                <w:snapToGrid w:val="0"/>
                <w:color w:val="000000"/>
              </w:rPr>
            </w:pPr>
          </w:p>
          <w:p w14:paraId="771F10B0" w14:textId="77777777" w:rsidR="00D94355" w:rsidRDefault="00D94355" w:rsidP="00D94355">
            <w:pPr>
              <w:rPr>
                <w:snapToGrid w:val="0"/>
                <w:color w:val="000000"/>
              </w:rPr>
            </w:pPr>
          </w:p>
          <w:p w14:paraId="32BD55E7" w14:textId="7AC36A13" w:rsidR="00D94355" w:rsidRDefault="00D94355" w:rsidP="00195CEA">
            <w:pPr>
              <w:rPr>
                <w:snapToGrid w:val="0"/>
                <w:color w:val="000000"/>
              </w:rPr>
            </w:pPr>
            <w:r w:rsidRPr="009C7196">
              <w:rPr>
                <w:b/>
                <w:snapToGrid w:val="0"/>
                <w:color w:val="000000"/>
              </w:rPr>
              <w:t>Marks</w:t>
            </w:r>
            <w:r>
              <w:rPr>
                <w:snapToGrid w:val="0"/>
                <w:color w:val="000000"/>
              </w:rPr>
              <w:t>: _______ / 10%</w:t>
            </w:r>
          </w:p>
        </w:tc>
        <w:tc>
          <w:tcPr>
            <w:tcW w:w="4991" w:type="dxa"/>
            <w:tcBorders>
              <w:top w:val="single" w:sz="4" w:space="0" w:color="auto"/>
              <w:left w:val="nil"/>
              <w:bottom w:val="single" w:sz="4" w:space="0" w:color="auto"/>
              <w:right w:val="single" w:sz="4" w:space="0" w:color="auto"/>
            </w:tcBorders>
          </w:tcPr>
          <w:p w14:paraId="24953CE3" w14:textId="77777777" w:rsidR="00D94355" w:rsidRDefault="00D94355" w:rsidP="00D94355">
            <w:pPr>
              <w:rPr>
                <w:snapToGrid w:val="0"/>
                <w:color w:val="000000"/>
              </w:rPr>
            </w:pPr>
          </w:p>
        </w:tc>
      </w:tr>
      <w:tr w:rsidR="00D94355" w14:paraId="0BFC5E22" w14:textId="77777777" w:rsidTr="00762CFB">
        <w:trPr>
          <w:trHeight w:val="2280"/>
        </w:trPr>
        <w:tc>
          <w:tcPr>
            <w:tcW w:w="2066" w:type="dxa"/>
            <w:tcBorders>
              <w:top w:val="single" w:sz="4" w:space="0" w:color="auto"/>
              <w:left w:val="single" w:sz="4" w:space="0" w:color="auto"/>
              <w:bottom w:val="single" w:sz="4" w:space="0" w:color="auto"/>
              <w:right w:val="nil"/>
            </w:tcBorders>
          </w:tcPr>
          <w:p w14:paraId="160A97DF" w14:textId="77777777" w:rsidR="00D94355" w:rsidRDefault="00D94355" w:rsidP="00D94355">
            <w:pPr>
              <w:rPr>
                <w:b/>
                <w:snapToGrid w:val="0"/>
                <w:color w:val="000000"/>
              </w:rPr>
            </w:pPr>
            <w:r>
              <w:rPr>
                <w:b/>
                <w:snapToGrid w:val="0"/>
                <w:color w:val="000000"/>
              </w:rPr>
              <w:t>Method</w:t>
            </w:r>
          </w:p>
          <w:p w14:paraId="2F70FBF6" w14:textId="77777777" w:rsidR="00D94355" w:rsidRDefault="00D94355" w:rsidP="00D94355">
            <w:pPr>
              <w:rPr>
                <w:b/>
                <w:snapToGrid w:val="0"/>
                <w:color w:val="000000"/>
              </w:rPr>
            </w:pPr>
          </w:p>
          <w:p w14:paraId="1C7EDDD1" w14:textId="77777777" w:rsidR="00D94355" w:rsidRDefault="00D94355" w:rsidP="00D94355">
            <w:pPr>
              <w:rPr>
                <w:snapToGrid w:val="0"/>
                <w:color w:val="000000"/>
              </w:rPr>
            </w:pPr>
          </w:p>
          <w:p w14:paraId="4A105F69" w14:textId="77777777" w:rsidR="00D94355" w:rsidRDefault="00D94355" w:rsidP="00D94355">
            <w:pPr>
              <w:rPr>
                <w:snapToGrid w:val="0"/>
                <w:color w:val="000000"/>
              </w:rPr>
            </w:pPr>
          </w:p>
          <w:p w14:paraId="712919BB" w14:textId="77777777" w:rsidR="00D94355" w:rsidRDefault="00D94355" w:rsidP="00D94355">
            <w:pPr>
              <w:rPr>
                <w:snapToGrid w:val="0"/>
                <w:color w:val="000000"/>
              </w:rPr>
            </w:pPr>
          </w:p>
          <w:p w14:paraId="50CD0BED" w14:textId="77777777" w:rsidR="00D94355" w:rsidRDefault="00D94355" w:rsidP="00D94355">
            <w:pPr>
              <w:rPr>
                <w:snapToGrid w:val="0"/>
                <w:color w:val="000000"/>
              </w:rPr>
            </w:pPr>
          </w:p>
          <w:p w14:paraId="654F59A3" w14:textId="77777777" w:rsidR="00D94355" w:rsidRDefault="00D94355" w:rsidP="00D94355">
            <w:pPr>
              <w:rPr>
                <w:snapToGrid w:val="0"/>
                <w:color w:val="000000"/>
              </w:rPr>
            </w:pPr>
          </w:p>
          <w:p w14:paraId="302EBA8D" w14:textId="77777777" w:rsidR="00D94355" w:rsidRDefault="00D94355" w:rsidP="00D94355">
            <w:pPr>
              <w:rPr>
                <w:snapToGrid w:val="0"/>
                <w:color w:val="000000"/>
              </w:rPr>
            </w:pPr>
          </w:p>
          <w:p w14:paraId="0BB78220" w14:textId="77777777" w:rsidR="00D94355" w:rsidRDefault="00D94355" w:rsidP="00D94355">
            <w:pPr>
              <w:rPr>
                <w:snapToGrid w:val="0"/>
                <w:color w:val="000000"/>
              </w:rPr>
            </w:pPr>
          </w:p>
          <w:p w14:paraId="1A07C35E" w14:textId="77777777" w:rsidR="00D94355" w:rsidRDefault="00D94355" w:rsidP="00D94355">
            <w:pPr>
              <w:rPr>
                <w:snapToGrid w:val="0"/>
                <w:color w:val="000000"/>
              </w:rPr>
            </w:pPr>
          </w:p>
          <w:p w14:paraId="36DEBA67" w14:textId="77777777" w:rsidR="00D94355" w:rsidRDefault="00D94355" w:rsidP="00D94355">
            <w:pPr>
              <w:rPr>
                <w:snapToGrid w:val="0"/>
                <w:color w:val="000000"/>
              </w:rPr>
            </w:pPr>
          </w:p>
          <w:p w14:paraId="19A1BF50" w14:textId="77777777" w:rsidR="00D94355" w:rsidRDefault="00D94355" w:rsidP="00D94355">
            <w:pPr>
              <w:rPr>
                <w:snapToGrid w:val="0"/>
                <w:color w:val="000000"/>
              </w:rPr>
            </w:pPr>
          </w:p>
        </w:tc>
        <w:tc>
          <w:tcPr>
            <w:tcW w:w="3240" w:type="dxa"/>
            <w:tcBorders>
              <w:top w:val="single" w:sz="4" w:space="0" w:color="auto"/>
              <w:left w:val="nil"/>
              <w:bottom w:val="single" w:sz="4" w:space="0" w:color="auto"/>
              <w:right w:val="nil"/>
            </w:tcBorders>
          </w:tcPr>
          <w:p w14:paraId="6D3514E2" w14:textId="77777777" w:rsidR="00D94355" w:rsidRDefault="00D94355" w:rsidP="00D94355">
            <w:pPr>
              <w:rPr>
                <w:snapToGrid w:val="0"/>
                <w:color w:val="000000"/>
              </w:rPr>
            </w:pPr>
            <w:r>
              <w:rPr>
                <w:snapToGrid w:val="0"/>
                <w:color w:val="000000"/>
              </w:rPr>
              <w:t>Methodology</w:t>
            </w:r>
          </w:p>
          <w:p w14:paraId="286F247B" w14:textId="77777777" w:rsidR="00D94355" w:rsidRDefault="00D94355" w:rsidP="00D94355">
            <w:pPr>
              <w:rPr>
                <w:snapToGrid w:val="0"/>
                <w:color w:val="000000"/>
              </w:rPr>
            </w:pPr>
          </w:p>
          <w:p w14:paraId="4AD73842" w14:textId="77777777" w:rsidR="00D94355" w:rsidRDefault="00D94355" w:rsidP="00D94355">
            <w:pPr>
              <w:rPr>
                <w:snapToGrid w:val="0"/>
                <w:color w:val="000000"/>
              </w:rPr>
            </w:pPr>
          </w:p>
          <w:p w14:paraId="3D9610F2" w14:textId="77777777" w:rsidR="00D94355" w:rsidRDefault="00D94355" w:rsidP="00D94355">
            <w:pPr>
              <w:rPr>
                <w:snapToGrid w:val="0"/>
                <w:color w:val="000000"/>
              </w:rPr>
            </w:pPr>
          </w:p>
          <w:p w14:paraId="4114ED01" w14:textId="77777777" w:rsidR="00D94355" w:rsidRDefault="00D94355" w:rsidP="00D94355">
            <w:pPr>
              <w:rPr>
                <w:snapToGrid w:val="0"/>
                <w:color w:val="000000"/>
              </w:rPr>
            </w:pPr>
            <w:r>
              <w:rPr>
                <w:snapToGrid w:val="0"/>
                <w:color w:val="000000"/>
              </w:rPr>
              <w:t>Methods of data collection</w:t>
            </w:r>
          </w:p>
          <w:p w14:paraId="5AD51814" w14:textId="77777777" w:rsidR="00D94355" w:rsidRDefault="00D94355" w:rsidP="00D94355">
            <w:pPr>
              <w:rPr>
                <w:snapToGrid w:val="0"/>
                <w:color w:val="000000"/>
              </w:rPr>
            </w:pPr>
          </w:p>
          <w:p w14:paraId="42852F9E" w14:textId="77777777" w:rsidR="00D94355" w:rsidRDefault="00D94355" w:rsidP="00D94355">
            <w:pPr>
              <w:rPr>
                <w:snapToGrid w:val="0"/>
                <w:color w:val="000000"/>
              </w:rPr>
            </w:pPr>
          </w:p>
          <w:p w14:paraId="0A808E8D" w14:textId="77777777" w:rsidR="00D94355" w:rsidRDefault="00D94355" w:rsidP="00D94355">
            <w:pPr>
              <w:rPr>
                <w:snapToGrid w:val="0"/>
                <w:color w:val="000000"/>
              </w:rPr>
            </w:pPr>
          </w:p>
          <w:p w14:paraId="184728D4" w14:textId="7692FF9B" w:rsidR="00D94355" w:rsidRDefault="00D94355" w:rsidP="00195CEA">
            <w:pPr>
              <w:rPr>
                <w:snapToGrid w:val="0"/>
                <w:color w:val="000000"/>
              </w:rPr>
            </w:pPr>
            <w:r w:rsidRPr="009C7196">
              <w:rPr>
                <w:b/>
                <w:snapToGrid w:val="0"/>
                <w:color w:val="000000"/>
              </w:rPr>
              <w:t>Marks</w:t>
            </w:r>
            <w:r>
              <w:rPr>
                <w:snapToGrid w:val="0"/>
                <w:color w:val="000000"/>
              </w:rPr>
              <w:t>: _______ / 15%</w:t>
            </w:r>
          </w:p>
        </w:tc>
        <w:tc>
          <w:tcPr>
            <w:tcW w:w="4991" w:type="dxa"/>
            <w:tcBorders>
              <w:top w:val="single" w:sz="4" w:space="0" w:color="auto"/>
              <w:left w:val="nil"/>
              <w:bottom w:val="single" w:sz="4" w:space="0" w:color="auto"/>
              <w:right w:val="single" w:sz="4" w:space="0" w:color="auto"/>
            </w:tcBorders>
          </w:tcPr>
          <w:p w14:paraId="7CF60728" w14:textId="77777777" w:rsidR="00D94355" w:rsidRDefault="00D94355" w:rsidP="00D94355">
            <w:pPr>
              <w:rPr>
                <w:snapToGrid w:val="0"/>
                <w:color w:val="000000"/>
              </w:rPr>
            </w:pPr>
          </w:p>
          <w:p w14:paraId="057D9371" w14:textId="77777777" w:rsidR="00D94355" w:rsidRDefault="00D94355" w:rsidP="00D94355">
            <w:pPr>
              <w:rPr>
                <w:snapToGrid w:val="0"/>
                <w:color w:val="000000"/>
              </w:rPr>
            </w:pPr>
          </w:p>
          <w:p w14:paraId="3D8E0255" w14:textId="77777777" w:rsidR="00D94355" w:rsidRDefault="00D94355" w:rsidP="00D94355">
            <w:pPr>
              <w:rPr>
                <w:snapToGrid w:val="0"/>
                <w:color w:val="000000"/>
              </w:rPr>
            </w:pPr>
          </w:p>
        </w:tc>
      </w:tr>
      <w:tr w:rsidR="00D94355" w14:paraId="293A51E9" w14:textId="77777777" w:rsidTr="00762CFB">
        <w:tc>
          <w:tcPr>
            <w:tcW w:w="2066" w:type="dxa"/>
            <w:tcBorders>
              <w:top w:val="single" w:sz="4" w:space="0" w:color="auto"/>
              <w:left w:val="single" w:sz="4" w:space="0" w:color="auto"/>
              <w:bottom w:val="single" w:sz="4" w:space="0" w:color="auto"/>
              <w:right w:val="nil"/>
            </w:tcBorders>
          </w:tcPr>
          <w:p w14:paraId="6BB3FD5D" w14:textId="77777777" w:rsidR="00D94355" w:rsidRPr="00037197" w:rsidRDefault="00D94355" w:rsidP="00D94355">
            <w:pPr>
              <w:rPr>
                <w:b/>
                <w:snapToGrid w:val="0"/>
                <w:color w:val="000000"/>
              </w:rPr>
            </w:pPr>
            <w:r w:rsidRPr="00037197">
              <w:rPr>
                <w:b/>
                <w:snapToGrid w:val="0"/>
                <w:color w:val="000000"/>
              </w:rPr>
              <w:t>Literature</w:t>
            </w:r>
          </w:p>
          <w:p w14:paraId="75CD7778" w14:textId="77777777" w:rsidR="00D94355" w:rsidRDefault="00D94355" w:rsidP="00D94355">
            <w:pPr>
              <w:rPr>
                <w:snapToGrid w:val="0"/>
                <w:color w:val="000000"/>
              </w:rPr>
            </w:pPr>
          </w:p>
          <w:p w14:paraId="666D2FC0" w14:textId="77777777" w:rsidR="00D94355" w:rsidRDefault="00D94355" w:rsidP="00D94355">
            <w:pPr>
              <w:rPr>
                <w:snapToGrid w:val="0"/>
                <w:color w:val="000000"/>
              </w:rPr>
            </w:pPr>
          </w:p>
          <w:p w14:paraId="05CDCE04" w14:textId="77777777" w:rsidR="00D94355" w:rsidRDefault="00D94355" w:rsidP="00D94355">
            <w:pPr>
              <w:rPr>
                <w:snapToGrid w:val="0"/>
                <w:color w:val="000000"/>
              </w:rPr>
            </w:pPr>
          </w:p>
          <w:p w14:paraId="43652D32" w14:textId="77777777" w:rsidR="00D94355" w:rsidRDefault="00D94355" w:rsidP="00D94355">
            <w:pPr>
              <w:rPr>
                <w:snapToGrid w:val="0"/>
                <w:color w:val="000000"/>
              </w:rPr>
            </w:pPr>
          </w:p>
          <w:p w14:paraId="1B83A46B" w14:textId="77777777" w:rsidR="00D94355" w:rsidRDefault="00D94355" w:rsidP="00D94355">
            <w:pPr>
              <w:rPr>
                <w:snapToGrid w:val="0"/>
                <w:color w:val="000000"/>
              </w:rPr>
            </w:pPr>
          </w:p>
          <w:p w14:paraId="24475AC4" w14:textId="77777777" w:rsidR="00D94355" w:rsidRDefault="00D94355" w:rsidP="00D94355">
            <w:pPr>
              <w:rPr>
                <w:snapToGrid w:val="0"/>
                <w:color w:val="000000"/>
              </w:rPr>
            </w:pPr>
          </w:p>
          <w:p w14:paraId="6071C607" w14:textId="77777777" w:rsidR="00D94355" w:rsidRDefault="00D94355" w:rsidP="00D94355">
            <w:pPr>
              <w:rPr>
                <w:snapToGrid w:val="0"/>
                <w:color w:val="000000"/>
              </w:rPr>
            </w:pPr>
          </w:p>
          <w:p w14:paraId="07C6D68F" w14:textId="77777777" w:rsidR="00D94355" w:rsidRDefault="00D94355" w:rsidP="00D94355">
            <w:pPr>
              <w:rPr>
                <w:snapToGrid w:val="0"/>
                <w:color w:val="000000"/>
              </w:rPr>
            </w:pPr>
          </w:p>
          <w:p w14:paraId="7221E185" w14:textId="77777777" w:rsidR="00D94355" w:rsidRDefault="00D94355" w:rsidP="00D94355">
            <w:pPr>
              <w:rPr>
                <w:snapToGrid w:val="0"/>
                <w:color w:val="000000"/>
              </w:rPr>
            </w:pPr>
          </w:p>
          <w:p w14:paraId="18D5A6A7" w14:textId="77777777" w:rsidR="00D94355" w:rsidRDefault="00D94355" w:rsidP="00D94355">
            <w:pPr>
              <w:rPr>
                <w:snapToGrid w:val="0"/>
                <w:color w:val="000000"/>
              </w:rPr>
            </w:pPr>
          </w:p>
          <w:p w14:paraId="5767078B" w14:textId="77777777" w:rsidR="00D94355" w:rsidRDefault="00D94355" w:rsidP="00D94355">
            <w:pPr>
              <w:rPr>
                <w:snapToGrid w:val="0"/>
                <w:color w:val="000000"/>
              </w:rPr>
            </w:pPr>
          </w:p>
          <w:p w14:paraId="26994626" w14:textId="77777777" w:rsidR="00D94355" w:rsidRDefault="00D94355" w:rsidP="00D94355">
            <w:pPr>
              <w:rPr>
                <w:snapToGrid w:val="0"/>
                <w:color w:val="000000"/>
              </w:rPr>
            </w:pPr>
          </w:p>
          <w:p w14:paraId="6124F3CC" w14:textId="77777777" w:rsidR="00D94355" w:rsidRDefault="00D94355" w:rsidP="00D94355">
            <w:pPr>
              <w:rPr>
                <w:snapToGrid w:val="0"/>
                <w:color w:val="000000"/>
              </w:rPr>
            </w:pPr>
          </w:p>
        </w:tc>
        <w:tc>
          <w:tcPr>
            <w:tcW w:w="3240" w:type="dxa"/>
            <w:tcBorders>
              <w:top w:val="single" w:sz="4" w:space="0" w:color="auto"/>
              <w:left w:val="nil"/>
              <w:bottom w:val="single" w:sz="4" w:space="0" w:color="auto"/>
              <w:right w:val="nil"/>
            </w:tcBorders>
          </w:tcPr>
          <w:p w14:paraId="61A9CAB3" w14:textId="77777777" w:rsidR="00D94355" w:rsidRDefault="00D94355" w:rsidP="00D94355">
            <w:pPr>
              <w:rPr>
                <w:snapToGrid w:val="0"/>
                <w:color w:val="000000"/>
              </w:rPr>
            </w:pPr>
            <w:r>
              <w:rPr>
                <w:snapToGrid w:val="0"/>
                <w:color w:val="000000"/>
              </w:rPr>
              <w:t>Identification of appropriate/relevant theory</w:t>
            </w:r>
          </w:p>
          <w:p w14:paraId="49D21CF4" w14:textId="77777777" w:rsidR="00D94355" w:rsidRDefault="00D94355" w:rsidP="00D94355">
            <w:pPr>
              <w:rPr>
                <w:snapToGrid w:val="0"/>
                <w:color w:val="000000"/>
              </w:rPr>
            </w:pPr>
          </w:p>
          <w:p w14:paraId="057BAA4C" w14:textId="77777777" w:rsidR="006E4DBF" w:rsidRDefault="006E4DBF" w:rsidP="00D94355">
            <w:pPr>
              <w:rPr>
                <w:snapToGrid w:val="0"/>
                <w:color w:val="000000"/>
              </w:rPr>
            </w:pPr>
          </w:p>
          <w:p w14:paraId="4A13E29F" w14:textId="4DD52866" w:rsidR="00D94355" w:rsidRDefault="00D94355" w:rsidP="00D94355">
            <w:pPr>
              <w:rPr>
                <w:snapToGrid w:val="0"/>
                <w:color w:val="000000"/>
              </w:rPr>
            </w:pPr>
            <w:r>
              <w:rPr>
                <w:snapToGrid w:val="0"/>
                <w:color w:val="000000"/>
              </w:rPr>
              <w:t>Literature employed</w:t>
            </w:r>
          </w:p>
          <w:p w14:paraId="77E9DC0E" w14:textId="77777777" w:rsidR="00D94355" w:rsidRDefault="00D94355" w:rsidP="00D94355">
            <w:pPr>
              <w:rPr>
                <w:snapToGrid w:val="0"/>
                <w:color w:val="000000"/>
              </w:rPr>
            </w:pPr>
          </w:p>
          <w:p w14:paraId="61ABED4F" w14:textId="77777777" w:rsidR="00D94355" w:rsidRDefault="00D94355" w:rsidP="00D94355">
            <w:pPr>
              <w:rPr>
                <w:snapToGrid w:val="0"/>
                <w:color w:val="000000"/>
              </w:rPr>
            </w:pPr>
          </w:p>
          <w:p w14:paraId="1BBBE304" w14:textId="77777777" w:rsidR="00D94355" w:rsidRDefault="00D94355" w:rsidP="00D94355">
            <w:pPr>
              <w:rPr>
                <w:snapToGrid w:val="0"/>
                <w:color w:val="000000"/>
              </w:rPr>
            </w:pPr>
          </w:p>
          <w:p w14:paraId="1200D8D6" w14:textId="77777777" w:rsidR="00D94355" w:rsidRDefault="00D94355" w:rsidP="00D94355">
            <w:pPr>
              <w:rPr>
                <w:snapToGrid w:val="0"/>
                <w:color w:val="000000"/>
              </w:rPr>
            </w:pPr>
            <w:r>
              <w:rPr>
                <w:snapToGrid w:val="0"/>
                <w:color w:val="000000"/>
              </w:rPr>
              <w:t>Critical assessment/review</w:t>
            </w:r>
          </w:p>
          <w:p w14:paraId="458B4F0D" w14:textId="77777777" w:rsidR="00D94355" w:rsidRDefault="00D94355" w:rsidP="00D94355">
            <w:pPr>
              <w:rPr>
                <w:snapToGrid w:val="0"/>
                <w:color w:val="000000"/>
              </w:rPr>
            </w:pPr>
          </w:p>
          <w:p w14:paraId="0C64803D" w14:textId="77777777" w:rsidR="00D94355" w:rsidRDefault="00D94355" w:rsidP="00D94355">
            <w:pPr>
              <w:rPr>
                <w:snapToGrid w:val="0"/>
                <w:color w:val="000000"/>
              </w:rPr>
            </w:pPr>
          </w:p>
          <w:p w14:paraId="069867D3" w14:textId="77777777" w:rsidR="00D94355" w:rsidRDefault="00D94355" w:rsidP="00D94355">
            <w:pPr>
              <w:rPr>
                <w:snapToGrid w:val="0"/>
                <w:color w:val="000000"/>
              </w:rPr>
            </w:pPr>
          </w:p>
          <w:p w14:paraId="1FD3BDF4" w14:textId="77777777" w:rsidR="00D94355" w:rsidRDefault="00D94355" w:rsidP="00D94355">
            <w:pPr>
              <w:rPr>
                <w:snapToGrid w:val="0"/>
                <w:color w:val="000000"/>
              </w:rPr>
            </w:pPr>
            <w:r>
              <w:rPr>
                <w:snapToGrid w:val="0"/>
                <w:color w:val="000000"/>
              </w:rPr>
              <w:t>Independence of thought/ideas</w:t>
            </w:r>
            <w:r>
              <w:rPr>
                <w:snapToGrid w:val="0"/>
                <w:color w:val="000000"/>
              </w:rPr>
              <w:br/>
            </w:r>
          </w:p>
          <w:p w14:paraId="192B0B3D" w14:textId="77777777" w:rsidR="00D94355" w:rsidRDefault="00D94355" w:rsidP="00D94355">
            <w:pPr>
              <w:rPr>
                <w:snapToGrid w:val="0"/>
                <w:color w:val="000000"/>
              </w:rPr>
            </w:pPr>
          </w:p>
          <w:p w14:paraId="235AF595" w14:textId="77777777" w:rsidR="00D94355" w:rsidRDefault="00D94355" w:rsidP="00D94355">
            <w:pPr>
              <w:rPr>
                <w:snapToGrid w:val="0"/>
                <w:color w:val="000000"/>
              </w:rPr>
            </w:pPr>
          </w:p>
          <w:p w14:paraId="738C2779" w14:textId="77777777" w:rsidR="00D94355" w:rsidRDefault="00D94355" w:rsidP="00D94355">
            <w:pPr>
              <w:rPr>
                <w:snapToGrid w:val="0"/>
                <w:color w:val="000000"/>
              </w:rPr>
            </w:pPr>
            <w:r w:rsidRPr="009C7196">
              <w:rPr>
                <w:b/>
                <w:snapToGrid w:val="0"/>
                <w:color w:val="000000"/>
              </w:rPr>
              <w:t>Marks</w:t>
            </w:r>
            <w:r>
              <w:rPr>
                <w:snapToGrid w:val="0"/>
                <w:color w:val="000000"/>
              </w:rPr>
              <w:t>: _______ / 20%</w:t>
            </w:r>
          </w:p>
          <w:p w14:paraId="62D33EB2" w14:textId="77777777" w:rsidR="00D94355" w:rsidRDefault="00D94355" w:rsidP="00D94355">
            <w:pPr>
              <w:rPr>
                <w:snapToGrid w:val="0"/>
                <w:color w:val="000000"/>
              </w:rPr>
            </w:pPr>
          </w:p>
        </w:tc>
        <w:tc>
          <w:tcPr>
            <w:tcW w:w="4991" w:type="dxa"/>
            <w:tcBorders>
              <w:top w:val="single" w:sz="4" w:space="0" w:color="auto"/>
              <w:left w:val="nil"/>
              <w:bottom w:val="single" w:sz="4" w:space="0" w:color="auto"/>
              <w:right w:val="single" w:sz="4" w:space="0" w:color="auto"/>
            </w:tcBorders>
          </w:tcPr>
          <w:p w14:paraId="5D1928AD" w14:textId="77777777" w:rsidR="00D94355" w:rsidRDefault="00D94355" w:rsidP="00D94355">
            <w:pPr>
              <w:rPr>
                <w:snapToGrid w:val="0"/>
                <w:color w:val="000000"/>
              </w:rPr>
            </w:pPr>
          </w:p>
        </w:tc>
      </w:tr>
      <w:tr w:rsidR="00D94355" w14:paraId="3DBB5CD9" w14:textId="77777777" w:rsidTr="00762CFB">
        <w:trPr>
          <w:trHeight w:val="2790"/>
        </w:trPr>
        <w:tc>
          <w:tcPr>
            <w:tcW w:w="2066" w:type="dxa"/>
            <w:tcBorders>
              <w:top w:val="single" w:sz="4" w:space="0" w:color="auto"/>
              <w:left w:val="single" w:sz="4" w:space="0" w:color="auto"/>
              <w:bottom w:val="single" w:sz="4" w:space="0" w:color="auto"/>
              <w:right w:val="nil"/>
            </w:tcBorders>
          </w:tcPr>
          <w:p w14:paraId="3D65220C" w14:textId="77777777" w:rsidR="00D94355" w:rsidRDefault="00D94355" w:rsidP="00D94355">
            <w:pPr>
              <w:rPr>
                <w:b/>
                <w:snapToGrid w:val="0"/>
                <w:color w:val="000000"/>
              </w:rPr>
            </w:pPr>
            <w:r>
              <w:rPr>
                <w:b/>
                <w:snapToGrid w:val="0"/>
                <w:color w:val="000000"/>
              </w:rPr>
              <w:t>Analysis</w:t>
            </w:r>
          </w:p>
          <w:p w14:paraId="6BD80E5C" w14:textId="77777777" w:rsidR="00D94355" w:rsidRDefault="00D94355" w:rsidP="00D94355">
            <w:pPr>
              <w:rPr>
                <w:snapToGrid w:val="0"/>
                <w:color w:val="000000"/>
              </w:rPr>
            </w:pPr>
          </w:p>
          <w:p w14:paraId="5AABBDC1" w14:textId="77777777" w:rsidR="00D94355" w:rsidRDefault="00D94355" w:rsidP="00D94355">
            <w:pPr>
              <w:rPr>
                <w:snapToGrid w:val="0"/>
                <w:color w:val="000000"/>
              </w:rPr>
            </w:pPr>
          </w:p>
          <w:p w14:paraId="099B8955" w14:textId="77777777" w:rsidR="00D94355" w:rsidRDefault="00D94355" w:rsidP="00D94355">
            <w:pPr>
              <w:rPr>
                <w:snapToGrid w:val="0"/>
                <w:color w:val="000000"/>
              </w:rPr>
            </w:pPr>
          </w:p>
          <w:p w14:paraId="2EF02ACB" w14:textId="77777777" w:rsidR="00D94355" w:rsidRDefault="00D94355" w:rsidP="00D94355">
            <w:pPr>
              <w:rPr>
                <w:snapToGrid w:val="0"/>
                <w:color w:val="000000"/>
              </w:rPr>
            </w:pPr>
          </w:p>
          <w:p w14:paraId="4EA667F7" w14:textId="77777777" w:rsidR="00D94355" w:rsidRDefault="00D94355" w:rsidP="00D94355">
            <w:pPr>
              <w:rPr>
                <w:snapToGrid w:val="0"/>
                <w:color w:val="000000"/>
              </w:rPr>
            </w:pPr>
          </w:p>
          <w:p w14:paraId="60EF4DBD" w14:textId="77777777" w:rsidR="00D94355" w:rsidRDefault="00D94355" w:rsidP="00D94355">
            <w:pPr>
              <w:rPr>
                <w:snapToGrid w:val="0"/>
                <w:color w:val="000000"/>
              </w:rPr>
            </w:pPr>
          </w:p>
          <w:p w14:paraId="578631C9" w14:textId="77777777" w:rsidR="00D94355" w:rsidRDefault="00D94355" w:rsidP="00D94355">
            <w:pPr>
              <w:rPr>
                <w:snapToGrid w:val="0"/>
                <w:color w:val="000000"/>
              </w:rPr>
            </w:pPr>
          </w:p>
          <w:p w14:paraId="5230DBF6" w14:textId="77777777" w:rsidR="00D94355" w:rsidRDefault="00D94355" w:rsidP="00D94355">
            <w:pPr>
              <w:rPr>
                <w:snapToGrid w:val="0"/>
                <w:color w:val="000000"/>
              </w:rPr>
            </w:pPr>
          </w:p>
          <w:p w14:paraId="37735472" w14:textId="77777777" w:rsidR="00D94355" w:rsidRDefault="00D94355" w:rsidP="00D94355">
            <w:pPr>
              <w:rPr>
                <w:snapToGrid w:val="0"/>
                <w:color w:val="000000"/>
              </w:rPr>
            </w:pPr>
          </w:p>
          <w:p w14:paraId="5E7B585A" w14:textId="77777777" w:rsidR="00D94355" w:rsidRDefault="00D94355" w:rsidP="00D94355">
            <w:pPr>
              <w:rPr>
                <w:snapToGrid w:val="0"/>
                <w:color w:val="000000"/>
              </w:rPr>
            </w:pPr>
          </w:p>
          <w:p w14:paraId="3CF964B7" w14:textId="77777777" w:rsidR="00D94355" w:rsidRDefault="00D94355" w:rsidP="00D94355">
            <w:pPr>
              <w:rPr>
                <w:snapToGrid w:val="0"/>
                <w:color w:val="000000"/>
              </w:rPr>
            </w:pPr>
          </w:p>
          <w:p w14:paraId="46998929" w14:textId="77777777" w:rsidR="00D94355" w:rsidRDefault="00D94355" w:rsidP="00D94355">
            <w:pPr>
              <w:rPr>
                <w:snapToGrid w:val="0"/>
                <w:color w:val="000000"/>
              </w:rPr>
            </w:pPr>
          </w:p>
          <w:p w14:paraId="0B2FCB14" w14:textId="77777777" w:rsidR="00D94355" w:rsidRDefault="00D94355" w:rsidP="00D94355">
            <w:pPr>
              <w:rPr>
                <w:snapToGrid w:val="0"/>
                <w:color w:val="000000"/>
              </w:rPr>
            </w:pPr>
          </w:p>
        </w:tc>
        <w:tc>
          <w:tcPr>
            <w:tcW w:w="3240" w:type="dxa"/>
            <w:tcBorders>
              <w:top w:val="single" w:sz="4" w:space="0" w:color="auto"/>
              <w:left w:val="nil"/>
              <w:bottom w:val="single" w:sz="4" w:space="0" w:color="auto"/>
              <w:right w:val="nil"/>
            </w:tcBorders>
          </w:tcPr>
          <w:p w14:paraId="438E884B" w14:textId="77777777" w:rsidR="00D94355" w:rsidRDefault="00D94355" w:rsidP="00D94355">
            <w:pPr>
              <w:rPr>
                <w:snapToGrid w:val="0"/>
                <w:color w:val="000000"/>
              </w:rPr>
            </w:pPr>
            <w:r>
              <w:rPr>
                <w:snapToGrid w:val="0"/>
                <w:color w:val="000000"/>
              </w:rPr>
              <w:t>Analysis of data</w:t>
            </w:r>
          </w:p>
          <w:p w14:paraId="4E0F90C5" w14:textId="77777777" w:rsidR="00D94355" w:rsidRDefault="00D94355" w:rsidP="00D94355">
            <w:pPr>
              <w:rPr>
                <w:snapToGrid w:val="0"/>
                <w:color w:val="000000"/>
              </w:rPr>
            </w:pPr>
          </w:p>
          <w:p w14:paraId="4631A225" w14:textId="77777777" w:rsidR="00D94355" w:rsidRDefault="00D94355" w:rsidP="00D94355">
            <w:pPr>
              <w:rPr>
                <w:snapToGrid w:val="0"/>
                <w:color w:val="000000"/>
              </w:rPr>
            </w:pPr>
          </w:p>
          <w:p w14:paraId="79263157" w14:textId="77777777" w:rsidR="00D94355" w:rsidRDefault="00D94355" w:rsidP="00D94355">
            <w:pPr>
              <w:rPr>
                <w:snapToGrid w:val="0"/>
                <w:color w:val="000000"/>
              </w:rPr>
            </w:pPr>
          </w:p>
          <w:p w14:paraId="493FD6E2" w14:textId="77777777" w:rsidR="00D94355" w:rsidRDefault="00D94355" w:rsidP="00D94355">
            <w:pPr>
              <w:rPr>
                <w:snapToGrid w:val="0"/>
                <w:color w:val="000000"/>
              </w:rPr>
            </w:pPr>
            <w:r>
              <w:rPr>
                <w:snapToGrid w:val="0"/>
                <w:color w:val="000000"/>
              </w:rPr>
              <w:t>Discussion</w:t>
            </w:r>
          </w:p>
          <w:p w14:paraId="312374BE" w14:textId="77777777" w:rsidR="00D94355" w:rsidRDefault="00D94355" w:rsidP="00D94355">
            <w:pPr>
              <w:rPr>
                <w:snapToGrid w:val="0"/>
                <w:color w:val="000000"/>
              </w:rPr>
            </w:pPr>
          </w:p>
          <w:p w14:paraId="3842724B" w14:textId="77777777" w:rsidR="00D94355" w:rsidRDefault="00D94355" w:rsidP="00D94355">
            <w:pPr>
              <w:rPr>
                <w:snapToGrid w:val="0"/>
                <w:color w:val="000000"/>
              </w:rPr>
            </w:pPr>
          </w:p>
          <w:p w14:paraId="682775D8" w14:textId="77777777" w:rsidR="00D94355" w:rsidRDefault="00D94355" w:rsidP="00D94355">
            <w:pPr>
              <w:rPr>
                <w:snapToGrid w:val="0"/>
                <w:color w:val="000000"/>
              </w:rPr>
            </w:pPr>
          </w:p>
          <w:p w14:paraId="4CE0CE10" w14:textId="77777777" w:rsidR="00D94355" w:rsidRDefault="00D94355" w:rsidP="00D94355">
            <w:pPr>
              <w:rPr>
                <w:snapToGrid w:val="0"/>
                <w:color w:val="000000"/>
              </w:rPr>
            </w:pPr>
            <w:r>
              <w:rPr>
                <w:snapToGrid w:val="0"/>
                <w:color w:val="000000"/>
              </w:rPr>
              <w:t>Conclusions and recommendations</w:t>
            </w:r>
          </w:p>
          <w:p w14:paraId="69065A4F" w14:textId="77777777" w:rsidR="00D94355" w:rsidRDefault="00D94355" w:rsidP="00D94355">
            <w:pPr>
              <w:rPr>
                <w:snapToGrid w:val="0"/>
                <w:color w:val="000000"/>
              </w:rPr>
            </w:pPr>
          </w:p>
          <w:p w14:paraId="33C36A68" w14:textId="77777777" w:rsidR="00D94355" w:rsidRDefault="00D94355" w:rsidP="00D94355">
            <w:pPr>
              <w:rPr>
                <w:snapToGrid w:val="0"/>
                <w:color w:val="000000"/>
              </w:rPr>
            </w:pPr>
          </w:p>
          <w:p w14:paraId="6AD5EC39" w14:textId="77777777" w:rsidR="00D94355" w:rsidRDefault="00D94355" w:rsidP="00D94355">
            <w:pPr>
              <w:rPr>
                <w:snapToGrid w:val="0"/>
                <w:color w:val="000000"/>
              </w:rPr>
            </w:pPr>
            <w:r w:rsidRPr="009C7196">
              <w:rPr>
                <w:b/>
                <w:snapToGrid w:val="0"/>
                <w:color w:val="000000"/>
              </w:rPr>
              <w:t>Marks</w:t>
            </w:r>
            <w:r>
              <w:rPr>
                <w:snapToGrid w:val="0"/>
                <w:color w:val="000000"/>
              </w:rPr>
              <w:t>: _______ / 25%</w:t>
            </w:r>
          </w:p>
          <w:p w14:paraId="2BD43BBF" w14:textId="77777777" w:rsidR="00D94355" w:rsidRDefault="00D94355" w:rsidP="00D94355">
            <w:pPr>
              <w:rPr>
                <w:snapToGrid w:val="0"/>
                <w:color w:val="000000"/>
              </w:rPr>
            </w:pPr>
          </w:p>
        </w:tc>
        <w:tc>
          <w:tcPr>
            <w:tcW w:w="4991" w:type="dxa"/>
            <w:tcBorders>
              <w:top w:val="single" w:sz="4" w:space="0" w:color="auto"/>
              <w:left w:val="nil"/>
              <w:bottom w:val="single" w:sz="4" w:space="0" w:color="auto"/>
              <w:right w:val="single" w:sz="4" w:space="0" w:color="auto"/>
            </w:tcBorders>
          </w:tcPr>
          <w:p w14:paraId="0804DDBD" w14:textId="77777777" w:rsidR="00D94355" w:rsidRDefault="00D94355" w:rsidP="00D94355">
            <w:pPr>
              <w:rPr>
                <w:snapToGrid w:val="0"/>
                <w:color w:val="000000"/>
              </w:rPr>
            </w:pPr>
          </w:p>
        </w:tc>
      </w:tr>
    </w:tbl>
    <w:p w14:paraId="25C53859" w14:textId="3E164F33" w:rsidR="00D94355" w:rsidRDefault="00D94355" w:rsidP="00D94355">
      <w:pPr>
        <w:rPr>
          <w:b/>
          <w:snapToGrid w:val="0"/>
          <w:color w:val="000000"/>
          <w:sz w:val="20"/>
        </w:rPr>
      </w:pPr>
      <w:r>
        <w:rPr>
          <w:b/>
          <w:snapToGrid w:val="0"/>
          <w:color w:val="000000"/>
          <w:sz w:val="20"/>
        </w:rPr>
        <w:t>Overall comments by Supervisor</w:t>
      </w:r>
    </w:p>
    <w:p w14:paraId="78E91C62" w14:textId="21F2D909" w:rsidR="00195CEA" w:rsidRDefault="00195CEA" w:rsidP="00D94355">
      <w:pPr>
        <w:rPr>
          <w:b/>
          <w:snapToGrid w:val="0"/>
          <w:color w:val="000000"/>
          <w:sz w:val="20"/>
        </w:rPr>
      </w:pPr>
    </w:p>
    <w:p w14:paraId="5E54A967" w14:textId="77777777" w:rsidR="00195CEA" w:rsidRDefault="00195CEA" w:rsidP="00195CEA">
      <w:pPr>
        <w:rPr>
          <w:b/>
          <w:snapToGrid w:val="0"/>
          <w:color w:val="000000"/>
          <w:sz w:val="20"/>
        </w:rPr>
      </w:pPr>
    </w:p>
    <w:p w14:paraId="59BA213E" w14:textId="77777777" w:rsidR="00195CEA" w:rsidRDefault="00195CEA" w:rsidP="00195CEA">
      <w:r>
        <w:rPr>
          <w:b/>
          <w:snapToGrid w:val="0"/>
          <w:color w:val="000000"/>
          <w:sz w:val="20"/>
        </w:rPr>
        <w:t>Comments by External Examiner</w:t>
      </w:r>
    </w:p>
    <w:p w14:paraId="1FA26F83" w14:textId="772FFF19" w:rsidR="00195CEA" w:rsidRPr="00BC628B" w:rsidRDefault="00D94355" w:rsidP="00BC628B">
      <w:pPr>
        <w:pStyle w:val="Heading2"/>
        <w:rPr>
          <w:rFonts w:ascii="Times New Roman" w:hAnsi="Times New Roman" w:cs="Times New Roman"/>
          <w:b/>
          <w:bCs/>
          <w:snapToGrid w:val="0"/>
          <w:color w:val="auto"/>
          <w:sz w:val="24"/>
          <w:szCs w:val="24"/>
        </w:rPr>
      </w:pPr>
      <w:bookmarkStart w:id="151" w:name="_Toc27579845"/>
      <w:r w:rsidRPr="00BC628B">
        <w:rPr>
          <w:rFonts w:ascii="Times New Roman" w:hAnsi="Times New Roman" w:cs="Times New Roman"/>
          <w:b/>
          <w:bCs/>
          <w:snapToGrid w:val="0"/>
          <w:color w:val="auto"/>
          <w:sz w:val="24"/>
          <w:szCs w:val="24"/>
        </w:rPr>
        <w:lastRenderedPageBreak/>
        <w:t>Appendix 4</w:t>
      </w:r>
      <w:r w:rsidR="00150169" w:rsidRPr="00BC628B">
        <w:rPr>
          <w:rFonts w:ascii="Times New Roman" w:hAnsi="Times New Roman" w:cs="Times New Roman"/>
          <w:b/>
          <w:bCs/>
          <w:snapToGrid w:val="0"/>
          <w:color w:val="auto"/>
          <w:sz w:val="24"/>
          <w:szCs w:val="24"/>
        </w:rPr>
        <w:t xml:space="preserve">: </w:t>
      </w:r>
      <w:r w:rsidR="00195CEA" w:rsidRPr="00BC628B">
        <w:rPr>
          <w:rFonts w:ascii="Times New Roman" w:hAnsi="Times New Roman" w:cs="Times New Roman"/>
          <w:b/>
          <w:bCs/>
          <w:color w:val="auto"/>
          <w:sz w:val="24"/>
          <w:szCs w:val="24"/>
        </w:rPr>
        <w:t xml:space="preserve">MBA </w:t>
      </w:r>
      <w:r w:rsidR="00BC628B">
        <w:rPr>
          <w:rFonts w:ascii="Times New Roman" w:hAnsi="Times New Roman" w:cs="Times New Roman"/>
          <w:b/>
          <w:bCs/>
          <w:color w:val="auto"/>
          <w:sz w:val="24"/>
          <w:szCs w:val="24"/>
        </w:rPr>
        <w:t>P</w:t>
      </w:r>
      <w:r w:rsidR="00BC628B" w:rsidRPr="00BC628B">
        <w:rPr>
          <w:rFonts w:ascii="Times New Roman" w:hAnsi="Times New Roman" w:cs="Times New Roman"/>
          <w:b/>
          <w:bCs/>
          <w:color w:val="auto"/>
          <w:sz w:val="24"/>
          <w:szCs w:val="24"/>
        </w:rPr>
        <w:t xml:space="preserve">roject </w:t>
      </w:r>
      <w:r w:rsidR="00BC628B">
        <w:rPr>
          <w:rFonts w:ascii="Times New Roman" w:hAnsi="Times New Roman" w:cs="Times New Roman"/>
          <w:b/>
          <w:bCs/>
          <w:color w:val="auto"/>
          <w:sz w:val="24"/>
          <w:szCs w:val="24"/>
        </w:rPr>
        <w:t>R</w:t>
      </w:r>
      <w:r w:rsidR="00BC628B" w:rsidRPr="00BC628B">
        <w:rPr>
          <w:rFonts w:ascii="Times New Roman" w:hAnsi="Times New Roman" w:cs="Times New Roman"/>
          <w:b/>
          <w:bCs/>
          <w:color w:val="auto"/>
          <w:sz w:val="24"/>
          <w:szCs w:val="24"/>
        </w:rPr>
        <w:t xml:space="preserve">eport </w:t>
      </w:r>
      <w:r w:rsidR="00BC628B">
        <w:rPr>
          <w:rFonts w:ascii="Times New Roman" w:hAnsi="Times New Roman" w:cs="Times New Roman"/>
          <w:b/>
          <w:bCs/>
          <w:color w:val="auto"/>
          <w:sz w:val="24"/>
          <w:szCs w:val="24"/>
        </w:rPr>
        <w:t>A</w:t>
      </w:r>
      <w:r w:rsidR="00BC628B" w:rsidRPr="00BC628B">
        <w:rPr>
          <w:rFonts w:ascii="Times New Roman" w:hAnsi="Times New Roman" w:cs="Times New Roman"/>
          <w:b/>
          <w:bCs/>
          <w:color w:val="auto"/>
          <w:sz w:val="24"/>
          <w:szCs w:val="24"/>
        </w:rPr>
        <w:t xml:space="preserve">ssessment </w:t>
      </w:r>
      <w:r w:rsidR="00BC628B">
        <w:rPr>
          <w:rFonts w:ascii="Times New Roman" w:hAnsi="Times New Roman" w:cs="Times New Roman"/>
          <w:b/>
          <w:bCs/>
          <w:color w:val="auto"/>
          <w:sz w:val="24"/>
          <w:szCs w:val="24"/>
        </w:rPr>
        <w:t>C</w:t>
      </w:r>
      <w:r w:rsidR="00BC628B" w:rsidRPr="00BC628B">
        <w:rPr>
          <w:rFonts w:ascii="Times New Roman" w:hAnsi="Times New Roman" w:cs="Times New Roman"/>
          <w:b/>
          <w:bCs/>
          <w:color w:val="auto"/>
          <w:sz w:val="24"/>
          <w:szCs w:val="24"/>
        </w:rPr>
        <w:t xml:space="preserve">riteria </w:t>
      </w:r>
      <w:r w:rsidR="00BC628B">
        <w:rPr>
          <w:rFonts w:ascii="Times New Roman" w:hAnsi="Times New Roman" w:cs="Times New Roman"/>
          <w:b/>
          <w:bCs/>
          <w:color w:val="auto"/>
          <w:sz w:val="24"/>
          <w:szCs w:val="24"/>
        </w:rPr>
        <w:t>M</w:t>
      </w:r>
      <w:r w:rsidR="00BC628B" w:rsidRPr="00BC628B">
        <w:rPr>
          <w:rFonts w:ascii="Times New Roman" w:hAnsi="Times New Roman" w:cs="Times New Roman"/>
          <w:b/>
          <w:bCs/>
          <w:color w:val="auto"/>
          <w:sz w:val="24"/>
          <w:szCs w:val="24"/>
        </w:rPr>
        <w:t>atrix</w:t>
      </w:r>
      <w:bookmarkEnd w:id="151"/>
      <w:r w:rsidR="00BC628B" w:rsidRPr="00BC628B">
        <w:rPr>
          <w:rFonts w:ascii="Times New Roman" w:hAnsi="Times New Roman" w:cs="Times New Roman"/>
          <w:b/>
          <w:bCs/>
          <w:color w:val="auto"/>
          <w:sz w:val="24"/>
          <w:szCs w:val="24"/>
        </w:rPr>
        <w:t xml:space="preserve">  </w:t>
      </w:r>
    </w:p>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1834"/>
        <w:gridCol w:w="2186"/>
        <w:gridCol w:w="1901"/>
        <w:gridCol w:w="2056"/>
      </w:tblGrid>
      <w:tr w:rsidR="00195CEA" w:rsidRPr="00195CEA" w14:paraId="6163E27F" w14:textId="77777777" w:rsidTr="00195CEA">
        <w:tc>
          <w:tcPr>
            <w:tcW w:w="0" w:type="auto"/>
            <w:tcMar>
              <w:top w:w="144" w:type="dxa"/>
              <w:bottom w:w="144" w:type="dxa"/>
            </w:tcMar>
          </w:tcPr>
          <w:p w14:paraId="192B1807" w14:textId="77777777" w:rsidR="00195CEA" w:rsidRPr="00195CEA" w:rsidRDefault="00195CEA" w:rsidP="00195CEA">
            <w:pPr>
              <w:pStyle w:val="Heading1"/>
              <w:spacing w:before="40"/>
              <w:jc w:val="both"/>
              <w:rPr>
                <w:rFonts w:ascii="Times New Roman" w:hAnsi="Times New Roman" w:cs="Times New Roman"/>
                <w:b w:val="0"/>
                <w:sz w:val="16"/>
                <w:szCs w:val="16"/>
              </w:rPr>
            </w:pPr>
            <w:bookmarkStart w:id="152" w:name="_Toc27427834"/>
            <w:bookmarkStart w:id="153" w:name="_Toc27579846"/>
            <w:r w:rsidRPr="00195CEA">
              <w:rPr>
                <w:rFonts w:ascii="Times New Roman" w:hAnsi="Times New Roman" w:cs="Times New Roman"/>
                <w:b w:val="0"/>
                <w:sz w:val="16"/>
                <w:szCs w:val="16"/>
              </w:rPr>
              <w:t>Guideline</w:t>
            </w:r>
            <w:bookmarkEnd w:id="152"/>
            <w:bookmarkEnd w:id="153"/>
          </w:p>
        </w:tc>
        <w:tc>
          <w:tcPr>
            <w:tcW w:w="1908" w:type="dxa"/>
            <w:tcMar>
              <w:top w:w="144" w:type="dxa"/>
              <w:bottom w:w="144" w:type="dxa"/>
            </w:tcMar>
          </w:tcPr>
          <w:p w14:paraId="2545923F" w14:textId="77777777" w:rsidR="00195CEA" w:rsidRPr="00195CEA" w:rsidRDefault="00195CEA" w:rsidP="00195CEA">
            <w:pPr>
              <w:pStyle w:val="Heading1"/>
              <w:jc w:val="both"/>
              <w:rPr>
                <w:rFonts w:ascii="Times New Roman" w:hAnsi="Times New Roman" w:cs="Times New Roman"/>
                <w:b w:val="0"/>
                <w:sz w:val="16"/>
                <w:szCs w:val="16"/>
              </w:rPr>
            </w:pPr>
            <w:bookmarkStart w:id="154" w:name="_Toc27427835"/>
            <w:bookmarkStart w:id="155" w:name="_Toc27579847"/>
            <w:r w:rsidRPr="00195CEA">
              <w:rPr>
                <w:rFonts w:ascii="Times New Roman" w:hAnsi="Times New Roman" w:cs="Times New Roman"/>
                <w:b w:val="0"/>
                <w:sz w:val="16"/>
                <w:szCs w:val="16"/>
              </w:rPr>
              <w:t>Distinction level, 75% and above (A Grade)</w:t>
            </w:r>
            <w:bookmarkEnd w:id="154"/>
            <w:bookmarkEnd w:id="155"/>
          </w:p>
        </w:tc>
        <w:tc>
          <w:tcPr>
            <w:tcW w:w="2315" w:type="dxa"/>
            <w:tcMar>
              <w:top w:w="144" w:type="dxa"/>
              <w:bottom w:w="144" w:type="dxa"/>
            </w:tcMar>
          </w:tcPr>
          <w:p w14:paraId="79083C39" w14:textId="77777777" w:rsidR="00195CEA" w:rsidRPr="00195CEA" w:rsidRDefault="00195CEA" w:rsidP="00195CEA">
            <w:pPr>
              <w:pStyle w:val="Heading2"/>
              <w:jc w:val="both"/>
              <w:rPr>
                <w:rFonts w:ascii="Times New Roman" w:hAnsi="Times New Roman" w:cs="Times New Roman"/>
                <w:b/>
                <w:sz w:val="16"/>
                <w:szCs w:val="16"/>
              </w:rPr>
            </w:pPr>
            <w:bookmarkStart w:id="156" w:name="_Toc27427836"/>
            <w:bookmarkStart w:id="157" w:name="_Toc27579848"/>
            <w:r w:rsidRPr="00195CEA">
              <w:rPr>
                <w:rFonts w:ascii="Times New Roman" w:hAnsi="Times New Roman" w:cs="Times New Roman"/>
                <w:sz w:val="16"/>
                <w:szCs w:val="16"/>
              </w:rPr>
              <w:t>Commendation level, 65 to 74% (B &amp; B+ Grade)</w:t>
            </w:r>
            <w:bookmarkEnd w:id="156"/>
            <w:bookmarkEnd w:id="157"/>
          </w:p>
        </w:tc>
        <w:tc>
          <w:tcPr>
            <w:tcW w:w="1986" w:type="dxa"/>
            <w:tcMar>
              <w:top w:w="144" w:type="dxa"/>
              <w:bottom w:w="144" w:type="dxa"/>
            </w:tcMar>
          </w:tcPr>
          <w:p w14:paraId="4BFB3F88" w14:textId="77777777" w:rsidR="00195CEA" w:rsidRPr="00195CEA" w:rsidRDefault="00195CEA" w:rsidP="00195CEA">
            <w:pPr>
              <w:pStyle w:val="Heading2"/>
              <w:jc w:val="both"/>
              <w:rPr>
                <w:rFonts w:ascii="Times New Roman" w:hAnsi="Times New Roman" w:cs="Times New Roman"/>
                <w:b/>
                <w:sz w:val="16"/>
                <w:szCs w:val="16"/>
              </w:rPr>
            </w:pPr>
            <w:bookmarkStart w:id="158" w:name="_Toc27427837"/>
            <w:bookmarkStart w:id="159" w:name="_Toc27579849"/>
            <w:r w:rsidRPr="00195CEA">
              <w:rPr>
                <w:rFonts w:ascii="Times New Roman" w:hAnsi="Times New Roman" w:cs="Times New Roman"/>
                <w:sz w:val="16"/>
                <w:szCs w:val="16"/>
              </w:rPr>
              <w:t>Pass Standard, 60 to 64%</w:t>
            </w:r>
            <w:bookmarkEnd w:id="158"/>
            <w:bookmarkEnd w:id="159"/>
            <w:r w:rsidRPr="00195CEA">
              <w:rPr>
                <w:rFonts w:ascii="Times New Roman" w:hAnsi="Times New Roman" w:cs="Times New Roman"/>
                <w:sz w:val="16"/>
                <w:szCs w:val="16"/>
              </w:rPr>
              <w:t xml:space="preserve"> </w:t>
            </w:r>
          </w:p>
          <w:p w14:paraId="00C122BF" w14:textId="77777777" w:rsidR="00195CEA" w:rsidRPr="00195CEA" w:rsidRDefault="00195CEA" w:rsidP="00195CEA">
            <w:pPr>
              <w:pStyle w:val="Heading2"/>
              <w:jc w:val="both"/>
              <w:rPr>
                <w:rFonts w:ascii="Times New Roman" w:hAnsi="Times New Roman" w:cs="Times New Roman"/>
                <w:b/>
                <w:sz w:val="16"/>
                <w:szCs w:val="16"/>
              </w:rPr>
            </w:pPr>
            <w:bookmarkStart w:id="160" w:name="_Toc27427838"/>
            <w:bookmarkStart w:id="161" w:name="_Toc27579850"/>
            <w:r w:rsidRPr="00195CEA">
              <w:rPr>
                <w:rFonts w:ascii="Times New Roman" w:hAnsi="Times New Roman" w:cs="Times New Roman"/>
                <w:sz w:val="16"/>
                <w:szCs w:val="16"/>
              </w:rPr>
              <w:t>(B- Grade)</w:t>
            </w:r>
            <w:bookmarkEnd w:id="160"/>
            <w:bookmarkEnd w:id="161"/>
          </w:p>
        </w:tc>
        <w:tc>
          <w:tcPr>
            <w:tcW w:w="2168" w:type="dxa"/>
            <w:tcMar>
              <w:top w:w="144" w:type="dxa"/>
              <w:bottom w:w="144" w:type="dxa"/>
            </w:tcMar>
          </w:tcPr>
          <w:p w14:paraId="0C5EA0CD" w14:textId="77777777" w:rsidR="00195CEA" w:rsidRPr="00195CEA" w:rsidRDefault="00195CEA" w:rsidP="00195CEA">
            <w:pPr>
              <w:pStyle w:val="Heading2"/>
              <w:jc w:val="both"/>
              <w:rPr>
                <w:rFonts w:ascii="Times New Roman" w:hAnsi="Times New Roman" w:cs="Times New Roman"/>
                <w:b/>
                <w:sz w:val="16"/>
                <w:szCs w:val="16"/>
              </w:rPr>
            </w:pPr>
            <w:bookmarkStart w:id="162" w:name="_Toc27427839"/>
            <w:bookmarkStart w:id="163" w:name="_Toc27579851"/>
            <w:r w:rsidRPr="00195CEA">
              <w:rPr>
                <w:rFonts w:ascii="Times New Roman" w:hAnsi="Times New Roman" w:cs="Times New Roman"/>
                <w:sz w:val="16"/>
                <w:szCs w:val="16"/>
              </w:rPr>
              <w:t>Fail standard, below 59%</w:t>
            </w:r>
            <w:bookmarkEnd w:id="162"/>
            <w:bookmarkEnd w:id="163"/>
            <w:r w:rsidRPr="00195CEA">
              <w:rPr>
                <w:rFonts w:ascii="Times New Roman" w:hAnsi="Times New Roman" w:cs="Times New Roman"/>
                <w:sz w:val="16"/>
                <w:szCs w:val="16"/>
              </w:rPr>
              <w:t xml:space="preserve"> </w:t>
            </w:r>
          </w:p>
          <w:p w14:paraId="254BA0C8" w14:textId="77777777" w:rsidR="00195CEA" w:rsidRPr="00195CEA" w:rsidRDefault="00195CEA" w:rsidP="00195CEA">
            <w:pPr>
              <w:pStyle w:val="Heading2"/>
              <w:jc w:val="both"/>
              <w:rPr>
                <w:rFonts w:ascii="Times New Roman" w:hAnsi="Times New Roman" w:cs="Times New Roman"/>
                <w:b/>
                <w:sz w:val="16"/>
                <w:szCs w:val="16"/>
              </w:rPr>
            </w:pPr>
            <w:bookmarkStart w:id="164" w:name="_Toc27427840"/>
            <w:bookmarkStart w:id="165" w:name="_Toc27579852"/>
            <w:r w:rsidRPr="00195CEA">
              <w:rPr>
                <w:rFonts w:ascii="Times New Roman" w:hAnsi="Times New Roman" w:cs="Times New Roman"/>
                <w:sz w:val="16"/>
                <w:szCs w:val="16"/>
              </w:rPr>
              <w:t>(F Grade)</w:t>
            </w:r>
            <w:bookmarkEnd w:id="164"/>
            <w:bookmarkEnd w:id="165"/>
          </w:p>
        </w:tc>
      </w:tr>
      <w:tr w:rsidR="00195CEA" w:rsidRPr="00195CEA" w14:paraId="7AC1583E" w14:textId="77777777" w:rsidTr="00195CEA">
        <w:trPr>
          <w:trHeight w:val="3208"/>
        </w:trPr>
        <w:tc>
          <w:tcPr>
            <w:tcW w:w="0" w:type="auto"/>
            <w:tcMar>
              <w:top w:w="144" w:type="dxa"/>
              <w:left w:w="115" w:type="dxa"/>
              <w:bottom w:w="144" w:type="dxa"/>
              <w:right w:w="115" w:type="dxa"/>
            </w:tcMar>
          </w:tcPr>
          <w:p w14:paraId="4FF50F6B" w14:textId="77777777" w:rsidR="00195CEA" w:rsidRPr="00195CEA" w:rsidRDefault="00195CEA" w:rsidP="00AD41F5">
            <w:pPr>
              <w:spacing w:line="276" w:lineRule="auto"/>
              <w:rPr>
                <w:rFonts w:ascii="Arial" w:hAnsi="Arial" w:cs="Arial"/>
                <w:b/>
                <w:sz w:val="16"/>
                <w:szCs w:val="16"/>
              </w:rPr>
            </w:pPr>
          </w:p>
          <w:p w14:paraId="075D65F9" w14:textId="77777777" w:rsidR="00195CEA" w:rsidRPr="00195CEA" w:rsidRDefault="00195CEA" w:rsidP="00AD41F5">
            <w:pPr>
              <w:spacing w:line="276" w:lineRule="auto"/>
              <w:rPr>
                <w:rFonts w:ascii="Arial" w:hAnsi="Arial" w:cs="Arial"/>
                <w:sz w:val="16"/>
                <w:szCs w:val="16"/>
              </w:rPr>
            </w:pPr>
            <w:r w:rsidRPr="00195CEA">
              <w:rPr>
                <w:rFonts w:ascii="Arial" w:hAnsi="Arial" w:cs="Arial"/>
                <w:b/>
                <w:sz w:val="16"/>
                <w:szCs w:val="16"/>
              </w:rPr>
              <w:t>Process</w:t>
            </w:r>
            <w:r w:rsidRPr="00195CEA">
              <w:rPr>
                <w:rFonts w:ascii="Arial" w:hAnsi="Arial" w:cs="Arial"/>
                <w:sz w:val="16"/>
                <w:szCs w:val="16"/>
              </w:rPr>
              <w:t>:</w:t>
            </w:r>
          </w:p>
          <w:p w14:paraId="251DBCBA"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 xml:space="preserve">Dissertation Proposal and </w:t>
            </w:r>
          </w:p>
          <w:p w14:paraId="00DDF90D"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 xml:space="preserve">Reflection chapter </w:t>
            </w:r>
          </w:p>
          <w:p w14:paraId="5EA81427" w14:textId="77777777" w:rsidR="00195CEA" w:rsidRPr="00195CEA" w:rsidRDefault="00195CEA" w:rsidP="00AD41F5">
            <w:pPr>
              <w:spacing w:line="276" w:lineRule="auto"/>
              <w:rPr>
                <w:rFonts w:ascii="Arial" w:hAnsi="Arial" w:cs="Arial"/>
                <w:sz w:val="16"/>
                <w:szCs w:val="16"/>
              </w:rPr>
            </w:pPr>
          </w:p>
          <w:p w14:paraId="711A115B" w14:textId="77777777" w:rsidR="00195CEA" w:rsidRPr="00195CEA" w:rsidRDefault="00195CEA" w:rsidP="00AD41F5">
            <w:pPr>
              <w:spacing w:line="276" w:lineRule="auto"/>
              <w:rPr>
                <w:rFonts w:ascii="Arial" w:hAnsi="Arial" w:cs="Arial"/>
                <w:b/>
                <w:sz w:val="16"/>
                <w:szCs w:val="16"/>
              </w:rPr>
            </w:pPr>
            <w:r w:rsidRPr="00195CEA">
              <w:rPr>
                <w:rFonts w:ascii="Arial" w:hAnsi="Arial" w:cs="Arial"/>
                <w:b/>
                <w:sz w:val="16"/>
                <w:szCs w:val="16"/>
              </w:rPr>
              <w:t>20%</w:t>
            </w:r>
          </w:p>
          <w:p w14:paraId="1018B8A9" w14:textId="77777777" w:rsidR="00195CEA" w:rsidRPr="00195CEA" w:rsidRDefault="00195CEA" w:rsidP="00AD41F5">
            <w:pPr>
              <w:spacing w:line="276" w:lineRule="auto"/>
              <w:rPr>
                <w:rFonts w:ascii="Arial" w:hAnsi="Arial" w:cs="Arial"/>
                <w:b/>
                <w:sz w:val="16"/>
                <w:szCs w:val="16"/>
              </w:rPr>
            </w:pPr>
          </w:p>
        </w:tc>
        <w:tc>
          <w:tcPr>
            <w:tcW w:w="1908" w:type="dxa"/>
            <w:tcMar>
              <w:top w:w="144" w:type="dxa"/>
              <w:left w:w="115" w:type="dxa"/>
              <w:bottom w:w="144" w:type="dxa"/>
              <w:right w:w="115" w:type="dxa"/>
            </w:tcMar>
          </w:tcPr>
          <w:p w14:paraId="1F70F4C0" w14:textId="77777777" w:rsidR="00195CEA" w:rsidRPr="00195CEA" w:rsidRDefault="00195CEA" w:rsidP="00AD41F5">
            <w:pPr>
              <w:spacing w:line="276" w:lineRule="auto"/>
              <w:rPr>
                <w:rFonts w:ascii="Arial" w:hAnsi="Arial" w:cs="Arial"/>
                <w:sz w:val="16"/>
                <w:szCs w:val="16"/>
              </w:rPr>
            </w:pPr>
          </w:p>
          <w:p w14:paraId="4B6A3CEC"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 xml:space="preserve">High level of reflection, excellent insight into own learning, </w:t>
            </w:r>
          </w:p>
          <w:p w14:paraId="45AFF50A" w14:textId="77777777" w:rsidR="00195CEA" w:rsidRPr="00195CEA" w:rsidRDefault="00195CEA" w:rsidP="00AD41F5">
            <w:pPr>
              <w:spacing w:line="276" w:lineRule="auto"/>
              <w:rPr>
                <w:rFonts w:ascii="Arial" w:hAnsi="Arial" w:cs="Arial"/>
                <w:i/>
                <w:sz w:val="16"/>
                <w:szCs w:val="16"/>
              </w:rPr>
            </w:pPr>
            <w:r w:rsidRPr="00195CEA">
              <w:rPr>
                <w:rFonts w:ascii="Arial" w:hAnsi="Arial" w:cs="Arial"/>
                <w:sz w:val="16"/>
                <w:szCs w:val="16"/>
              </w:rPr>
              <w:t>Excellent proposal – clearly defined and appropriate research objectives and methodology, realistic timescales, identifies appropriate literature.</w:t>
            </w:r>
          </w:p>
        </w:tc>
        <w:tc>
          <w:tcPr>
            <w:tcW w:w="2315" w:type="dxa"/>
            <w:tcMar>
              <w:top w:w="144" w:type="dxa"/>
              <w:left w:w="115" w:type="dxa"/>
              <w:bottom w:w="144" w:type="dxa"/>
              <w:right w:w="115" w:type="dxa"/>
            </w:tcMar>
          </w:tcPr>
          <w:p w14:paraId="0A58492B" w14:textId="77777777" w:rsidR="00195CEA" w:rsidRPr="00195CEA" w:rsidRDefault="00195CEA" w:rsidP="00AD41F5">
            <w:pPr>
              <w:spacing w:line="276" w:lineRule="auto"/>
              <w:rPr>
                <w:rFonts w:ascii="Arial" w:hAnsi="Arial" w:cs="Arial"/>
                <w:sz w:val="16"/>
                <w:szCs w:val="16"/>
              </w:rPr>
            </w:pPr>
          </w:p>
          <w:p w14:paraId="77FBA380"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High level of reflection, very good insight into own learning,.</w:t>
            </w:r>
          </w:p>
          <w:p w14:paraId="0BBC5E23" w14:textId="77777777" w:rsidR="00195CEA" w:rsidRPr="00195CEA" w:rsidRDefault="00195CEA" w:rsidP="00AD41F5">
            <w:pPr>
              <w:spacing w:line="276" w:lineRule="auto"/>
              <w:rPr>
                <w:rFonts w:ascii="Arial" w:hAnsi="Arial" w:cs="Arial"/>
                <w:i/>
                <w:sz w:val="16"/>
                <w:szCs w:val="16"/>
              </w:rPr>
            </w:pPr>
            <w:r w:rsidRPr="00195CEA">
              <w:rPr>
                <w:rFonts w:ascii="Arial" w:hAnsi="Arial" w:cs="Arial"/>
                <w:sz w:val="16"/>
                <w:szCs w:val="16"/>
              </w:rPr>
              <w:t>Very good proposal – clearly defined and appropriate research objectives and methodology, realistic timescales, identifies appropriate literature.</w:t>
            </w:r>
          </w:p>
        </w:tc>
        <w:tc>
          <w:tcPr>
            <w:tcW w:w="1986" w:type="dxa"/>
            <w:tcMar>
              <w:top w:w="144" w:type="dxa"/>
              <w:left w:w="115" w:type="dxa"/>
              <w:bottom w:w="144" w:type="dxa"/>
              <w:right w:w="115" w:type="dxa"/>
            </w:tcMar>
          </w:tcPr>
          <w:p w14:paraId="54742946" w14:textId="77777777" w:rsidR="00195CEA" w:rsidRPr="00195CEA" w:rsidRDefault="00195CEA" w:rsidP="00AD41F5">
            <w:pPr>
              <w:spacing w:line="276" w:lineRule="auto"/>
              <w:rPr>
                <w:rFonts w:ascii="Arial" w:hAnsi="Arial" w:cs="Arial"/>
                <w:sz w:val="16"/>
                <w:szCs w:val="16"/>
              </w:rPr>
            </w:pPr>
          </w:p>
          <w:p w14:paraId="076043FD"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 xml:space="preserve">Some reflection, satisfactory insight into own learning, </w:t>
            </w:r>
          </w:p>
          <w:p w14:paraId="131D076C" w14:textId="77777777" w:rsidR="00195CEA" w:rsidRPr="00195CEA" w:rsidRDefault="00195CEA" w:rsidP="00AD41F5">
            <w:pPr>
              <w:spacing w:line="276" w:lineRule="auto"/>
              <w:rPr>
                <w:rFonts w:ascii="Arial" w:hAnsi="Arial" w:cs="Arial"/>
                <w:i/>
                <w:sz w:val="16"/>
                <w:szCs w:val="16"/>
              </w:rPr>
            </w:pPr>
            <w:r w:rsidRPr="00195CEA">
              <w:rPr>
                <w:rFonts w:ascii="Arial" w:hAnsi="Arial" w:cs="Arial"/>
                <w:sz w:val="16"/>
                <w:szCs w:val="16"/>
              </w:rPr>
              <w:t>Satisfactory proposal – has adequately defined research objectives and methodology, realistic timescales, identifies some appropriate literature.</w:t>
            </w:r>
          </w:p>
        </w:tc>
        <w:tc>
          <w:tcPr>
            <w:tcW w:w="2168" w:type="dxa"/>
            <w:tcMar>
              <w:top w:w="144" w:type="dxa"/>
              <w:left w:w="115" w:type="dxa"/>
              <w:bottom w:w="144" w:type="dxa"/>
              <w:right w:w="115" w:type="dxa"/>
            </w:tcMar>
          </w:tcPr>
          <w:p w14:paraId="5BB26AC9" w14:textId="77777777" w:rsidR="00195CEA" w:rsidRPr="00195CEA" w:rsidRDefault="00195CEA" w:rsidP="00AD41F5">
            <w:pPr>
              <w:spacing w:line="276" w:lineRule="auto"/>
              <w:rPr>
                <w:rFonts w:ascii="Arial" w:hAnsi="Arial" w:cs="Arial"/>
                <w:sz w:val="16"/>
                <w:szCs w:val="16"/>
              </w:rPr>
            </w:pPr>
          </w:p>
          <w:p w14:paraId="66B795D5"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 xml:space="preserve">No reflection, no insight into own learning, </w:t>
            </w:r>
          </w:p>
          <w:p w14:paraId="2BFBED0A"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Proposal very poor or not submitted – research objectives and methodology inappropriate or ill-defined or absent, unrealistic or no timescales given, fails to identify appropriate literature</w:t>
            </w:r>
          </w:p>
        </w:tc>
      </w:tr>
      <w:tr w:rsidR="00195CEA" w:rsidRPr="00195CEA" w14:paraId="2ADEBCF4" w14:textId="77777777" w:rsidTr="00195CEA">
        <w:trPr>
          <w:trHeight w:val="2249"/>
        </w:trPr>
        <w:tc>
          <w:tcPr>
            <w:tcW w:w="0" w:type="auto"/>
            <w:tcMar>
              <w:top w:w="144" w:type="dxa"/>
              <w:left w:w="115" w:type="dxa"/>
              <w:bottom w:w="144" w:type="dxa"/>
              <w:right w:w="115" w:type="dxa"/>
            </w:tcMar>
          </w:tcPr>
          <w:p w14:paraId="66634AE4" w14:textId="77777777" w:rsidR="00195CEA" w:rsidRPr="00195CEA" w:rsidRDefault="00195CEA" w:rsidP="00AD41F5">
            <w:pPr>
              <w:spacing w:line="276" w:lineRule="auto"/>
              <w:rPr>
                <w:rFonts w:ascii="Arial" w:hAnsi="Arial" w:cs="Arial"/>
                <w:b/>
                <w:sz w:val="16"/>
                <w:szCs w:val="16"/>
              </w:rPr>
            </w:pPr>
          </w:p>
          <w:p w14:paraId="0A3CFD26" w14:textId="77777777" w:rsidR="00195CEA" w:rsidRPr="00195CEA" w:rsidRDefault="00195CEA" w:rsidP="00AD41F5">
            <w:pPr>
              <w:spacing w:line="276" w:lineRule="auto"/>
              <w:rPr>
                <w:rFonts w:ascii="Arial" w:hAnsi="Arial" w:cs="Arial"/>
                <w:b/>
                <w:sz w:val="16"/>
                <w:szCs w:val="16"/>
              </w:rPr>
            </w:pPr>
            <w:r w:rsidRPr="00195CEA">
              <w:rPr>
                <w:rFonts w:ascii="Arial" w:hAnsi="Arial" w:cs="Arial"/>
                <w:b/>
                <w:sz w:val="16"/>
                <w:szCs w:val="16"/>
              </w:rPr>
              <w:t xml:space="preserve">Dissertation management </w:t>
            </w:r>
          </w:p>
          <w:p w14:paraId="60C858FE" w14:textId="77777777" w:rsidR="00195CEA" w:rsidRPr="00195CEA" w:rsidRDefault="00195CEA" w:rsidP="00AD41F5">
            <w:pPr>
              <w:spacing w:line="276" w:lineRule="auto"/>
              <w:rPr>
                <w:rFonts w:ascii="Arial" w:hAnsi="Arial" w:cs="Arial"/>
                <w:b/>
                <w:sz w:val="16"/>
                <w:szCs w:val="16"/>
              </w:rPr>
            </w:pPr>
          </w:p>
          <w:p w14:paraId="010AFF57" w14:textId="77777777" w:rsidR="00195CEA" w:rsidRPr="00195CEA" w:rsidRDefault="00195CEA" w:rsidP="00AD41F5">
            <w:pPr>
              <w:spacing w:line="276" w:lineRule="auto"/>
              <w:rPr>
                <w:rFonts w:ascii="Arial" w:hAnsi="Arial" w:cs="Arial"/>
                <w:b/>
                <w:sz w:val="16"/>
                <w:szCs w:val="16"/>
              </w:rPr>
            </w:pPr>
            <w:r w:rsidRPr="00195CEA">
              <w:rPr>
                <w:rFonts w:ascii="Arial" w:hAnsi="Arial" w:cs="Arial"/>
                <w:b/>
                <w:sz w:val="16"/>
                <w:szCs w:val="16"/>
              </w:rPr>
              <w:t xml:space="preserve">10% </w:t>
            </w:r>
          </w:p>
        </w:tc>
        <w:tc>
          <w:tcPr>
            <w:tcW w:w="1908" w:type="dxa"/>
            <w:tcMar>
              <w:top w:w="144" w:type="dxa"/>
              <w:left w:w="115" w:type="dxa"/>
              <w:bottom w:w="144" w:type="dxa"/>
              <w:right w:w="115" w:type="dxa"/>
            </w:tcMar>
          </w:tcPr>
          <w:p w14:paraId="1DF251C6" w14:textId="77777777" w:rsidR="00195CEA" w:rsidRPr="00195CEA" w:rsidRDefault="00195CEA" w:rsidP="00AD41F5">
            <w:pPr>
              <w:spacing w:line="276" w:lineRule="auto"/>
              <w:rPr>
                <w:rFonts w:ascii="Arial" w:hAnsi="Arial" w:cs="Arial"/>
                <w:sz w:val="16"/>
                <w:szCs w:val="16"/>
              </w:rPr>
            </w:pPr>
          </w:p>
          <w:p w14:paraId="7437D000"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 xml:space="preserve">All forms submitted on time, regular meetings with supervisor, agreed actions undertaken in a professional manner. </w:t>
            </w:r>
          </w:p>
        </w:tc>
        <w:tc>
          <w:tcPr>
            <w:tcW w:w="2315" w:type="dxa"/>
            <w:tcMar>
              <w:top w:w="144" w:type="dxa"/>
              <w:left w:w="115" w:type="dxa"/>
              <w:bottom w:w="144" w:type="dxa"/>
              <w:right w:w="115" w:type="dxa"/>
            </w:tcMar>
          </w:tcPr>
          <w:p w14:paraId="1C3388C0" w14:textId="77777777" w:rsidR="00195CEA" w:rsidRPr="00195CEA" w:rsidRDefault="00195CEA" w:rsidP="00AD41F5">
            <w:pPr>
              <w:spacing w:line="276" w:lineRule="auto"/>
              <w:rPr>
                <w:rFonts w:ascii="Arial" w:hAnsi="Arial" w:cs="Arial"/>
                <w:sz w:val="16"/>
                <w:szCs w:val="16"/>
              </w:rPr>
            </w:pPr>
          </w:p>
          <w:p w14:paraId="0011E979"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All forms submitted on time, regular meetings with supervisor, agreed actions undertaken</w:t>
            </w:r>
          </w:p>
        </w:tc>
        <w:tc>
          <w:tcPr>
            <w:tcW w:w="1986" w:type="dxa"/>
            <w:tcMar>
              <w:top w:w="144" w:type="dxa"/>
              <w:left w:w="115" w:type="dxa"/>
              <w:bottom w:w="144" w:type="dxa"/>
              <w:right w:w="115" w:type="dxa"/>
            </w:tcMar>
          </w:tcPr>
          <w:p w14:paraId="4A367184" w14:textId="77777777" w:rsidR="00195CEA" w:rsidRPr="00195CEA" w:rsidRDefault="00195CEA" w:rsidP="00AD41F5">
            <w:pPr>
              <w:spacing w:line="276" w:lineRule="auto"/>
              <w:rPr>
                <w:rFonts w:ascii="Arial" w:hAnsi="Arial" w:cs="Arial"/>
                <w:sz w:val="16"/>
                <w:szCs w:val="16"/>
              </w:rPr>
            </w:pPr>
          </w:p>
          <w:p w14:paraId="25ADB564"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All forms submitted on time, regular meetings with supervisor, agreed actions generally undertaken.</w:t>
            </w:r>
          </w:p>
        </w:tc>
        <w:tc>
          <w:tcPr>
            <w:tcW w:w="2168" w:type="dxa"/>
            <w:tcMar>
              <w:top w:w="144" w:type="dxa"/>
              <w:left w:w="115" w:type="dxa"/>
              <w:bottom w:w="144" w:type="dxa"/>
              <w:right w:w="115" w:type="dxa"/>
            </w:tcMar>
          </w:tcPr>
          <w:p w14:paraId="141475AD" w14:textId="77777777" w:rsidR="00195CEA" w:rsidRPr="00195CEA" w:rsidRDefault="00195CEA" w:rsidP="00AD41F5">
            <w:pPr>
              <w:spacing w:line="276" w:lineRule="auto"/>
              <w:rPr>
                <w:rFonts w:ascii="Arial" w:hAnsi="Arial" w:cs="Arial"/>
                <w:sz w:val="16"/>
                <w:szCs w:val="16"/>
              </w:rPr>
            </w:pPr>
          </w:p>
          <w:p w14:paraId="6FF33819"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Many or all deadlines missed, limited or no meetings with supervisor, agreed actions not undertaken.</w:t>
            </w:r>
          </w:p>
          <w:p w14:paraId="60BC1782"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This dissertation is submitted late without having gained permission through the Business School procedures. No ethics protocol number, no Dissertation log, no copy on disc provided.</w:t>
            </w:r>
          </w:p>
        </w:tc>
      </w:tr>
      <w:tr w:rsidR="00195CEA" w:rsidRPr="00195CEA" w14:paraId="211CEC62" w14:textId="77777777" w:rsidTr="00195CEA">
        <w:trPr>
          <w:trHeight w:val="1406"/>
        </w:trPr>
        <w:tc>
          <w:tcPr>
            <w:tcW w:w="0" w:type="auto"/>
            <w:tcMar>
              <w:top w:w="144" w:type="dxa"/>
              <w:left w:w="115" w:type="dxa"/>
              <w:bottom w:w="144" w:type="dxa"/>
              <w:right w:w="115" w:type="dxa"/>
            </w:tcMar>
          </w:tcPr>
          <w:p w14:paraId="3E03B79B" w14:textId="77777777" w:rsidR="00195CEA" w:rsidRPr="00195CEA" w:rsidRDefault="00195CEA" w:rsidP="00AD41F5">
            <w:pPr>
              <w:spacing w:line="276" w:lineRule="auto"/>
              <w:rPr>
                <w:rFonts w:ascii="Arial" w:hAnsi="Arial" w:cs="Arial"/>
                <w:b/>
                <w:sz w:val="16"/>
                <w:szCs w:val="16"/>
              </w:rPr>
            </w:pPr>
          </w:p>
          <w:p w14:paraId="2FA77C6B" w14:textId="77777777" w:rsidR="00195CEA" w:rsidRPr="00195CEA" w:rsidRDefault="00195CEA" w:rsidP="00AD41F5">
            <w:pPr>
              <w:spacing w:line="276" w:lineRule="auto"/>
              <w:rPr>
                <w:rFonts w:ascii="Arial" w:hAnsi="Arial" w:cs="Arial"/>
                <w:sz w:val="16"/>
                <w:szCs w:val="16"/>
              </w:rPr>
            </w:pPr>
            <w:r w:rsidRPr="00195CEA">
              <w:rPr>
                <w:rFonts w:ascii="Arial" w:hAnsi="Arial" w:cs="Arial"/>
                <w:b/>
                <w:sz w:val="16"/>
                <w:szCs w:val="16"/>
              </w:rPr>
              <w:t>Structure</w:t>
            </w:r>
            <w:r w:rsidRPr="00195CEA">
              <w:rPr>
                <w:rFonts w:ascii="Arial" w:hAnsi="Arial" w:cs="Arial"/>
                <w:sz w:val="16"/>
                <w:szCs w:val="16"/>
              </w:rPr>
              <w:t>:</w:t>
            </w:r>
          </w:p>
          <w:p w14:paraId="475CD6CF"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Logical Sequencing; writing style; referencing; presentation</w:t>
            </w:r>
          </w:p>
          <w:p w14:paraId="4FA9970B" w14:textId="77777777" w:rsidR="00195CEA" w:rsidRPr="00195CEA" w:rsidRDefault="00195CEA" w:rsidP="00AD41F5">
            <w:pPr>
              <w:spacing w:line="276" w:lineRule="auto"/>
              <w:rPr>
                <w:rFonts w:ascii="Arial" w:hAnsi="Arial" w:cs="Arial"/>
                <w:sz w:val="16"/>
                <w:szCs w:val="16"/>
              </w:rPr>
            </w:pPr>
          </w:p>
          <w:p w14:paraId="381464A7" w14:textId="77777777" w:rsidR="00195CEA" w:rsidRPr="00195CEA" w:rsidRDefault="00195CEA" w:rsidP="00AD41F5">
            <w:pPr>
              <w:spacing w:line="276" w:lineRule="auto"/>
              <w:rPr>
                <w:rFonts w:ascii="Arial" w:hAnsi="Arial" w:cs="Arial"/>
                <w:b/>
                <w:sz w:val="16"/>
                <w:szCs w:val="16"/>
              </w:rPr>
            </w:pPr>
            <w:r w:rsidRPr="00195CEA">
              <w:rPr>
                <w:rFonts w:ascii="Arial" w:hAnsi="Arial" w:cs="Arial"/>
                <w:b/>
                <w:sz w:val="16"/>
                <w:szCs w:val="16"/>
              </w:rPr>
              <w:t>10%</w:t>
            </w:r>
          </w:p>
        </w:tc>
        <w:tc>
          <w:tcPr>
            <w:tcW w:w="1908" w:type="dxa"/>
            <w:tcMar>
              <w:top w:w="144" w:type="dxa"/>
              <w:left w:w="115" w:type="dxa"/>
              <w:bottom w:w="144" w:type="dxa"/>
              <w:right w:w="115" w:type="dxa"/>
            </w:tcMar>
          </w:tcPr>
          <w:p w14:paraId="0166247A" w14:textId="77777777" w:rsidR="00195CEA" w:rsidRPr="00195CEA" w:rsidRDefault="00195CEA" w:rsidP="00AD41F5">
            <w:pPr>
              <w:spacing w:line="276" w:lineRule="auto"/>
              <w:rPr>
                <w:rFonts w:ascii="Arial" w:hAnsi="Arial" w:cs="Arial"/>
                <w:sz w:val="16"/>
                <w:szCs w:val="16"/>
              </w:rPr>
            </w:pPr>
          </w:p>
          <w:p w14:paraId="46920C93"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Written in clear and concise manner, well-constructed argument flows smoothly.  Broad and appropriate range of references uses one of the recognised protocols.  Presented to a high standard.  Meets and fulfils aims and objectives of a Dissertation for this programme.  Referencing is comprehensive, appropriate and rigorous.</w:t>
            </w:r>
          </w:p>
        </w:tc>
        <w:tc>
          <w:tcPr>
            <w:tcW w:w="2315" w:type="dxa"/>
            <w:tcMar>
              <w:top w:w="144" w:type="dxa"/>
              <w:left w:w="115" w:type="dxa"/>
              <w:bottom w:w="144" w:type="dxa"/>
              <w:right w:w="115" w:type="dxa"/>
            </w:tcMar>
          </w:tcPr>
          <w:p w14:paraId="6BF93C57" w14:textId="77777777" w:rsidR="00195CEA" w:rsidRPr="00195CEA" w:rsidRDefault="00195CEA" w:rsidP="00AD41F5">
            <w:pPr>
              <w:spacing w:line="276" w:lineRule="auto"/>
              <w:rPr>
                <w:rFonts w:ascii="Arial" w:hAnsi="Arial" w:cs="Arial"/>
                <w:sz w:val="16"/>
                <w:szCs w:val="16"/>
              </w:rPr>
            </w:pPr>
          </w:p>
          <w:p w14:paraId="538CD236"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Generally written in clear and concise manner, good structure and presentation, logically developed argument.  Includes a wide and appropriate range of references using the recognised protocol.  Meets and fulfils aims and objectives of a Dissertation for this programme.  Referencing is comprehensive, appropriate and of a good standard.</w:t>
            </w:r>
          </w:p>
        </w:tc>
        <w:tc>
          <w:tcPr>
            <w:tcW w:w="1986" w:type="dxa"/>
            <w:tcMar>
              <w:top w:w="144" w:type="dxa"/>
              <w:left w:w="115" w:type="dxa"/>
              <w:bottom w:w="144" w:type="dxa"/>
              <w:right w:w="115" w:type="dxa"/>
            </w:tcMar>
          </w:tcPr>
          <w:p w14:paraId="5C693E27" w14:textId="77777777" w:rsidR="00195CEA" w:rsidRPr="00195CEA" w:rsidRDefault="00195CEA" w:rsidP="00AD41F5">
            <w:pPr>
              <w:spacing w:line="276" w:lineRule="auto"/>
              <w:rPr>
                <w:rFonts w:ascii="Arial" w:hAnsi="Arial" w:cs="Arial"/>
                <w:sz w:val="16"/>
                <w:szCs w:val="16"/>
              </w:rPr>
            </w:pPr>
          </w:p>
          <w:p w14:paraId="4C824485"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 xml:space="preserve">Generally coherent, presentation satisfactory indication of literature using one of the recognised protocols. Properly referenced. Meets and fulfils aims and objectives of a Dissertation for this programme.  </w:t>
            </w:r>
          </w:p>
          <w:p w14:paraId="3C8B80CD"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Referencing is comprehensive, appropriate and satisfactory.</w:t>
            </w:r>
          </w:p>
        </w:tc>
        <w:tc>
          <w:tcPr>
            <w:tcW w:w="2168" w:type="dxa"/>
            <w:tcMar>
              <w:top w:w="144" w:type="dxa"/>
              <w:left w:w="115" w:type="dxa"/>
              <w:bottom w:w="144" w:type="dxa"/>
              <w:right w:w="115" w:type="dxa"/>
            </w:tcMar>
          </w:tcPr>
          <w:p w14:paraId="4ED9142F" w14:textId="77777777" w:rsidR="00195CEA" w:rsidRPr="00195CEA" w:rsidRDefault="00195CEA" w:rsidP="00AD41F5">
            <w:pPr>
              <w:spacing w:line="276" w:lineRule="auto"/>
              <w:rPr>
                <w:rFonts w:ascii="Arial" w:hAnsi="Arial" w:cs="Arial"/>
                <w:sz w:val="16"/>
                <w:szCs w:val="16"/>
              </w:rPr>
            </w:pPr>
          </w:p>
          <w:p w14:paraId="78E8357F"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Badly presented little or no reference to appropriate literature, fails to cite works consulted in an appropriate manner.</w:t>
            </w:r>
          </w:p>
          <w:p w14:paraId="7F5954F3" w14:textId="77777777" w:rsidR="00195CEA" w:rsidRPr="00195CEA" w:rsidRDefault="00195CEA" w:rsidP="00AD41F5">
            <w:pPr>
              <w:spacing w:line="276" w:lineRule="auto"/>
              <w:rPr>
                <w:rFonts w:ascii="Arial" w:hAnsi="Arial" w:cs="Arial"/>
                <w:sz w:val="16"/>
                <w:szCs w:val="16"/>
              </w:rPr>
            </w:pPr>
            <w:r w:rsidRPr="00195CEA">
              <w:rPr>
                <w:rFonts w:ascii="Arial" w:hAnsi="Arial" w:cs="Arial"/>
                <w:sz w:val="16"/>
                <w:szCs w:val="16"/>
              </w:rPr>
              <w:t>Incoherent or has severe faults in construction, is unduly derivative of (while acknowledging) the work of others.</w:t>
            </w:r>
          </w:p>
        </w:tc>
      </w:tr>
    </w:tbl>
    <w:tbl>
      <w:tblPr>
        <w:tblpPr w:leftFromText="180" w:rightFromText="180" w:vertAnchor="page" w:horzAnchor="margin" w:tblpXSpec="center" w:tblpY="8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4"/>
        <w:gridCol w:w="1709"/>
        <w:gridCol w:w="1703"/>
        <w:gridCol w:w="1700"/>
        <w:gridCol w:w="1697"/>
      </w:tblGrid>
      <w:tr w:rsidR="00150169" w:rsidRPr="005C5582" w14:paraId="7AFF1983" w14:textId="77777777" w:rsidTr="00AD41F5">
        <w:trPr>
          <w:trHeight w:val="743"/>
        </w:trPr>
        <w:tc>
          <w:tcPr>
            <w:tcW w:w="0" w:type="auto"/>
            <w:tcMar>
              <w:top w:w="144" w:type="dxa"/>
              <w:left w:w="115" w:type="dxa"/>
              <w:bottom w:w="144" w:type="dxa"/>
              <w:right w:w="115" w:type="dxa"/>
            </w:tcMar>
          </w:tcPr>
          <w:p w14:paraId="0629C854" w14:textId="77777777" w:rsidR="00150169" w:rsidRPr="00195CEA" w:rsidRDefault="00150169" w:rsidP="00AD41F5">
            <w:pPr>
              <w:pStyle w:val="Heading1"/>
              <w:rPr>
                <w:rFonts w:ascii="Times New Roman" w:hAnsi="Times New Roman" w:cs="Times New Roman"/>
                <w:b w:val="0"/>
                <w:color w:val="auto"/>
                <w:sz w:val="18"/>
                <w:szCs w:val="18"/>
              </w:rPr>
            </w:pPr>
            <w:bookmarkStart w:id="166" w:name="_Toc27427841"/>
            <w:bookmarkStart w:id="167" w:name="_Toc27579853"/>
            <w:r w:rsidRPr="00195CEA">
              <w:rPr>
                <w:rFonts w:ascii="Times New Roman" w:hAnsi="Times New Roman" w:cs="Times New Roman"/>
                <w:b w:val="0"/>
                <w:color w:val="auto"/>
                <w:sz w:val="18"/>
                <w:szCs w:val="18"/>
              </w:rPr>
              <w:lastRenderedPageBreak/>
              <w:t>Guideline</w:t>
            </w:r>
            <w:bookmarkEnd w:id="166"/>
            <w:bookmarkEnd w:id="167"/>
          </w:p>
        </w:tc>
        <w:tc>
          <w:tcPr>
            <w:tcW w:w="0" w:type="auto"/>
            <w:tcMar>
              <w:top w:w="144" w:type="dxa"/>
              <w:left w:w="115" w:type="dxa"/>
              <w:bottom w:w="144" w:type="dxa"/>
              <w:right w:w="115" w:type="dxa"/>
            </w:tcMar>
          </w:tcPr>
          <w:p w14:paraId="0BF6F3CB" w14:textId="77777777" w:rsidR="00150169" w:rsidRPr="00195CEA" w:rsidRDefault="00150169" w:rsidP="00AD41F5">
            <w:pPr>
              <w:pStyle w:val="Heading1"/>
              <w:rPr>
                <w:rFonts w:ascii="Times New Roman" w:hAnsi="Times New Roman" w:cs="Times New Roman"/>
                <w:b w:val="0"/>
                <w:color w:val="auto"/>
                <w:sz w:val="18"/>
                <w:szCs w:val="18"/>
              </w:rPr>
            </w:pPr>
            <w:bookmarkStart w:id="168" w:name="_Toc27427842"/>
            <w:bookmarkStart w:id="169" w:name="_Toc27579854"/>
            <w:r w:rsidRPr="00195CEA">
              <w:rPr>
                <w:rFonts w:ascii="Times New Roman" w:hAnsi="Times New Roman" w:cs="Times New Roman"/>
                <w:b w:val="0"/>
                <w:color w:val="auto"/>
                <w:sz w:val="18"/>
                <w:szCs w:val="18"/>
              </w:rPr>
              <w:t>Distinction level, 75% and above (A Grade)</w:t>
            </w:r>
            <w:bookmarkEnd w:id="168"/>
            <w:bookmarkEnd w:id="169"/>
          </w:p>
        </w:tc>
        <w:tc>
          <w:tcPr>
            <w:tcW w:w="0" w:type="auto"/>
            <w:tcMar>
              <w:top w:w="144" w:type="dxa"/>
              <w:left w:w="115" w:type="dxa"/>
              <w:bottom w:w="144" w:type="dxa"/>
              <w:right w:w="115" w:type="dxa"/>
            </w:tcMar>
          </w:tcPr>
          <w:p w14:paraId="1BF36BD8" w14:textId="77777777" w:rsidR="00150169" w:rsidRPr="00195CEA" w:rsidRDefault="00150169" w:rsidP="00AD41F5">
            <w:pPr>
              <w:pStyle w:val="Heading2"/>
              <w:spacing w:line="276" w:lineRule="auto"/>
              <w:rPr>
                <w:rFonts w:ascii="Times New Roman" w:hAnsi="Times New Roman" w:cs="Times New Roman"/>
                <w:b/>
                <w:color w:val="auto"/>
                <w:sz w:val="18"/>
                <w:szCs w:val="18"/>
              </w:rPr>
            </w:pPr>
          </w:p>
          <w:p w14:paraId="647D00AD" w14:textId="77777777" w:rsidR="00150169" w:rsidRPr="00195CEA" w:rsidRDefault="00150169" w:rsidP="00AD41F5">
            <w:pPr>
              <w:pStyle w:val="Heading2"/>
              <w:spacing w:line="276" w:lineRule="auto"/>
              <w:rPr>
                <w:rFonts w:ascii="Times New Roman" w:hAnsi="Times New Roman" w:cs="Times New Roman"/>
                <w:b/>
                <w:color w:val="auto"/>
                <w:sz w:val="18"/>
                <w:szCs w:val="18"/>
              </w:rPr>
            </w:pPr>
            <w:bookmarkStart w:id="170" w:name="_Toc27427843"/>
            <w:bookmarkStart w:id="171" w:name="_Toc27579855"/>
            <w:r w:rsidRPr="00195CEA">
              <w:rPr>
                <w:rFonts w:ascii="Times New Roman" w:hAnsi="Times New Roman" w:cs="Times New Roman"/>
                <w:color w:val="auto"/>
                <w:sz w:val="18"/>
                <w:szCs w:val="18"/>
              </w:rPr>
              <w:t>Commendation level, 65 to 74% (B &amp; B+ Grade)</w:t>
            </w:r>
            <w:bookmarkEnd w:id="170"/>
            <w:bookmarkEnd w:id="171"/>
          </w:p>
        </w:tc>
        <w:tc>
          <w:tcPr>
            <w:tcW w:w="0" w:type="auto"/>
            <w:tcMar>
              <w:top w:w="144" w:type="dxa"/>
              <w:left w:w="115" w:type="dxa"/>
              <w:bottom w:w="144" w:type="dxa"/>
              <w:right w:w="115" w:type="dxa"/>
            </w:tcMar>
          </w:tcPr>
          <w:p w14:paraId="2A8FEA6E" w14:textId="77777777" w:rsidR="00150169" w:rsidRPr="00195CEA" w:rsidRDefault="00150169" w:rsidP="00AD41F5">
            <w:pPr>
              <w:pStyle w:val="Heading2"/>
              <w:rPr>
                <w:rFonts w:ascii="Times New Roman" w:hAnsi="Times New Roman" w:cs="Times New Roman"/>
                <w:b/>
                <w:color w:val="auto"/>
                <w:sz w:val="18"/>
                <w:szCs w:val="18"/>
              </w:rPr>
            </w:pPr>
          </w:p>
          <w:p w14:paraId="6E2141EB" w14:textId="77777777" w:rsidR="00150169" w:rsidRPr="00195CEA" w:rsidRDefault="00150169" w:rsidP="00AD41F5">
            <w:pPr>
              <w:pStyle w:val="Heading2"/>
              <w:rPr>
                <w:rFonts w:ascii="Times New Roman" w:hAnsi="Times New Roman" w:cs="Times New Roman"/>
                <w:b/>
                <w:color w:val="auto"/>
                <w:sz w:val="18"/>
                <w:szCs w:val="18"/>
              </w:rPr>
            </w:pPr>
            <w:bookmarkStart w:id="172" w:name="_Toc27427844"/>
            <w:bookmarkStart w:id="173" w:name="_Toc27579856"/>
            <w:r w:rsidRPr="00195CEA">
              <w:rPr>
                <w:rFonts w:ascii="Times New Roman" w:hAnsi="Times New Roman" w:cs="Times New Roman"/>
                <w:color w:val="auto"/>
                <w:sz w:val="18"/>
                <w:szCs w:val="18"/>
              </w:rPr>
              <w:t>Pass Standard, 60 to 64%</w:t>
            </w:r>
            <w:bookmarkEnd w:id="172"/>
            <w:bookmarkEnd w:id="173"/>
            <w:r w:rsidRPr="00195CEA">
              <w:rPr>
                <w:rFonts w:ascii="Times New Roman" w:hAnsi="Times New Roman" w:cs="Times New Roman"/>
                <w:color w:val="auto"/>
                <w:sz w:val="18"/>
                <w:szCs w:val="18"/>
              </w:rPr>
              <w:t xml:space="preserve"> </w:t>
            </w:r>
          </w:p>
          <w:p w14:paraId="0CEACAE9" w14:textId="77777777" w:rsidR="00150169" w:rsidRPr="00195CEA" w:rsidRDefault="00150169" w:rsidP="00AD41F5">
            <w:pPr>
              <w:pStyle w:val="Heading2"/>
              <w:spacing w:line="276" w:lineRule="auto"/>
              <w:rPr>
                <w:rFonts w:ascii="Times New Roman" w:hAnsi="Times New Roman" w:cs="Times New Roman"/>
                <w:b/>
                <w:color w:val="auto"/>
                <w:sz w:val="18"/>
                <w:szCs w:val="18"/>
              </w:rPr>
            </w:pPr>
            <w:bookmarkStart w:id="174" w:name="_Toc27427845"/>
            <w:bookmarkStart w:id="175" w:name="_Toc27579857"/>
            <w:r w:rsidRPr="00195CEA">
              <w:rPr>
                <w:rFonts w:ascii="Times New Roman" w:hAnsi="Times New Roman" w:cs="Times New Roman"/>
                <w:color w:val="auto"/>
                <w:sz w:val="18"/>
                <w:szCs w:val="18"/>
              </w:rPr>
              <w:t>(B- Grade)</w:t>
            </w:r>
            <w:bookmarkEnd w:id="174"/>
            <w:bookmarkEnd w:id="175"/>
          </w:p>
        </w:tc>
        <w:tc>
          <w:tcPr>
            <w:tcW w:w="0" w:type="auto"/>
            <w:tcMar>
              <w:top w:w="144" w:type="dxa"/>
              <w:left w:w="115" w:type="dxa"/>
              <w:bottom w:w="144" w:type="dxa"/>
              <w:right w:w="115" w:type="dxa"/>
            </w:tcMar>
          </w:tcPr>
          <w:p w14:paraId="26770DE9" w14:textId="77777777" w:rsidR="00150169" w:rsidRPr="00195CEA" w:rsidRDefault="00150169" w:rsidP="00AD41F5">
            <w:pPr>
              <w:pStyle w:val="Heading2"/>
              <w:spacing w:line="276" w:lineRule="auto"/>
              <w:rPr>
                <w:rFonts w:ascii="Times New Roman" w:hAnsi="Times New Roman" w:cs="Times New Roman"/>
                <w:b/>
                <w:color w:val="auto"/>
                <w:sz w:val="18"/>
                <w:szCs w:val="18"/>
              </w:rPr>
            </w:pPr>
          </w:p>
          <w:p w14:paraId="405D5F23" w14:textId="77777777" w:rsidR="00150169" w:rsidRPr="00195CEA" w:rsidRDefault="00150169" w:rsidP="00AD41F5">
            <w:pPr>
              <w:pStyle w:val="Heading2"/>
              <w:spacing w:line="276" w:lineRule="auto"/>
              <w:rPr>
                <w:rFonts w:ascii="Times New Roman" w:hAnsi="Times New Roman" w:cs="Times New Roman"/>
                <w:b/>
                <w:color w:val="auto"/>
                <w:sz w:val="18"/>
                <w:szCs w:val="18"/>
              </w:rPr>
            </w:pPr>
            <w:bookmarkStart w:id="176" w:name="_Toc27427846"/>
            <w:bookmarkStart w:id="177" w:name="_Toc27579858"/>
            <w:r w:rsidRPr="00195CEA">
              <w:rPr>
                <w:rFonts w:ascii="Times New Roman" w:hAnsi="Times New Roman" w:cs="Times New Roman"/>
                <w:color w:val="auto"/>
                <w:sz w:val="18"/>
                <w:szCs w:val="18"/>
              </w:rPr>
              <w:t>Fail standard, below 59%</w:t>
            </w:r>
            <w:bookmarkEnd w:id="176"/>
            <w:bookmarkEnd w:id="177"/>
            <w:r w:rsidRPr="00195CEA">
              <w:rPr>
                <w:rFonts w:ascii="Times New Roman" w:hAnsi="Times New Roman" w:cs="Times New Roman"/>
                <w:color w:val="auto"/>
                <w:sz w:val="18"/>
                <w:szCs w:val="18"/>
              </w:rPr>
              <w:t xml:space="preserve"> </w:t>
            </w:r>
          </w:p>
          <w:p w14:paraId="5917A418" w14:textId="77777777" w:rsidR="00150169" w:rsidRPr="00195CEA" w:rsidRDefault="00150169" w:rsidP="00AD41F5">
            <w:pPr>
              <w:pStyle w:val="Heading2"/>
              <w:spacing w:line="276" w:lineRule="auto"/>
              <w:rPr>
                <w:rFonts w:ascii="Times New Roman" w:hAnsi="Times New Roman" w:cs="Times New Roman"/>
                <w:b/>
                <w:color w:val="auto"/>
                <w:sz w:val="18"/>
                <w:szCs w:val="18"/>
              </w:rPr>
            </w:pPr>
            <w:bookmarkStart w:id="178" w:name="_Toc27427847"/>
            <w:bookmarkStart w:id="179" w:name="_Toc27579859"/>
            <w:r w:rsidRPr="00195CEA">
              <w:rPr>
                <w:rFonts w:ascii="Times New Roman" w:hAnsi="Times New Roman" w:cs="Times New Roman"/>
                <w:color w:val="auto"/>
                <w:sz w:val="18"/>
                <w:szCs w:val="18"/>
              </w:rPr>
              <w:t>(F Grade)</w:t>
            </w:r>
            <w:bookmarkEnd w:id="178"/>
            <w:bookmarkEnd w:id="179"/>
          </w:p>
        </w:tc>
      </w:tr>
      <w:tr w:rsidR="00150169" w:rsidRPr="005C5582" w14:paraId="6E3731B3" w14:textId="77777777" w:rsidTr="00AD41F5">
        <w:trPr>
          <w:trHeight w:val="3596"/>
        </w:trPr>
        <w:tc>
          <w:tcPr>
            <w:tcW w:w="0" w:type="auto"/>
            <w:tcMar>
              <w:top w:w="144" w:type="dxa"/>
              <w:left w:w="115" w:type="dxa"/>
              <w:bottom w:w="144" w:type="dxa"/>
              <w:right w:w="115" w:type="dxa"/>
            </w:tcMar>
          </w:tcPr>
          <w:p w14:paraId="2782ACE7" w14:textId="77777777" w:rsidR="00150169" w:rsidRPr="005C5582" w:rsidRDefault="00150169" w:rsidP="00AD41F5">
            <w:pPr>
              <w:spacing w:line="276" w:lineRule="auto"/>
              <w:rPr>
                <w:rFonts w:ascii="Arial" w:hAnsi="Arial" w:cs="Arial"/>
                <w:b/>
                <w:sz w:val="18"/>
                <w:szCs w:val="18"/>
              </w:rPr>
            </w:pPr>
            <w:r w:rsidRPr="005C5582">
              <w:rPr>
                <w:rFonts w:ascii="Arial" w:hAnsi="Arial" w:cs="Arial"/>
                <w:b/>
                <w:sz w:val="18"/>
                <w:szCs w:val="18"/>
              </w:rPr>
              <w:t>Method:</w:t>
            </w:r>
          </w:p>
          <w:p w14:paraId="5B2FEC90"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Methodology; methods of data collection</w:t>
            </w:r>
          </w:p>
          <w:p w14:paraId="58933790" w14:textId="77777777" w:rsidR="00150169" w:rsidRPr="005C5582" w:rsidRDefault="00150169" w:rsidP="00AD41F5">
            <w:pPr>
              <w:spacing w:line="276" w:lineRule="auto"/>
              <w:rPr>
                <w:rFonts w:ascii="Arial" w:hAnsi="Arial" w:cs="Arial"/>
                <w:sz w:val="18"/>
                <w:szCs w:val="18"/>
              </w:rPr>
            </w:pPr>
          </w:p>
          <w:p w14:paraId="22C774B1" w14:textId="77777777" w:rsidR="00150169" w:rsidRPr="005C5582" w:rsidRDefault="00150169" w:rsidP="00AD41F5">
            <w:pPr>
              <w:spacing w:line="276" w:lineRule="auto"/>
              <w:rPr>
                <w:rFonts w:ascii="Arial" w:hAnsi="Arial" w:cs="Arial"/>
                <w:b/>
                <w:sz w:val="18"/>
                <w:szCs w:val="18"/>
              </w:rPr>
            </w:pPr>
            <w:r w:rsidRPr="005C5582">
              <w:rPr>
                <w:rFonts w:ascii="Arial" w:hAnsi="Arial" w:cs="Arial"/>
                <w:b/>
                <w:sz w:val="18"/>
                <w:szCs w:val="18"/>
              </w:rPr>
              <w:t>15%</w:t>
            </w:r>
          </w:p>
        </w:tc>
        <w:tc>
          <w:tcPr>
            <w:tcW w:w="0" w:type="auto"/>
            <w:tcMar>
              <w:top w:w="144" w:type="dxa"/>
              <w:left w:w="115" w:type="dxa"/>
              <w:bottom w:w="144" w:type="dxa"/>
              <w:right w:w="115" w:type="dxa"/>
            </w:tcMar>
          </w:tcPr>
          <w:p w14:paraId="58D47AEC"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Suitable methodology employed, understood, well explained and justified, alternative methodologies considered, appropriate data collection methods, data valid, reliable and  perhaps extensive.</w:t>
            </w:r>
          </w:p>
        </w:tc>
        <w:tc>
          <w:tcPr>
            <w:tcW w:w="0" w:type="auto"/>
            <w:tcMar>
              <w:top w:w="144" w:type="dxa"/>
              <w:left w:w="115" w:type="dxa"/>
              <w:bottom w:w="144" w:type="dxa"/>
              <w:right w:w="115" w:type="dxa"/>
            </w:tcMar>
          </w:tcPr>
          <w:p w14:paraId="6A7C9AA8"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Suitable methodology employed, understood explained and justified, alternative methodologies considered, appropriate data collection methods, data valid and reliable.</w:t>
            </w:r>
          </w:p>
        </w:tc>
        <w:tc>
          <w:tcPr>
            <w:tcW w:w="0" w:type="auto"/>
            <w:tcMar>
              <w:top w:w="144" w:type="dxa"/>
              <w:left w:w="115" w:type="dxa"/>
              <w:bottom w:w="144" w:type="dxa"/>
              <w:right w:w="115" w:type="dxa"/>
            </w:tcMar>
          </w:tcPr>
          <w:p w14:paraId="49460096"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Methodology satisfactorily understood, explained and justified, alternative methodologies may be considered, data collection methods generally appropriate, data generally valid and reliable.</w:t>
            </w:r>
          </w:p>
        </w:tc>
        <w:tc>
          <w:tcPr>
            <w:tcW w:w="0" w:type="auto"/>
            <w:tcMar>
              <w:top w:w="144" w:type="dxa"/>
              <w:left w:w="115" w:type="dxa"/>
              <w:bottom w:w="144" w:type="dxa"/>
              <w:right w:w="115" w:type="dxa"/>
            </w:tcMar>
          </w:tcPr>
          <w:p w14:paraId="1D91675E"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Methodology not described, alternative methodologies not considered, data collection methods inappropriate or non</w:t>
            </w:r>
            <w:r>
              <w:rPr>
                <w:rFonts w:ascii="Arial" w:hAnsi="Arial" w:cs="Arial"/>
                <w:sz w:val="18"/>
                <w:szCs w:val="18"/>
              </w:rPr>
              <w:t>-</w:t>
            </w:r>
            <w:r w:rsidRPr="005C5582">
              <w:rPr>
                <w:rFonts w:ascii="Arial" w:hAnsi="Arial" w:cs="Arial"/>
                <w:sz w:val="18"/>
                <w:szCs w:val="18"/>
              </w:rPr>
              <w:t xml:space="preserve"> existent, data lacks validity and/or reliability.</w:t>
            </w:r>
          </w:p>
        </w:tc>
      </w:tr>
      <w:tr w:rsidR="00150169" w:rsidRPr="005C5582" w14:paraId="7C66648C" w14:textId="77777777" w:rsidTr="00AD41F5">
        <w:trPr>
          <w:trHeight w:val="3254"/>
        </w:trPr>
        <w:tc>
          <w:tcPr>
            <w:tcW w:w="0" w:type="auto"/>
            <w:tcMar>
              <w:top w:w="144" w:type="dxa"/>
              <w:left w:w="115" w:type="dxa"/>
              <w:bottom w:w="144" w:type="dxa"/>
              <w:right w:w="115" w:type="dxa"/>
            </w:tcMar>
          </w:tcPr>
          <w:p w14:paraId="567A94D7" w14:textId="77777777" w:rsidR="00150169" w:rsidRPr="005C5582" w:rsidRDefault="00150169" w:rsidP="00AD41F5">
            <w:pPr>
              <w:spacing w:line="276" w:lineRule="auto"/>
              <w:rPr>
                <w:rFonts w:ascii="Arial" w:hAnsi="Arial" w:cs="Arial"/>
                <w:b/>
                <w:sz w:val="18"/>
                <w:szCs w:val="18"/>
              </w:rPr>
            </w:pPr>
            <w:r w:rsidRPr="005C5582">
              <w:rPr>
                <w:rFonts w:ascii="Arial" w:hAnsi="Arial" w:cs="Arial"/>
                <w:b/>
                <w:sz w:val="18"/>
                <w:szCs w:val="18"/>
              </w:rPr>
              <w:t>Literature (formerly title ‘theory’)</w:t>
            </w:r>
          </w:p>
          <w:p w14:paraId="37ACDCD7" w14:textId="77777777" w:rsidR="00150169" w:rsidRPr="005C5582" w:rsidRDefault="00150169" w:rsidP="00AD41F5">
            <w:pPr>
              <w:pStyle w:val="Heading1"/>
              <w:rPr>
                <w:rFonts w:ascii="Arial" w:hAnsi="Arial" w:cs="Arial"/>
                <w:sz w:val="18"/>
                <w:szCs w:val="18"/>
              </w:rPr>
            </w:pPr>
            <w:bookmarkStart w:id="180" w:name="_Toc27427848"/>
            <w:bookmarkStart w:id="181" w:name="_Toc27579860"/>
            <w:r w:rsidRPr="005C5582">
              <w:rPr>
                <w:rFonts w:ascii="Arial" w:hAnsi="Arial" w:cs="Arial"/>
                <w:sz w:val="18"/>
                <w:szCs w:val="18"/>
              </w:rPr>
              <w:t>Identification of appropriate / relevant theory; literature employed; critical assessment / review; independence of thought / ideas</w:t>
            </w:r>
            <w:bookmarkEnd w:id="180"/>
            <w:bookmarkEnd w:id="181"/>
          </w:p>
          <w:p w14:paraId="7DA0EAAF" w14:textId="77777777" w:rsidR="00150169" w:rsidRPr="00195CEA" w:rsidRDefault="00150169" w:rsidP="00AD41F5">
            <w:pPr>
              <w:spacing w:line="276" w:lineRule="auto"/>
              <w:rPr>
                <w:rFonts w:ascii="Arial" w:hAnsi="Arial" w:cs="Arial"/>
                <w:b/>
                <w:sz w:val="18"/>
                <w:szCs w:val="18"/>
              </w:rPr>
            </w:pPr>
            <w:r w:rsidRPr="005C5582">
              <w:rPr>
                <w:rFonts w:ascii="Arial" w:hAnsi="Arial" w:cs="Arial"/>
                <w:b/>
                <w:sz w:val="18"/>
                <w:szCs w:val="18"/>
              </w:rPr>
              <w:t>20%</w:t>
            </w:r>
          </w:p>
        </w:tc>
        <w:tc>
          <w:tcPr>
            <w:tcW w:w="0" w:type="auto"/>
            <w:tcMar>
              <w:top w:w="144" w:type="dxa"/>
              <w:left w:w="115" w:type="dxa"/>
              <w:bottom w:w="144" w:type="dxa"/>
              <w:right w:w="115" w:type="dxa"/>
            </w:tcMar>
          </w:tcPr>
          <w:p w14:paraId="21583FD3"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Critical debate of the literature, ability to evaluate contrasting viewpoints, degree of independent thought, comprehensive literature review, thorough understanding of key theoretical concepts</w:t>
            </w:r>
          </w:p>
        </w:tc>
        <w:tc>
          <w:tcPr>
            <w:tcW w:w="0" w:type="auto"/>
            <w:tcMar>
              <w:top w:w="144" w:type="dxa"/>
              <w:left w:w="115" w:type="dxa"/>
              <w:bottom w:w="144" w:type="dxa"/>
              <w:right w:w="115" w:type="dxa"/>
            </w:tcMar>
          </w:tcPr>
          <w:p w14:paraId="51954C0E"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Evaluation of the literature, evidence of ability to evaluate contrasting viewpoints, some evidence of independent thought, broad literature review, good understanding of key theoretical concepts</w:t>
            </w:r>
          </w:p>
        </w:tc>
        <w:tc>
          <w:tcPr>
            <w:tcW w:w="0" w:type="auto"/>
            <w:tcMar>
              <w:top w:w="144" w:type="dxa"/>
              <w:left w:w="115" w:type="dxa"/>
              <w:bottom w:w="144" w:type="dxa"/>
              <w:right w:w="115" w:type="dxa"/>
            </w:tcMar>
          </w:tcPr>
          <w:p w14:paraId="67939D16"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Demonstrates an understanding of the literature and existence of alternative viewpoints,  satisfactory evidence of independent thought, has reasonable literature review, shows understanding of key theoretical concepts</w:t>
            </w:r>
          </w:p>
        </w:tc>
        <w:tc>
          <w:tcPr>
            <w:tcW w:w="0" w:type="auto"/>
            <w:tcMar>
              <w:top w:w="144" w:type="dxa"/>
              <w:left w:w="115" w:type="dxa"/>
              <w:bottom w:w="144" w:type="dxa"/>
              <w:right w:w="115" w:type="dxa"/>
            </w:tcMar>
          </w:tcPr>
          <w:p w14:paraId="24FE3354"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Demonstrates no appreciation of the existence of alternative viewpoints, no evidence of independent thought, little or no review of literature, little or no understanding of key theoretical concepts.</w:t>
            </w:r>
          </w:p>
          <w:p w14:paraId="4703EB4B" w14:textId="77777777" w:rsidR="00150169" w:rsidRPr="005C5582" w:rsidRDefault="00150169" w:rsidP="00AD41F5">
            <w:pPr>
              <w:spacing w:line="276" w:lineRule="auto"/>
              <w:rPr>
                <w:rFonts w:ascii="Arial" w:hAnsi="Arial" w:cs="Arial"/>
                <w:sz w:val="18"/>
                <w:szCs w:val="18"/>
              </w:rPr>
            </w:pPr>
          </w:p>
        </w:tc>
      </w:tr>
      <w:tr w:rsidR="00150169" w:rsidRPr="005C5582" w14:paraId="6037573C" w14:textId="77777777" w:rsidTr="00AD41F5">
        <w:tc>
          <w:tcPr>
            <w:tcW w:w="0" w:type="auto"/>
            <w:tcMar>
              <w:top w:w="144" w:type="dxa"/>
              <w:left w:w="115" w:type="dxa"/>
              <w:bottom w:w="144" w:type="dxa"/>
              <w:right w:w="115" w:type="dxa"/>
            </w:tcMar>
          </w:tcPr>
          <w:p w14:paraId="7F2C59EC" w14:textId="77777777" w:rsidR="00150169" w:rsidRPr="005C5582" w:rsidRDefault="00150169" w:rsidP="00AD41F5">
            <w:pPr>
              <w:spacing w:line="276" w:lineRule="auto"/>
              <w:rPr>
                <w:rFonts w:ascii="Arial" w:hAnsi="Arial" w:cs="Arial"/>
                <w:b/>
                <w:sz w:val="18"/>
                <w:szCs w:val="18"/>
              </w:rPr>
            </w:pPr>
            <w:r w:rsidRPr="005C5582">
              <w:rPr>
                <w:rFonts w:ascii="Arial" w:hAnsi="Arial" w:cs="Arial"/>
                <w:b/>
                <w:sz w:val="18"/>
                <w:szCs w:val="18"/>
              </w:rPr>
              <w:t>Analysis:</w:t>
            </w:r>
          </w:p>
          <w:p w14:paraId="6382B7BB"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 xml:space="preserve">Analysis of data; discussion; conclusions and recommendations </w:t>
            </w:r>
          </w:p>
          <w:p w14:paraId="28CF6AA9" w14:textId="77777777" w:rsidR="00150169" w:rsidRPr="005C5582" w:rsidRDefault="00150169" w:rsidP="00AD41F5">
            <w:pPr>
              <w:spacing w:line="276" w:lineRule="auto"/>
              <w:rPr>
                <w:rFonts w:ascii="Arial" w:hAnsi="Arial" w:cs="Arial"/>
                <w:b/>
                <w:sz w:val="18"/>
                <w:szCs w:val="18"/>
              </w:rPr>
            </w:pPr>
          </w:p>
          <w:p w14:paraId="383B942F" w14:textId="77777777" w:rsidR="00150169" w:rsidRPr="005C5582" w:rsidRDefault="00150169" w:rsidP="00AD41F5">
            <w:pPr>
              <w:spacing w:line="276" w:lineRule="auto"/>
              <w:rPr>
                <w:rFonts w:ascii="Arial" w:hAnsi="Arial" w:cs="Arial"/>
                <w:b/>
                <w:sz w:val="18"/>
                <w:szCs w:val="18"/>
              </w:rPr>
            </w:pPr>
          </w:p>
          <w:p w14:paraId="60B0B127" w14:textId="77777777" w:rsidR="00150169" w:rsidRPr="005C5582" w:rsidRDefault="00150169" w:rsidP="00AD41F5">
            <w:pPr>
              <w:spacing w:line="276" w:lineRule="auto"/>
              <w:rPr>
                <w:rFonts w:ascii="Arial" w:hAnsi="Arial" w:cs="Arial"/>
                <w:b/>
                <w:sz w:val="18"/>
                <w:szCs w:val="18"/>
              </w:rPr>
            </w:pPr>
            <w:r w:rsidRPr="005C5582">
              <w:rPr>
                <w:rFonts w:ascii="Arial" w:hAnsi="Arial" w:cs="Arial"/>
                <w:b/>
                <w:sz w:val="18"/>
                <w:szCs w:val="18"/>
              </w:rPr>
              <w:t>25%</w:t>
            </w:r>
          </w:p>
        </w:tc>
        <w:tc>
          <w:tcPr>
            <w:tcW w:w="0" w:type="auto"/>
            <w:tcMar>
              <w:top w:w="144" w:type="dxa"/>
              <w:left w:w="115" w:type="dxa"/>
              <w:bottom w:w="144" w:type="dxa"/>
              <w:right w:w="115" w:type="dxa"/>
            </w:tcMar>
          </w:tcPr>
          <w:p w14:paraId="75891C73"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 xml:space="preserve">Ability to analyse and synthesise information to a very high level, application of theoretical concepts to empirical issues, ability to draw conclusions, may form the basis of a publication, suitable recommendations </w:t>
            </w:r>
            <w:r w:rsidRPr="005C5582">
              <w:rPr>
                <w:rFonts w:ascii="Arial" w:hAnsi="Arial" w:cs="Arial"/>
                <w:sz w:val="18"/>
                <w:szCs w:val="18"/>
              </w:rPr>
              <w:lastRenderedPageBreak/>
              <w:t>(if appropriate), limitations recognised and addressed.</w:t>
            </w:r>
          </w:p>
        </w:tc>
        <w:tc>
          <w:tcPr>
            <w:tcW w:w="0" w:type="auto"/>
            <w:tcMar>
              <w:top w:w="144" w:type="dxa"/>
              <w:left w:w="115" w:type="dxa"/>
              <w:bottom w:w="144" w:type="dxa"/>
              <w:right w:w="115" w:type="dxa"/>
            </w:tcMar>
          </w:tcPr>
          <w:p w14:paraId="28156E93"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lastRenderedPageBreak/>
              <w:t xml:space="preserve">Ability to analyse and synthesise information to a high level, evidence of ability to draw conclusions, ability to integrate theoretical concepts with data, suitable recommendations (if appropriate), limitations </w:t>
            </w:r>
            <w:r w:rsidRPr="005C5582">
              <w:rPr>
                <w:rFonts w:ascii="Arial" w:hAnsi="Arial" w:cs="Arial"/>
                <w:sz w:val="18"/>
                <w:szCs w:val="18"/>
              </w:rPr>
              <w:lastRenderedPageBreak/>
              <w:t>recognised and addressed.</w:t>
            </w:r>
          </w:p>
        </w:tc>
        <w:tc>
          <w:tcPr>
            <w:tcW w:w="0" w:type="auto"/>
            <w:tcMar>
              <w:top w:w="144" w:type="dxa"/>
              <w:left w:w="115" w:type="dxa"/>
              <w:bottom w:w="144" w:type="dxa"/>
              <w:right w:w="115" w:type="dxa"/>
            </w:tcMar>
          </w:tcPr>
          <w:p w14:paraId="593FCE8C"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lastRenderedPageBreak/>
              <w:t>Good level of ability to analyse and synthesise information, and to integrate theory to data, recommendations (if appropriate), limitations recognised.</w:t>
            </w:r>
          </w:p>
        </w:tc>
        <w:tc>
          <w:tcPr>
            <w:tcW w:w="0" w:type="auto"/>
            <w:tcMar>
              <w:top w:w="144" w:type="dxa"/>
              <w:left w:w="115" w:type="dxa"/>
              <w:bottom w:w="144" w:type="dxa"/>
              <w:right w:w="115" w:type="dxa"/>
            </w:tcMar>
          </w:tcPr>
          <w:p w14:paraId="7FE3C632" w14:textId="77777777" w:rsidR="00150169" w:rsidRPr="005C5582" w:rsidRDefault="00150169" w:rsidP="00AD41F5">
            <w:pPr>
              <w:spacing w:line="276" w:lineRule="auto"/>
              <w:rPr>
                <w:rFonts w:ascii="Arial" w:hAnsi="Arial" w:cs="Arial"/>
                <w:sz w:val="18"/>
                <w:szCs w:val="18"/>
              </w:rPr>
            </w:pPr>
            <w:r w:rsidRPr="005C5582">
              <w:rPr>
                <w:rFonts w:ascii="Arial" w:hAnsi="Arial" w:cs="Arial"/>
                <w:sz w:val="18"/>
                <w:szCs w:val="18"/>
              </w:rPr>
              <w:t>Low level attempt to integrate theory to data, lacks analysis, makes unsubstantiated statements or assertions, no re</w:t>
            </w:r>
            <w:r>
              <w:rPr>
                <w:rFonts w:ascii="Arial" w:hAnsi="Arial" w:cs="Arial"/>
                <w:sz w:val="18"/>
                <w:szCs w:val="18"/>
              </w:rPr>
              <w:t>commendations made or recommend</w:t>
            </w:r>
            <w:r w:rsidRPr="005C5582">
              <w:rPr>
                <w:rFonts w:ascii="Arial" w:hAnsi="Arial" w:cs="Arial"/>
                <w:sz w:val="18"/>
                <w:szCs w:val="18"/>
              </w:rPr>
              <w:t>ations not appropriate, limitations not recognised.</w:t>
            </w:r>
          </w:p>
        </w:tc>
      </w:tr>
    </w:tbl>
    <w:p w14:paraId="105774D5" w14:textId="77777777" w:rsidR="00150169" w:rsidRDefault="00150169" w:rsidP="00D94355">
      <w:pPr>
        <w:rPr>
          <w:rFonts w:ascii="Times New Roman" w:hAnsi="Times New Roman" w:cs="Times New Roman"/>
          <w:b/>
          <w:snapToGrid w:val="0"/>
          <w:color w:val="000000"/>
          <w:sz w:val="24"/>
          <w:szCs w:val="28"/>
        </w:rPr>
      </w:pPr>
    </w:p>
    <w:p w14:paraId="606E8EED" w14:textId="67610707" w:rsidR="00D94355" w:rsidRPr="00BC628B" w:rsidRDefault="00A84FFE" w:rsidP="00BC628B">
      <w:pPr>
        <w:pStyle w:val="Heading2"/>
        <w:rPr>
          <w:rFonts w:ascii="Times New Roman" w:hAnsi="Times New Roman" w:cs="Times New Roman"/>
          <w:b/>
          <w:bCs/>
          <w:snapToGrid w:val="0"/>
          <w:color w:val="auto"/>
          <w:sz w:val="24"/>
          <w:szCs w:val="24"/>
        </w:rPr>
      </w:pPr>
      <w:bookmarkStart w:id="182" w:name="_Toc27579861"/>
      <w:r w:rsidRPr="00BC628B">
        <w:rPr>
          <w:rFonts w:ascii="Times New Roman" w:hAnsi="Times New Roman" w:cs="Times New Roman"/>
          <w:b/>
          <w:bCs/>
          <w:snapToGrid w:val="0"/>
          <w:color w:val="auto"/>
          <w:sz w:val="24"/>
          <w:szCs w:val="24"/>
        </w:rPr>
        <w:t>Appendix 5</w:t>
      </w:r>
      <w:r w:rsidR="008D64B6" w:rsidRPr="00BC628B">
        <w:rPr>
          <w:rFonts w:ascii="Times New Roman" w:hAnsi="Times New Roman" w:cs="Times New Roman"/>
          <w:b/>
          <w:bCs/>
          <w:snapToGrid w:val="0"/>
          <w:color w:val="auto"/>
          <w:sz w:val="24"/>
          <w:szCs w:val="24"/>
        </w:rPr>
        <w:t>: Proposal Defence Presentation Slides</w:t>
      </w:r>
      <w:bookmarkEnd w:id="182"/>
    </w:p>
    <w:p w14:paraId="60EF12C6" w14:textId="3B005022" w:rsidR="00150169" w:rsidRDefault="00150169" w:rsidP="00D94355">
      <w:pPr>
        <w:rPr>
          <w:rFonts w:ascii="Times New Roman" w:hAnsi="Times New Roman" w:cs="Times New Roman"/>
          <w:b/>
          <w:snapToGrid w:val="0"/>
          <w:color w:val="000000"/>
          <w:sz w:val="24"/>
          <w:szCs w:val="28"/>
        </w:rPr>
      </w:pPr>
      <w:r w:rsidRPr="00150169">
        <w:rPr>
          <w:rFonts w:ascii="Times New Roman" w:hAnsi="Times New Roman" w:cs="Times New Roman"/>
          <w:b/>
          <w:noProof/>
          <w:snapToGrid w:val="0"/>
          <w:color w:val="000000"/>
          <w:sz w:val="24"/>
          <w:szCs w:val="28"/>
        </w:rPr>
        <w:drawing>
          <wp:inline distT="0" distB="0" distL="0" distR="0" wp14:anchorId="026BD56C" wp14:editId="1E4A1315">
            <wp:extent cx="5731510" cy="3223895"/>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rFonts w:ascii="Times New Roman" w:hAnsi="Times New Roman" w:cs="Times New Roman"/>
          <w:b/>
          <w:noProof/>
          <w:snapToGrid w:val="0"/>
          <w:color w:val="000000"/>
          <w:sz w:val="24"/>
          <w:szCs w:val="28"/>
        </w:rPr>
        <w:drawing>
          <wp:inline distT="0" distB="0" distL="0" distR="0" wp14:anchorId="178A4DD2" wp14:editId="7D65F222">
            <wp:extent cx="5731510" cy="3223895"/>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45E1B605" wp14:editId="6EB9307E">
            <wp:extent cx="5731510" cy="3223895"/>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noProof/>
        </w:rPr>
        <w:drawing>
          <wp:inline distT="0" distB="0" distL="0" distR="0" wp14:anchorId="01837F7B" wp14:editId="04AD5180">
            <wp:extent cx="5731510" cy="3223895"/>
            <wp:effectExtent l="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585EF746" wp14:editId="5817FC86">
            <wp:extent cx="5731510" cy="3223895"/>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noProof/>
        </w:rPr>
        <w:drawing>
          <wp:inline distT="0" distB="0" distL="0" distR="0" wp14:anchorId="60693590" wp14:editId="47FCF357">
            <wp:extent cx="5731510" cy="3223895"/>
            <wp:effectExtent l="0" t="0" r="254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04FCC3E9" wp14:editId="598E7765">
            <wp:extent cx="5731510" cy="3223895"/>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noProof/>
        </w:rPr>
        <w:drawing>
          <wp:inline distT="0" distB="0" distL="0" distR="0" wp14:anchorId="660062C2" wp14:editId="0A912124">
            <wp:extent cx="5731510" cy="3223895"/>
            <wp:effectExtent l="0" t="0" r="254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3223895"/>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6C01678E" wp14:editId="69CE4502">
            <wp:extent cx="5731510" cy="3223895"/>
            <wp:effectExtent l="0" t="0" r="254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1510" cy="3223895"/>
                    </a:xfrm>
                    <a:prstGeom prst="rect">
                      <a:avLst/>
                    </a:prstGeom>
                  </pic:spPr>
                </pic:pic>
              </a:graphicData>
            </a:graphic>
          </wp:inline>
        </w:drawing>
      </w:r>
    </w:p>
    <w:p w14:paraId="405A3103" w14:textId="77777777" w:rsidR="00380620" w:rsidRDefault="00380620" w:rsidP="00D94355">
      <w:pPr>
        <w:rPr>
          <w:rFonts w:ascii="Times New Roman" w:hAnsi="Times New Roman" w:cs="Times New Roman"/>
          <w:b/>
          <w:snapToGrid w:val="0"/>
          <w:color w:val="000000"/>
          <w:sz w:val="24"/>
          <w:szCs w:val="28"/>
        </w:rPr>
      </w:pPr>
    </w:p>
    <w:p w14:paraId="12E3414D" w14:textId="77777777" w:rsidR="00380620" w:rsidRDefault="00380620" w:rsidP="00D94355">
      <w:pPr>
        <w:rPr>
          <w:rFonts w:ascii="Times New Roman" w:hAnsi="Times New Roman" w:cs="Times New Roman"/>
          <w:b/>
          <w:snapToGrid w:val="0"/>
          <w:color w:val="000000"/>
          <w:sz w:val="24"/>
          <w:szCs w:val="28"/>
        </w:rPr>
      </w:pPr>
    </w:p>
    <w:p w14:paraId="28C983E8" w14:textId="77777777" w:rsidR="00380620" w:rsidRDefault="00380620" w:rsidP="00D94355">
      <w:pPr>
        <w:rPr>
          <w:rFonts w:ascii="Times New Roman" w:hAnsi="Times New Roman" w:cs="Times New Roman"/>
          <w:b/>
          <w:snapToGrid w:val="0"/>
          <w:color w:val="000000"/>
          <w:sz w:val="24"/>
          <w:szCs w:val="28"/>
        </w:rPr>
      </w:pPr>
    </w:p>
    <w:p w14:paraId="109F130A" w14:textId="77777777" w:rsidR="00380620" w:rsidRDefault="00380620" w:rsidP="00D94355">
      <w:pPr>
        <w:rPr>
          <w:rFonts w:ascii="Times New Roman" w:hAnsi="Times New Roman" w:cs="Times New Roman"/>
          <w:b/>
          <w:snapToGrid w:val="0"/>
          <w:color w:val="000000"/>
          <w:sz w:val="24"/>
          <w:szCs w:val="28"/>
        </w:rPr>
      </w:pPr>
    </w:p>
    <w:p w14:paraId="362E508B" w14:textId="77777777" w:rsidR="00380620" w:rsidRDefault="00380620" w:rsidP="00D94355">
      <w:pPr>
        <w:rPr>
          <w:rFonts w:ascii="Times New Roman" w:hAnsi="Times New Roman" w:cs="Times New Roman"/>
          <w:b/>
          <w:snapToGrid w:val="0"/>
          <w:color w:val="000000"/>
          <w:sz w:val="24"/>
          <w:szCs w:val="28"/>
        </w:rPr>
      </w:pPr>
    </w:p>
    <w:p w14:paraId="5F327675" w14:textId="77777777" w:rsidR="00380620" w:rsidRDefault="00380620" w:rsidP="00D94355">
      <w:pPr>
        <w:rPr>
          <w:rFonts w:ascii="Times New Roman" w:hAnsi="Times New Roman" w:cs="Times New Roman"/>
          <w:b/>
          <w:snapToGrid w:val="0"/>
          <w:color w:val="000000"/>
          <w:sz w:val="24"/>
          <w:szCs w:val="28"/>
        </w:rPr>
      </w:pPr>
    </w:p>
    <w:p w14:paraId="066B6818" w14:textId="77777777" w:rsidR="00380620" w:rsidRDefault="00380620" w:rsidP="00D94355">
      <w:pPr>
        <w:rPr>
          <w:rFonts w:ascii="Times New Roman" w:hAnsi="Times New Roman" w:cs="Times New Roman"/>
          <w:b/>
          <w:snapToGrid w:val="0"/>
          <w:color w:val="000000"/>
          <w:sz w:val="24"/>
          <w:szCs w:val="28"/>
        </w:rPr>
      </w:pPr>
    </w:p>
    <w:p w14:paraId="4A75A78D" w14:textId="77777777" w:rsidR="00380620" w:rsidRDefault="00380620" w:rsidP="00D94355">
      <w:pPr>
        <w:rPr>
          <w:rFonts w:ascii="Times New Roman" w:hAnsi="Times New Roman" w:cs="Times New Roman"/>
          <w:b/>
          <w:snapToGrid w:val="0"/>
          <w:color w:val="000000"/>
          <w:sz w:val="24"/>
          <w:szCs w:val="28"/>
        </w:rPr>
      </w:pPr>
    </w:p>
    <w:p w14:paraId="6C1573D6" w14:textId="77777777" w:rsidR="00380620" w:rsidRDefault="00380620" w:rsidP="00D94355">
      <w:pPr>
        <w:rPr>
          <w:rFonts w:ascii="Times New Roman" w:hAnsi="Times New Roman" w:cs="Times New Roman"/>
          <w:b/>
          <w:snapToGrid w:val="0"/>
          <w:color w:val="000000"/>
          <w:sz w:val="24"/>
          <w:szCs w:val="28"/>
        </w:rPr>
      </w:pPr>
    </w:p>
    <w:p w14:paraId="2A53338F" w14:textId="77777777" w:rsidR="00380620" w:rsidRDefault="00380620" w:rsidP="00D94355">
      <w:pPr>
        <w:rPr>
          <w:rFonts w:ascii="Times New Roman" w:hAnsi="Times New Roman" w:cs="Times New Roman"/>
          <w:b/>
          <w:snapToGrid w:val="0"/>
          <w:color w:val="000000"/>
          <w:sz w:val="24"/>
          <w:szCs w:val="28"/>
        </w:rPr>
      </w:pPr>
    </w:p>
    <w:p w14:paraId="3D7442FC" w14:textId="77777777" w:rsidR="00380620" w:rsidRDefault="00380620" w:rsidP="00D94355">
      <w:pPr>
        <w:rPr>
          <w:rFonts w:ascii="Times New Roman" w:hAnsi="Times New Roman" w:cs="Times New Roman"/>
          <w:b/>
          <w:snapToGrid w:val="0"/>
          <w:color w:val="000000"/>
          <w:sz w:val="24"/>
          <w:szCs w:val="28"/>
        </w:rPr>
      </w:pPr>
    </w:p>
    <w:p w14:paraId="518F70FE" w14:textId="77777777" w:rsidR="00380620" w:rsidRDefault="00380620" w:rsidP="00D94355">
      <w:pPr>
        <w:rPr>
          <w:rFonts w:ascii="Times New Roman" w:hAnsi="Times New Roman" w:cs="Times New Roman"/>
          <w:b/>
          <w:snapToGrid w:val="0"/>
          <w:color w:val="000000"/>
          <w:sz w:val="24"/>
          <w:szCs w:val="28"/>
        </w:rPr>
      </w:pPr>
    </w:p>
    <w:p w14:paraId="0A19C208" w14:textId="77777777" w:rsidR="00380620" w:rsidRDefault="00380620" w:rsidP="00D94355">
      <w:pPr>
        <w:rPr>
          <w:rFonts w:ascii="Times New Roman" w:hAnsi="Times New Roman" w:cs="Times New Roman"/>
          <w:b/>
          <w:snapToGrid w:val="0"/>
          <w:color w:val="000000"/>
          <w:sz w:val="24"/>
          <w:szCs w:val="28"/>
        </w:rPr>
      </w:pPr>
    </w:p>
    <w:p w14:paraId="2EB9CD0B" w14:textId="77777777" w:rsidR="00380620" w:rsidRDefault="00380620" w:rsidP="00D94355">
      <w:pPr>
        <w:rPr>
          <w:rFonts w:ascii="Times New Roman" w:hAnsi="Times New Roman" w:cs="Times New Roman"/>
          <w:b/>
          <w:snapToGrid w:val="0"/>
          <w:color w:val="000000"/>
          <w:sz w:val="24"/>
          <w:szCs w:val="28"/>
        </w:rPr>
      </w:pPr>
    </w:p>
    <w:p w14:paraId="642A2B10" w14:textId="77777777" w:rsidR="00380620" w:rsidRDefault="00380620" w:rsidP="00D94355">
      <w:pPr>
        <w:rPr>
          <w:rFonts w:ascii="Times New Roman" w:hAnsi="Times New Roman" w:cs="Times New Roman"/>
          <w:b/>
          <w:snapToGrid w:val="0"/>
          <w:color w:val="000000"/>
          <w:sz w:val="24"/>
          <w:szCs w:val="28"/>
        </w:rPr>
      </w:pPr>
    </w:p>
    <w:p w14:paraId="0ED05F40" w14:textId="77777777" w:rsidR="00380620" w:rsidRDefault="00380620" w:rsidP="00D94355">
      <w:pPr>
        <w:rPr>
          <w:rFonts w:ascii="Times New Roman" w:hAnsi="Times New Roman" w:cs="Times New Roman"/>
          <w:b/>
          <w:snapToGrid w:val="0"/>
          <w:color w:val="000000"/>
          <w:sz w:val="24"/>
          <w:szCs w:val="28"/>
        </w:rPr>
      </w:pPr>
    </w:p>
    <w:p w14:paraId="187CDB72" w14:textId="77777777" w:rsidR="00380620" w:rsidRDefault="00380620" w:rsidP="00D94355">
      <w:pPr>
        <w:rPr>
          <w:rFonts w:ascii="Times New Roman" w:hAnsi="Times New Roman" w:cs="Times New Roman"/>
          <w:b/>
          <w:snapToGrid w:val="0"/>
          <w:color w:val="000000"/>
          <w:sz w:val="24"/>
          <w:szCs w:val="28"/>
        </w:rPr>
      </w:pPr>
    </w:p>
    <w:p w14:paraId="2EFFC523" w14:textId="77777777" w:rsidR="00380620" w:rsidRDefault="00380620" w:rsidP="00D94355">
      <w:pPr>
        <w:rPr>
          <w:rFonts w:ascii="Times New Roman" w:hAnsi="Times New Roman" w:cs="Times New Roman"/>
          <w:b/>
          <w:snapToGrid w:val="0"/>
          <w:color w:val="000000"/>
          <w:sz w:val="24"/>
          <w:szCs w:val="28"/>
        </w:rPr>
      </w:pPr>
    </w:p>
    <w:p w14:paraId="55008FD8" w14:textId="77777777" w:rsidR="00380620" w:rsidRDefault="00380620" w:rsidP="00D94355">
      <w:pPr>
        <w:rPr>
          <w:rFonts w:ascii="Times New Roman" w:hAnsi="Times New Roman" w:cs="Times New Roman"/>
          <w:b/>
          <w:snapToGrid w:val="0"/>
          <w:color w:val="000000"/>
          <w:sz w:val="24"/>
          <w:szCs w:val="28"/>
        </w:rPr>
      </w:pPr>
    </w:p>
    <w:p w14:paraId="064E57FD" w14:textId="253A9F5E" w:rsidR="008D64B6" w:rsidRPr="00BC628B" w:rsidRDefault="008D64B6" w:rsidP="00BC628B">
      <w:pPr>
        <w:pStyle w:val="Heading2"/>
        <w:rPr>
          <w:rFonts w:ascii="Times New Roman" w:hAnsi="Times New Roman" w:cs="Times New Roman"/>
          <w:b/>
          <w:bCs/>
          <w:snapToGrid w:val="0"/>
          <w:color w:val="auto"/>
          <w:sz w:val="24"/>
          <w:szCs w:val="24"/>
        </w:rPr>
      </w:pPr>
      <w:bookmarkStart w:id="183" w:name="_Toc27579862"/>
      <w:r w:rsidRPr="00BC628B">
        <w:rPr>
          <w:rFonts w:ascii="Times New Roman" w:hAnsi="Times New Roman" w:cs="Times New Roman"/>
          <w:b/>
          <w:bCs/>
          <w:snapToGrid w:val="0"/>
          <w:color w:val="auto"/>
          <w:sz w:val="24"/>
          <w:szCs w:val="24"/>
        </w:rPr>
        <w:t>Appendix 6: VIVA Presentation Slides</w:t>
      </w:r>
      <w:bookmarkEnd w:id="183"/>
    </w:p>
    <w:p w14:paraId="347DD77E" w14:textId="472DACE6" w:rsidR="00150169" w:rsidRDefault="00150169" w:rsidP="00D94355">
      <w:pPr>
        <w:rPr>
          <w:rFonts w:ascii="Times New Roman" w:hAnsi="Times New Roman" w:cs="Times New Roman"/>
          <w:b/>
          <w:snapToGrid w:val="0"/>
          <w:color w:val="000000"/>
          <w:sz w:val="24"/>
          <w:szCs w:val="28"/>
        </w:rPr>
      </w:pPr>
      <w:r w:rsidRPr="00150169">
        <w:rPr>
          <w:rFonts w:ascii="Times New Roman" w:hAnsi="Times New Roman" w:cs="Times New Roman"/>
          <w:b/>
          <w:noProof/>
          <w:snapToGrid w:val="0"/>
          <w:color w:val="000000"/>
          <w:sz w:val="24"/>
          <w:szCs w:val="28"/>
        </w:rPr>
        <w:drawing>
          <wp:inline distT="0" distB="0" distL="0" distR="0" wp14:anchorId="21B33E3E" wp14:editId="7467A4E4">
            <wp:extent cx="4572396" cy="342929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72396" cy="3429297"/>
                    </a:xfrm>
                    <a:prstGeom prst="rect">
                      <a:avLst/>
                    </a:prstGeom>
                  </pic:spPr>
                </pic:pic>
              </a:graphicData>
            </a:graphic>
          </wp:inline>
        </w:drawing>
      </w:r>
    </w:p>
    <w:p w14:paraId="3E4EC6F3" w14:textId="1954324C" w:rsidR="00150169" w:rsidRPr="00A84FFE" w:rsidRDefault="00150169" w:rsidP="00D94355">
      <w:pPr>
        <w:rPr>
          <w:rFonts w:ascii="Times New Roman" w:hAnsi="Times New Roman" w:cs="Times New Roman"/>
          <w:b/>
          <w:snapToGrid w:val="0"/>
          <w:color w:val="000000"/>
          <w:sz w:val="24"/>
          <w:szCs w:val="28"/>
        </w:rPr>
      </w:pPr>
      <w:r w:rsidRPr="00150169">
        <w:rPr>
          <w:rFonts w:ascii="Times New Roman" w:hAnsi="Times New Roman" w:cs="Times New Roman"/>
          <w:b/>
          <w:noProof/>
          <w:snapToGrid w:val="0"/>
          <w:color w:val="000000"/>
          <w:sz w:val="24"/>
          <w:szCs w:val="28"/>
        </w:rPr>
        <w:lastRenderedPageBreak/>
        <w:drawing>
          <wp:inline distT="0" distB="0" distL="0" distR="0" wp14:anchorId="3DFB9A3E" wp14:editId="7859189B">
            <wp:extent cx="4572396" cy="342929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rFonts w:ascii="Times New Roman" w:hAnsi="Times New Roman" w:cs="Times New Roman"/>
          <w:b/>
          <w:noProof/>
          <w:snapToGrid w:val="0"/>
          <w:color w:val="000000"/>
          <w:sz w:val="24"/>
          <w:szCs w:val="28"/>
        </w:rPr>
        <w:drawing>
          <wp:inline distT="0" distB="0" distL="0" distR="0" wp14:anchorId="307496AA" wp14:editId="03C4D1AD">
            <wp:extent cx="4572396" cy="34292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276724CB" wp14:editId="3AFB36BE">
            <wp:extent cx="4572396" cy="342929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090A0A0F" wp14:editId="613096DF">
            <wp:extent cx="4572396" cy="342929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13EAAEFB" wp14:editId="2D479040">
            <wp:extent cx="4572396" cy="342929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072F13F1" wp14:editId="341CC225">
            <wp:extent cx="4572396" cy="342929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12DE2C47" wp14:editId="70555A89">
            <wp:extent cx="4572396" cy="342929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77481C67" wp14:editId="24769088">
            <wp:extent cx="4572396" cy="342929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5C4B5389" wp14:editId="50D097E5">
            <wp:extent cx="4572396" cy="342929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12FD59FD" wp14:editId="1C720100">
            <wp:extent cx="4572396" cy="342929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499A37B8" wp14:editId="3C587AA4">
            <wp:extent cx="4572396" cy="342929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3A72E06E" wp14:editId="64189C9F">
            <wp:extent cx="4572396" cy="342929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7ECC1270" wp14:editId="75EC4F97">
            <wp:extent cx="4572396" cy="342929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4C2B9BCE" wp14:editId="40051C5B">
            <wp:extent cx="4572396" cy="342929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1D5B6A37" wp14:editId="570672A2">
            <wp:extent cx="4572396" cy="342929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11276394" wp14:editId="2F23E1C2">
            <wp:extent cx="4572396" cy="34292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0C382B54" wp14:editId="61E2FE0B">
            <wp:extent cx="4572396" cy="342929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3C7B2E39" wp14:editId="5CA907F6">
            <wp:extent cx="4572396" cy="342929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450D8362" wp14:editId="32761F05">
            <wp:extent cx="4572396" cy="342929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24839721" wp14:editId="67499AE9">
            <wp:extent cx="4572396" cy="3429297"/>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5920ED82" wp14:editId="5F446BF7">
            <wp:extent cx="4572396" cy="3429297"/>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7852CDA9" wp14:editId="1BA8D6A4">
            <wp:extent cx="4572396" cy="3429297"/>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14C4E0C2" wp14:editId="5FEF3DED">
            <wp:extent cx="4572396" cy="3429297"/>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drawing>
          <wp:inline distT="0" distB="0" distL="0" distR="0" wp14:anchorId="1B49E909" wp14:editId="7D7DC6F2">
            <wp:extent cx="4572396" cy="342929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572396" cy="3429297"/>
                    </a:xfrm>
                    <a:prstGeom prst="rect">
                      <a:avLst/>
                    </a:prstGeom>
                  </pic:spPr>
                </pic:pic>
              </a:graphicData>
            </a:graphic>
          </wp:inline>
        </w:drawing>
      </w:r>
      <w:r w:rsidRPr="00150169">
        <w:rPr>
          <w:noProof/>
        </w:rPr>
        <w:t xml:space="preserve"> </w:t>
      </w:r>
      <w:r w:rsidRPr="00150169">
        <w:rPr>
          <w:noProof/>
        </w:rPr>
        <w:lastRenderedPageBreak/>
        <w:drawing>
          <wp:inline distT="0" distB="0" distL="0" distR="0" wp14:anchorId="7E873E66" wp14:editId="2571C9B7">
            <wp:extent cx="4572396" cy="342929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572396" cy="3429297"/>
                    </a:xfrm>
                    <a:prstGeom prst="rect">
                      <a:avLst/>
                    </a:prstGeom>
                  </pic:spPr>
                </pic:pic>
              </a:graphicData>
            </a:graphic>
          </wp:inline>
        </w:drawing>
      </w:r>
    </w:p>
    <w:p w14:paraId="6A4CE5AC" w14:textId="77777777" w:rsidR="00D94355" w:rsidRPr="00D94355" w:rsidRDefault="00D94355" w:rsidP="00D94355">
      <w:pPr>
        <w:rPr>
          <w:rFonts w:asciiTheme="majorBidi" w:hAnsiTheme="majorBidi" w:cstheme="majorBidi"/>
          <w:b/>
          <w:bCs/>
          <w:sz w:val="24"/>
          <w:szCs w:val="24"/>
          <w:u w:val="single"/>
        </w:rPr>
      </w:pPr>
    </w:p>
    <w:p w14:paraId="45FF4100" w14:textId="77777777" w:rsidR="00D94355" w:rsidRPr="00766F99" w:rsidRDefault="00D94355" w:rsidP="00D94355">
      <w:pPr>
        <w:autoSpaceDE w:val="0"/>
        <w:autoSpaceDN w:val="0"/>
        <w:adjustRightInd w:val="0"/>
        <w:spacing w:after="0" w:line="480" w:lineRule="auto"/>
        <w:rPr>
          <w:rFonts w:asciiTheme="majorBidi" w:hAnsiTheme="majorBidi" w:cstheme="majorBidi"/>
          <w:b/>
          <w:bCs/>
          <w:sz w:val="24"/>
          <w:szCs w:val="24"/>
        </w:rPr>
      </w:pPr>
    </w:p>
    <w:p w14:paraId="48D3BA05" w14:textId="77777777" w:rsidR="00662AF5" w:rsidRPr="00766F99" w:rsidRDefault="00662AF5" w:rsidP="00766F99">
      <w:pPr>
        <w:pStyle w:val="Default"/>
        <w:spacing w:line="480" w:lineRule="auto"/>
        <w:jc w:val="both"/>
        <w:rPr>
          <w:rFonts w:asciiTheme="majorBidi" w:hAnsiTheme="majorBidi" w:cstheme="majorBidi"/>
          <w:color w:val="auto"/>
          <w:lang w:val="en-MY"/>
        </w:rPr>
      </w:pPr>
    </w:p>
    <w:p w14:paraId="56D39E64" w14:textId="77777777" w:rsidR="00B67BB3" w:rsidRDefault="00B67BB3" w:rsidP="00766F99">
      <w:pPr>
        <w:pStyle w:val="Default"/>
        <w:spacing w:line="480" w:lineRule="auto"/>
        <w:jc w:val="both"/>
        <w:rPr>
          <w:noProof/>
        </w:rPr>
      </w:pPr>
    </w:p>
    <w:p w14:paraId="3A7EF568" w14:textId="77777777" w:rsidR="00D94355" w:rsidRDefault="00D94355" w:rsidP="00B67BB3">
      <w:pPr>
        <w:pStyle w:val="Default"/>
        <w:spacing w:line="480" w:lineRule="auto"/>
        <w:jc w:val="both"/>
        <w:rPr>
          <w:noProof/>
        </w:rPr>
      </w:pPr>
    </w:p>
    <w:p w14:paraId="1FAAD623" w14:textId="119B423D" w:rsidR="00D94355" w:rsidRDefault="00D94355" w:rsidP="00B67BB3">
      <w:pPr>
        <w:pStyle w:val="Default"/>
        <w:spacing w:line="480" w:lineRule="auto"/>
        <w:jc w:val="both"/>
        <w:rPr>
          <w:noProof/>
        </w:rPr>
      </w:pPr>
    </w:p>
    <w:p w14:paraId="0C48DFCD" w14:textId="62BE7371" w:rsidR="00380620" w:rsidRDefault="00380620" w:rsidP="00B67BB3">
      <w:pPr>
        <w:pStyle w:val="Default"/>
        <w:spacing w:line="480" w:lineRule="auto"/>
        <w:jc w:val="both"/>
        <w:rPr>
          <w:noProof/>
        </w:rPr>
      </w:pPr>
    </w:p>
    <w:p w14:paraId="3F5FAA31" w14:textId="5410E21B" w:rsidR="00380620" w:rsidRDefault="00380620" w:rsidP="00B67BB3">
      <w:pPr>
        <w:pStyle w:val="Default"/>
        <w:spacing w:line="480" w:lineRule="auto"/>
        <w:jc w:val="both"/>
        <w:rPr>
          <w:noProof/>
        </w:rPr>
      </w:pPr>
    </w:p>
    <w:p w14:paraId="26BF0A84" w14:textId="0A03223A" w:rsidR="00380620" w:rsidRDefault="00380620" w:rsidP="00B67BB3">
      <w:pPr>
        <w:pStyle w:val="Default"/>
        <w:spacing w:line="480" w:lineRule="auto"/>
        <w:jc w:val="both"/>
        <w:rPr>
          <w:noProof/>
        </w:rPr>
      </w:pPr>
    </w:p>
    <w:p w14:paraId="3544CE5B" w14:textId="2BAD573F" w:rsidR="00380620" w:rsidRDefault="00380620" w:rsidP="00B67BB3">
      <w:pPr>
        <w:pStyle w:val="Default"/>
        <w:spacing w:line="480" w:lineRule="auto"/>
        <w:jc w:val="both"/>
        <w:rPr>
          <w:noProof/>
        </w:rPr>
      </w:pPr>
    </w:p>
    <w:p w14:paraId="33F8CBBA" w14:textId="6AAC6F1E" w:rsidR="00380620" w:rsidRDefault="00380620" w:rsidP="00B67BB3">
      <w:pPr>
        <w:pStyle w:val="Default"/>
        <w:spacing w:line="480" w:lineRule="auto"/>
        <w:jc w:val="both"/>
        <w:rPr>
          <w:noProof/>
        </w:rPr>
      </w:pPr>
    </w:p>
    <w:p w14:paraId="742FB5DA" w14:textId="656051DF" w:rsidR="00380620" w:rsidRDefault="00380620" w:rsidP="00B67BB3">
      <w:pPr>
        <w:pStyle w:val="Default"/>
        <w:spacing w:line="480" w:lineRule="auto"/>
        <w:jc w:val="both"/>
        <w:rPr>
          <w:noProof/>
        </w:rPr>
      </w:pPr>
    </w:p>
    <w:p w14:paraId="3B31C495" w14:textId="7F4F6988" w:rsidR="00380620" w:rsidRDefault="00380620" w:rsidP="00B67BB3">
      <w:pPr>
        <w:pStyle w:val="Default"/>
        <w:spacing w:line="480" w:lineRule="auto"/>
        <w:jc w:val="both"/>
        <w:rPr>
          <w:noProof/>
        </w:rPr>
      </w:pPr>
    </w:p>
    <w:p w14:paraId="24908BB5" w14:textId="584C57A0" w:rsidR="00380620" w:rsidRDefault="00380620" w:rsidP="00B67BB3">
      <w:pPr>
        <w:pStyle w:val="Default"/>
        <w:spacing w:line="480" w:lineRule="auto"/>
        <w:jc w:val="both"/>
        <w:rPr>
          <w:noProof/>
        </w:rPr>
      </w:pPr>
    </w:p>
    <w:p w14:paraId="03CA69CC" w14:textId="07497454" w:rsidR="00380620" w:rsidRDefault="00380620" w:rsidP="00B67BB3">
      <w:pPr>
        <w:pStyle w:val="Default"/>
        <w:spacing w:line="480" w:lineRule="auto"/>
        <w:jc w:val="both"/>
        <w:rPr>
          <w:noProof/>
        </w:rPr>
      </w:pPr>
    </w:p>
    <w:p w14:paraId="28007D5A" w14:textId="45E8C934" w:rsidR="00380620" w:rsidRDefault="00380620" w:rsidP="00BC628B">
      <w:pPr>
        <w:pStyle w:val="Heading2"/>
        <w:rPr>
          <w:rFonts w:ascii="Times New Roman" w:hAnsi="Times New Roman" w:cs="Times New Roman"/>
          <w:b/>
          <w:bCs/>
          <w:noProof/>
          <w:color w:val="auto"/>
          <w:sz w:val="24"/>
          <w:szCs w:val="24"/>
        </w:rPr>
      </w:pPr>
      <w:bookmarkStart w:id="184" w:name="_Toc27579863"/>
      <w:r w:rsidRPr="00BC628B">
        <w:rPr>
          <w:rFonts w:ascii="Times New Roman" w:hAnsi="Times New Roman" w:cs="Times New Roman"/>
          <w:b/>
          <w:bCs/>
          <w:noProof/>
          <w:color w:val="auto"/>
          <w:sz w:val="24"/>
          <w:szCs w:val="24"/>
        </w:rPr>
        <w:lastRenderedPageBreak/>
        <w:t>Appendix 7: project Log Book</w:t>
      </w:r>
      <w:bookmarkEnd w:id="184"/>
    </w:p>
    <w:p w14:paraId="0E7B9BF2" w14:textId="77777777" w:rsidR="00464C36" w:rsidRPr="00464C36" w:rsidRDefault="00464C36" w:rsidP="00464C36"/>
    <w:p w14:paraId="11B77B75" w14:textId="462F1E19" w:rsidR="00464C36" w:rsidRPr="00464C36" w:rsidRDefault="00464C36" w:rsidP="00464C36">
      <w:pPr>
        <w:jc w:val="center"/>
      </w:pPr>
      <w:r>
        <w:rPr>
          <w:noProof/>
        </w:rPr>
        <w:drawing>
          <wp:inline distT="0" distB="0" distL="0" distR="0" wp14:anchorId="18A27FAC" wp14:editId="7968D60E">
            <wp:extent cx="3933637" cy="4953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jpg"/>
                    <pic:cNvPicPr/>
                  </pic:nvPicPr>
                  <pic:blipFill>
                    <a:blip r:embed="rId72">
                      <a:extLst>
                        <a:ext uri="{28A0092B-C50C-407E-A947-70E740481C1C}">
                          <a14:useLocalDpi xmlns:a14="http://schemas.microsoft.com/office/drawing/2010/main" val="0"/>
                        </a:ext>
                      </a:extLst>
                    </a:blip>
                    <a:stretch>
                      <a:fillRect/>
                    </a:stretch>
                  </pic:blipFill>
                  <pic:spPr>
                    <a:xfrm>
                      <a:off x="0" y="0"/>
                      <a:ext cx="3954626" cy="4979429"/>
                    </a:xfrm>
                    <a:prstGeom prst="rect">
                      <a:avLst/>
                    </a:prstGeom>
                  </pic:spPr>
                </pic:pic>
              </a:graphicData>
            </a:graphic>
          </wp:inline>
        </w:drawing>
      </w:r>
    </w:p>
    <w:p w14:paraId="4E32B280" w14:textId="77777777" w:rsidR="00464C36" w:rsidRDefault="00464C36" w:rsidP="00464C36">
      <w:pPr>
        <w:jc w:val="center"/>
        <w:rPr>
          <w:noProof/>
        </w:rPr>
      </w:pPr>
      <w:r>
        <w:rPr>
          <w:noProof/>
        </w:rPr>
        <w:lastRenderedPageBreak/>
        <w:drawing>
          <wp:inline distT="0" distB="0" distL="0" distR="0" wp14:anchorId="12654D52" wp14:editId="68486A6A">
            <wp:extent cx="4827877" cy="6731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jpg"/>
                    <pic:cNvPicPr/>
                  </pic:nvPicPr>
                  <pic:blipFill>
                    <a:blip r:embed="rId73">
                      <a:extLst>
                        <a:ext uri="{28A0092B-C50C-407E-A947-70E740481C1C}">
                          <a14:useLocalDpi xmlns:a14="http://schemas.microsoft.com/office/drawing/2010/main" val="0"/>
                        </a:ext>
                      </a:extLst>
                    </a:blip>
                    <a:stretch>
                      <a:fillRect/>
                    </a:stretch>
                  </pic:blipFill>
                  <pic:spPr>
                    <a:xfrm>
                      <a:off x="0" y="0"/>
                      <a:ext cx="4832829" cy="6737904"/>
                    </a:xfrm>
                    <a:prstGeom prst="rect">
                      <a:avLst/>
                    </a:prstGeom>
                  </pic:spPr>
                </pic:pic>
              </a:graphicData>
            </a:graphic>
          </wp:inline>
        </w:drawing>
      </w:r>
      <w:r>
        <w:rPr>
          <w:noProof/>
        </w:rPr>
        <w:t>cro</w:t>
      </w:r>
    </w:p>
    <w:p w14:paraId="667700A7" w14:textId="01023EDF" w:rsidR="00F56645" w:rsidRPr="00F56645" w:rsidRDefault="00464C36" w:rsidP="00464C36">
      <w:pPr>
        <w:jc w:val="center"/>
      </w:pPr>
      <w:r>
        <w:rPr>
          <w:noProof/>
        </w:rPr>
        <w:lastRenderedPageBreak/>
        <w:drawing>
          <wp:inline distT="0" distB="0" distL="0" distR="0" wp14:anchorId="30697DF6" wp14:editId="24B64F05">
            <wp:extent cx="4165600" cy="584835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rotWithShape="1">
                    <a:blip r:embed="rId74">
                      <a:extLst>
                        <a:ext uri="{28A0092B-C50C-407E-A947-70E740481C1C}">
                          <a14:useLocalDpi xmlns:a14="http://schemas.microsoft.com/office/drawing/2010/main" val="0"/>
                        </a:ext>
                      </a:extLst>
                    </a:blip>
                    <a:srcRect l="8024" t="18126" r="8420" b="15890"/>
                    <a:stretch/>
                  </pic:blipFill>
                  <pic:spPr bwMode="auto">
                    <a:xfrm>
                      <a:off x="0" y="0"/>
                      <a:ext cx="4165600" cy="5848350"/>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2A632E0" wp14:editId="4AAD2AA0">
            <wp:extent cx="5731510" cy="8228965"/>
            <wp:effectExtent l="0" t="0" r="254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jpg"/>
                    <pic:cNvPicPr/>
                  </pic:nvPicPr>
                  <pic:blipFill>
                    <a:blip r:embed="rId75">
                      <a:extLst>
                        <a:ext uri="{28A0092B-C50C-407E-A947-70E740481C1C}">
                          <a14:useLocalDpi xmlns:a14="http://schemas.microsoft.com/office/drawing/2010/main" val="0"/>
                        </a:ext>
                      </a:extLst>
                    </a:blip>
                    <a:stretch>
                      <a:fillRect/>
                    </a:stretch>
                  </pic:blipFill>
                  <pic:spPr>
                    <a:xfrm>
                      <a:off x="0" y="0"/>
                      <a:ext cx="5731510" cy="8228965"/>
                    </a:xfrm>
                    <a:prstGeom prst="rect">
                      <a:avLst/>
                    </a:prstGeom>
                  </pic:spPr>
                </pic:pic>
              </a:graphicData>
            </a:graphic>
          </wp:inline>
        </w:drawing>
      </w:r>
      <w:r>
        <w:rPr>
          <w:noProof/>
        </w:rPr>
        <w:lastRenderedPageBreak/>
        <w:drawing>
          <wp:inline distT="0" distB="0" distL="0" distR="0" wp14:anchorId="74BF6E3C" wp14:editId="3D97A504">
            <wp:extent cx="5731510" cy="8336280"/>
            <wp:effectExtent l="0" t="0" r="254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jpg"/>
                    <pic:cNvPicPr/>
                  </pic:nvPicPr>
                  <pic:blipFill>
                    <a:blip r:embed="rId76">
                      <a:extLst>
                        <a:ext uri="{28A0092B-C50C-407E-A947-70E740481C1C}">
                          <a14:useLocalDpi xmlns:a14="http://schemas.microsoft.com/office/drawing/2010/main" val="0"/>
                        </a:ext>
                      </a:extLst>
                    </a:blip>
                    <a:stretch>
                      <a:fillRect/>
                    </a:stretch>
                  </pic:blipFill>
                  <pic:spPr>
                    <a:xfrm>
                      <a:off x="0" y="0"/>
                      <a:ext cx="5731510" cy="8336280"/>
                    </a:xfrm>
                    <a:prstGeom prst="rect">
                      <a:avLst/>
                    </a:prstGeom>
                  </pic:spPr>
                </pic:pic>
              </a:graphicData>
            </a:graphic>
          </wp:inline>
        </w:drawing>
      </w:r>
    </w:p>
    <w:p w14:paraId="793A2D8B" w14:textId="2F7B823C" w:rsidR="00380620" w:rsidRPr="00BC628B" w:rsidRDefault="00380620" w:rsidP="00BC628B">
      <w:pPr>
        <w:pStyle w:val="Heading2"/>
        <w:rPr>
          <w:rFonts w:ascii="Times New Roman" w:hAnsi="Times New Roman" w:cs="Times New Roman"/>
          <w:b/>
          <w:bCs/>
          <w:noProof/>
          <w:color w:val="auto"/>
          <w:sz w:val="24"/>
          <w:szCs w:val="24"/>
        </w:rPr>
      </w:pPr>
      <w:bookmarkStart w:id="185" w:name="_Toc27579864"/>
      <w:r w:rsidRPr="00BC628B">
        <w:rPr>
          <w:rFonts w:ascii="Times New Roman" w:hAnsi="Times New Roman" w:cs="Times New Roman"/>
          <w:b/>
          <w:bCs/>
          <w:noProof/>
          <w:color w:val="auto"/>
          <w:sz w:val="24"/>
          <w:szCs w:val="24"/>
        </w:rPr>
        <w:lastRenderedPageBreak/>
        <w:t>Appendix 8: Gantt Chart</w:t>
      </w:r>
      <w:bookmarkEnd w:id="185"/>
    </w:p>
    <w:p w14:paraId="30400EA4" w14:textId="7EA163AB" w:rsidR="00F20E6B" w:rsidRDefault="00F20E6B" w:rsidP="00B67BB3">
      <w:pPr>
        <w:pStyle w:val="Default"/>
        <w:spacing w:line="480" w:lineRule="auto"/>
        <w:jc w:val="both"/>
        <w:rPr>
          <w:noProof/>
        </w:rPr>
      </w:pPr>
      <w:r>
        <w:rPr>
          <w:noProof/>
        </w:rPr>
        <w:drawing>
          <wp:inline distT="0" distB="0" distL="0" distR="0" wp14:anchorId="1079A304" wp14:editId="1DD09A5B">
            <wp:extent cx="5731510" cy="2426335"/>
            <wp:effectExtent l="0" t="0" r="254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31510" cy="2426335"/>
                    </a:xfrm>
                    <a:prstGeom prst="rect">
                      <a:avLst/>
                    </a:prstGeom>
                  </pic:spPr>
                </pic:pic>
              </a:graphicData>
            </a:graphic>
          </wp:inline>
        </w:drawing>
      </w:r>
    </w:p>
    <w:p w14:paraId="547EDE4B" w14:textId="4951778D" w:rsidR="00DE7692" w:rsidRPr="00DE7692" w:rsidRDefault="00380620" w:rsidP="00DE7692">
      <w:pPr>
        <w:pStyle w:val="Heading2"/>
        <w:rPr>
          <w:rFonts w:ascii="Times New Roman" w:hAnsi="Times New Roman" w:cs="Times New Roman"/>
          <w:b/>
          <w:bCs/>
          <w:noProof/>
          <w:color w:val="auto"/>
          <w:sz w:val="24"/>
          <w:szCs w:val="24"/>
        </w:rPr>
      </w:pPr>
      <w:bookmarkStart w:id="186" w:name="_Toc27579865"/>
      <w:r w:rsidRPr="00BC628B">
        <w:rPr>
          <w:rFonts w:ascii="Times New Roman" w:hAnsi="Times New Roman" w:cs="Times New Roman"/>
          <w:b/>
          <w:bCs/>
          <w:noProof/>
          <w:color w:val="auto"/>
          <w:sz w:val="24"/>
          <w:szCs w:val="24"/>
        </w:rPr>
        <w:t>Appendix 9: Turnitin</w:t>
      </w:r>
      <w:bookmarkEnd w:id="186"/>
    </w:p>
    <w:p w14:paraId="7815898D" w14:textId="09F6A8E7" w:rsidR="00B67BB3" w:rsidRDefault="00DE7692" w:rsidP="00DE7692">
      <w:pPr>
        <w:pStyle w:val="Default"/>
        <w:spacing w:line="480" w:lineRule="auto"/>
        <w:jc w:val="center"/>
        <w:rPr>
          <w:noProof/>
        </w:rPr>
      </w:pPr>
      <w:r>
        <w:rPr>
          <w:noProof/>
        </w:rPr>
        <w:drawing>
          <wp:inline distT="0" distB="0" distL="0" distR="0" wp14:anchorId="4A3158D3" wp14:editId="0EE38427">
            <wp:extent cx="3862211" cy="4965700"/>
            <wp:effectExtent l="0" t="0" r="508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330).png"/>
                    <pic:cNvPicPr/>
                  </pic:nvPicPr>
                  <pic:blipFill rotWithShape="1">
                    <a:blip r:embed="rId78">
                      <a:extLst>
                        <a:ext uri="{28A0092B-C50C-407E-A947-70E740481C1C}">
                          <a14:useLocalDpi xmlns:a14="http://schemas.microsoft.com/office/drawing/2010/main" val="0"/>
                        </a:ext>
                      </a:extLst>
                    </a:blip>
                    <a:srcRect l="33016" t="14969" r="34412" b="10577"/>
                    <a:stretch/>
                  </pic:blipFill>
                  <pic:spPr bwMode="auto">
                    <a:xfrm>
                      <a:off x="0" y="0"/>
                      <a:ext cx="3885565" cy="4995726"/>
                    </a:xfrm>
                    <a:prstGeom prst="rect">
                      <a:avLst/>
                    </a:prstGeom>
                    <a:ln>
                      <a:noFill/>
                    </a:ln>
                    <a:extLst>
                      <a:ext uri="{53640926-AAD7-44D8-BBD7-CCE9431645EC}">
                        <a14:shadowObscured xmlns:a14="http://schemas.microsoft.com/office/drawing/2010/main"/>
                      </a:ext>
                    </a:extLst>
                  </pic:spPr>
                </pic:pic>
              </a:graphicData>
            </a:graphic>
          </wp:inline>
        </w:drawing>
      </w:r>
    </w:p>
    <w:p w14:paraId="56BA6109" w14:textId="584ED741" w:rsidR="00464C36" w:rsidRDefault="00464C36" w:rsidP="00DE7692">
      <w:pPr>
        <w:pStyle w:val="Default"/>
        <w:spacing w:line="480" w:lineRule="auto"/>
        <w:jc w:val="center"/>
        <w:rPr>
          <w:noProof/>
        </w:rPr>
      </w:pPr>
    </w:p>
    <w:p w14:paraId="63A4BCCA" w14:textId="41EB8BF7" w:rsidR="00464C36" w:rsidRDefault="00464C36" w:rsidP="00DE7692">
      <w:pPr>
        <w:pStyle w:val="Default"/>
        <w:spacing w:line="480" w:lineRule="auto"/>
        <w:jc w:val="center"/>
        <w:rPr>
          <w:noProof/>
        </w:rPr>
      </w:pPr>
    </w:p>
    <w:p w14:paraId="046562DE" w14:textId="004EF2F8" w:rsidR="00464C36" w:rsidRPr="00464C36" w:rsidRDefault="00464C36" w:rsidP="00464C36">
      <w:pPr>
        <w:pStyle w:val="Heading2"/>
        <w:rPr>
          <w:rFonts w:ascii="Times New Roman" w:hAnsi="Times New Roman" w:cs="Times New Roman"/>
          <w:b/>
          <w:bCs/>
          <w:noProof/>
          <w:color w:val="auto"/>
          <w:sz w:val="24"/>
          <w:szCs w:val="24"/>
        </w:rPr>
      </w:pPr>
      <w:bookmarkStart w:id="187" w:name="_Toc27579866"/>
      <w:r w:rsidRPr="00464C36">
        <w:rPr>
          <w:rFonts w:ascii="Times New Roman" w:hAnsi="Times New Roman" w:cs="Times New Roman"/>
          <w:b/>
          <w:bCs/>
          <w:noProof/>
          <w:color w:val="auto"/>
          <w:sz w:val="24"/>
          <w:szCs w:val="24"/>
        </w:rPr>
        <w:t>Appendix 10: Secondary Research Declaration</w:t>
      </w:r>
      <w:bookmarkEnd w:id="187"/>
    </w:p>
    <w:p w14:paraId="1470244A" w14:textId="470DA265" w:rsidR="00F20E6B" w:rsidRDefault="00464C36" w:rsidP="00464C36">
      <w:pPr>
        <w:pStyle w:val="Default"/>
        <w:spacing w:line="480" w:lineRule="auto"/>
        <w:jc w:val="center"/>
        <w:rPr>
          <w:noProof/>
        </w:rPr>
      </w:pPr>
      <w:r>
        <w:rPr>
          <w:noProof/>
        </w:rPr>
        <w:drawing>
          <wp:inline distT="0" distB="0" distL="0" distR="0" wp14:anchorId="711BD58E" wp14:editId="6770284A">
            <wp:extent cx="5033010" cy="6703059"/>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jpg"/>
                    <pic:cNvPicPr/>
                  </pic:nvPicPr>
                  <pic:blipFill>
                    <a:blip r:embed="rId79">
                      <a:extLst>
                        <a:ext uri="{28A0092B-C50C-407E-A947-70E740481C1C}">
                          <a14:useLocalDpi xmlns:a14="http://schemas.microsoft.com/office/drawing/2010/main" val="0"/>
                        </a:ext>
                      </a:extLst>
                    </a:blip>
                    <a:stretch>
                      <a:fillRect/>
                    </a:stretch>
                  </pic:blipFill>
                  <pic:spPr>
                    <a:xfrm>
                      <a:off x="0" y="0"/>
                      <a:ext cx="5036730" cy="6708013"/>
                    </a:xfrm>
                    <a:prstGeom prst="rect">
                      <a:avLst/>
                    </a:prstGeom>
                  </pic:spPr>
                </pic:pic>
              </a:graphicData>
            </a:graphic>
          </wp:inline>
        </w:drawing>
      </w:r>
    </w:p>
    <w:p w14:paraId="7217C7B3" w14:textId="595ABAE4" w:rsidR="00662AF5" w:rsidRPr="00B67BB3" w:rsidRDefault="00662AF5" w:rsidP="00E22384">
      <w:pPr>
        <w:pStyle w:val="Caption"/>
        <w:jc w:val="center"/>
      </w:pPr>
    </w:p>
    <w:sectPr w:rsidR="00662AF5" w:rsidRPr="00B67BB3" w:rsidSect="00157BDF">
      <w:footerReference w:type="default" r:id="rId80"/>
      <w:pgSz w:w="11906" w:h="16838"/>
      <w:pgMar w:top="1134" w:right="1418" w:bottom="1985" w:left="1985"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67EB2" w14:textId="77777777" w:rsidR="00D50B44" w:rsidRDefault="00D50B44" w:rsidP="00766F99">
      <w:pPr>
        <w:spacing w:after="0" w:line="240" w:lineRule="auto"/>
      </w:pPr>
      <w:r>
        <w:separator/>
      </w:r>
    </w:p>
  </w:endnote>
  <w:endnote w:type="continuationSeparator" w:id="0">
    <w:p w14:paraId="4BE730A3" w14:textId="77777777" w:rsidR="00D50B44" w:rsidRDefault="00D50B44" w:rsidP="00766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3C3D3" w14:textId="15BE77D3" w:rsidR="00B82F07" w:rsidRDefault="00B82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9BF58" w14:textId="77777777" w:rsidR="00B82F07" w:rsidRDefault="00B82F07">
    <w:pPr>
      <w:pStyle w:val="Footer"/>
    </w:pPr>
    <w:r>
      <w:rPr>
        <w:sz w:val="18"/>
        <w:szCs w:val="18"/>
      </w:rPr>
      <w:t>INTI International University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99383" w14:textId="77777777" w:rsidR="00D50B44" w:rsidRDefault="00D50B44" w:rsidP="00766F99">
      <w:pPr>
        <w:spacing w:after="0" w:line="240" w:lineRule="auto"/>
      </w:pPr>
      <w:r>
        <w:separator/>
      </w:r>
    </w:p>
  </w:footnote>
  <w:footnote w:type="continuationSeparator" w:id="0">
    <w:p w14:paraId="6EB26495" w14:textId="77777777" w:rsidR="00D50B44" w:rsidRDefault="00D50B44" w:rsidP="00766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647635112"/>
      <w:docPartObj>
        <w:docPartGallery w:val="Page Numbers (Top of Page)"/>
        <w:docPartUnique/>
      </w:docPartObj>
    </w:sdtPr>
    <w:sdtEndPr>
      <w:rPr>
        <w:b/>
        <w:bCs/>
        <w:noProof/>
        <w:color w:val="auto"/>
        <w:spacing w:val="0"/>
      </w:rPr>
    </w:sdtEndPr>
    <w:sdtContent>
      <w:p w14:paraId="7352E3E9" w14:textId="308FAF84" w:rsidR="00B82F07" w:rsidRDefault="00B82F0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D635334" w14:textId="77777777" w:rsidR="00B82F07" w:rsidRDefault="00B82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D3384"/>
    <w:multiLevelType w:val="hybridMultilevel"/>
    <w:tmpl w:val="50542BFA"/>
    <w:lvl w:ilvl="0" w:tplc="040C0011">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B217245"/>
    <w:multiLevelType w:val="hybridMultilevel"/>
    <w:tmpl w:val="4970BA0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EAF4D53"/>
    <w:multiLevelType w:val="hybridMultilevel"/>
    <w:tmpl w:val="5C1E488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671054E"/>
    <w:multiLevelType w:val="hybridMultilevel"/>
    <w:tmpl w:val="777AFB5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682D433A"/>
    <w:multiLevelType w:val="hybridMultilevel"/>
    <w:tmpl w:val="9F44929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6A3E0CA4"/>
    <w:multiLevelType w:val="hybridMultilevel"/>
    <w:tmpl w:val="5B8A44BA"/>
    <w:lvl w:ilvl="0" w:tplc="4409000F">
      <w:start w:val="1"/>
      <w:numFmt w:val="decimal"/>
      <w:lvlText w:val="%1."/>
      <w:lvlJc w:val="left"/>
      <w:pPr>
        <w:ind w:left="720" w:hanging="360"/>
      </w:pPr>
      <w:rPr>
        <w:rFont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71F93412"/>
    <w:multiLevelType w:val="hybridMultilevel"/>
    <w:tmpl w:val="9828E514"/>
    <w:lvl w:ilvl="0" w:tplc="040C000B">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6"/>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048"/>
    <w:rsid w:val="00001D50"/>
    <w:rsid w:val="00016B88"/>
    <w:rsid w:val="000170DB"/>
    <w:rsid w:val="00021802"/>
    <w:rsid w:val="00043047"/>
    <w:rsid w:val="0004431A"/>
    <w:rsid w:val="0007788F"/>
    <w:rsid w:val="00090508"/>
    <w:rsid w:val="0009440B"/>
    <w:rsid w:val="000A2BFC"/>
    <w:rsid w:val="000A31C7"/>
    <w:rsid w:val="000C478B"/>
    <w:rsid w:val="000F6DAD"/>
    <w:rsid w:val="00103D1A"/>
    <w:rsid w:val="00113C8A"/>
    <w:rsid w:val="00113CB6"/>
    <w:rsid w:val="001274C2"/>
    <w:rsid w:val="00143F8D"/>
    <w:rsid w:val="00146ACB"/>
    <w:rsid w:val="00150169"/>
    <w:rsid w:val="0015326C"/>
    <w:rsid w:val="00157BDF"/>
    <w:rsid w:val="00164D66"/>
    <w:rsid w:val="00182EA3"/>
    <w:rsid w:val="00186483"/>
    <w:rsid w:val="001865DA"/>
    <w:rsid w:val="00195CEA"/>
    <w:rsid w:val="001C0442"/>
    <w:rsid w:val="001D122E"/>
    <w:rsid w:val="001D56C5"/>
    <w:rsid w:val="001D7E58"/>
    <w:rsid w:val="001E663D"/>
    <w:rsid w:val="001F606D"/>
    <w:rsid w:val="00202877"/>
    <w:rsid w:val="002440BB"/>
    <w:rsid w:val="00244997"/>
    <w:rsid w:val="0024716D"/>
    <w:rsid w:val="00250FF8"/>
    <w:rsid w:val="0025188C"/>
    <w:rsid w:val="0027211A"/>
    <w:rsid w:val="002907DA"/>
    <w:rsid w:val="0029436B"/>
    <w:rsid w:val="002C3416"/>
    <w:rsid w:val="002E3FC9"/>
    <w:rsid w:val="002F1BD3"/>
    <w:rsid w:val="00301B9D"/>
    <w:rsid w:val="003064F6"/>
    <w:rsid w:val="00335892"/>
    <w:rsid w:val="00344B38"/>
    <w:rsid w:val="00356845"/>
    <w:rsid w:val="0036022F"/>
    <w:rsid w:val="00366012"/>
    <w:rsid w:val="00380620"/>
    <w:rsid w:val="003A3642"/>
    <w:rsid w:val="003A4BAD"/>
    <w:rsid w:val="003A54F9"/>
    <w:rsid w:val="003D1F0F"/>
    <w:rsid w:val="004114A5"/>
    <w:rsid w:val="004129E7"/>
    <w:rsid w:val="00425344"/>
    <w:rsid w:val="00425FF7"/>
    <w:rsid w:val="00434599"/>
    <w:rsid w:val="004348BD"/>
    <w:rsid w:val="004362DE"/>
    <w:rsid w:val="00460740"/>
    <w:rsid w:val="00464C36"/>
    <w:rsid w:val="00466A11"/>
    <w:rsid w:val="00476048"/>
    <w:rsid w:val="00480305"/>
    <w:rsid w:val="00487E01"/>
    <w:rsid w:val="00495201"/>
    <w:rsid w:val="004959C5"/>
    <w:rsid w:val="004962B4"/>
    <w:rsid w:val="004A2C81"/>
    <w:rsid w:val="004A4540"/>
    <w:rsid w:val="004B4B1E"/>
    <w:rsid w:val="004B4C7C"/>
    <w:rsid w:val="004C667A"/>
    <w:rsid w:val="004D1072"/>
    <w:rsid w:val="004E09B6"/>
    <w:rsid w:val="004F63EA"/>
    <w:rsid w:val="004F7708"/>
    <w:rsid w:val="00512338"/>
    <w:rsid w:val="00514028"/>
    <w:rsid w:val="00514E05"/>
    <w:rsid w:val="005236B2"/>
    <w:rsid w:val="0053534D"/>
    <w:rsid w:val="00555C73"/>
    <w:rsid w:val="005701F0"/>
    <w:rsid w:val="005712AF"/>
    <w:rsid w:val="005913C8"/>
    <w:rsid w:val="00593F65"/>
    <w:rsid w:val="005C2CF8"/>
    <w:rsid w:val="005E602E"/>
    <w:rsid w:val="005F1383"/>
    <w:rsid w:val="0060759B"/>
    <w:rsid w:val="00622473"/>
    <w:rsid w:val="00627D7F"/>
    <w:rsid w:val="006322C4"/>
    <w:rsid w:val="00644C94"/>
    <w:rsid w:val="0066278E"/>
    <w:rsid w:val="00662AF5"/>
    <w:rsid w:val="006741B1"/>
    <w:rsid w:val="006748C7"/>
    <w:rsid w:val="00677B7B"/>
    <w:rsid w:val="00692A69"/>
    <w:rsid w:val="006A0D42"/>
    <w:rsid w:val="006A331B"/>
    <w:rsid w:val="006B1A9C"/>
    <w:rsid w:val="006C76F8"/>
    <w:rsid w:val="006C7FA0"/>
    <w:rsid w:val="006D646B"/>
    <w:rsid w:val="006E2F79"/>
    <w:rsid w:val="006E4DBF"/>
    <w:rsid w:val="006E70C9"/>
    <w:rsid w:val="006F3C89"/>
    <w:rsid w:val="00705048"/>
    <w:rsid w:val="007060AA"/>
    <w:rsid w:val="00720350"/>
    <w:rsid w:val="00726370"/>
    <w:rsid w:val="007457C2"/>
    <w:rsid w:val="00747571"/>
    <w:rsid w:val="007510DF"/>
    <w:rsid w:val="00762CFB"/>
    <w:rsid w:val="00766F99"/>
    <w:rsid w:val="007821CC"/>
    <w:rsid w:val="007A0233"/>
    <w:rsid w:val="007A7ACB"/>
    <w:rsid w:val="007B3FA8"/>
    <w:rsid w:val="007B7379"/>
    <w:rsid w:val="007C0CA8"/>
    <w:rsid w:val="007E6A33"/>
    <w:rsid w:val="0080504A"/>
    <w:rsid w:val="00823155"/>
    <w:rsid w:val="0083062F"/>
    <w:rsid w:val="008326E2"/>
    <w:rsid w:val="0086197A"/>
    <w:rsid w:val="00864C9D"/>
    <w:rsid w:val="00865225"/>
    <w:rsid w:val="008924BE"/>
    <w:rsid w:val="00895E11"/>
    <w:rsid w:val="008A67C9"/>
    <w:rsid w:val="008B535B"/>
    <w:rsid w:val="008C2B39"/>
    <w:rsid w:val="008D05E1"/>
    <w:rsid w:val="008D64B6"/>
    <w:rsid w:val="008D658A"/>
    <w:rsid w:val="008E506A"/>
    <w:rsid w:val="008F69AE"/>
    <w:rsid w:val="008F6DEA"/>
    <w:rsid w:val="00900968"/>
    <w:rsid w:val="00905D98"/>
    <w:rsid w:val="0091335B"/>
    <w:rsid w:val="0093084A"/>
    <w:rsid w:val="009314D1"/>
    <w:rsid w:val="00931C30"/>
    <w:rsid w:val="0093511C"/>
    <w:rsid w:val="00937BAD"/>
    <w:rsid w:val="00937F61"/>
    <w:rsid w:val="00942DF0"/>
    <w:rsid w:val="0099015D"/>
    <w:rsid w:val="0099142A"/>
    <w:rsid w:val="009B5883"/>
    <w:rsid w:val="009B704F"/>
    <w:rsid w:val="009C5D08"/>
    <w:rsid w:val="009D1B60"/>
    <w:rsid w:val="009E25AF"/>
    <w:rsid w:val="009E7B93"/>
    <w:rsid w:val="009F3928"/>
    <w:rsid w:val="00A01C7F"/>
    <w:rsid w:val="00A1654C"/>
    <w:rsid w:val="00A20177"/>
    <w:rsid w:val="00A2388F"/>
    <w:rsid w:val="00A27DD1"/>
    <w:rsid w:val="00A32587"/>
    <w:rsid w:val="00A3273F"/>
    <w:rsid w:val="00A375F2"/>
    <w:rsid w:val="00A43F5B"/>
    <w:rsid w:val="00A46ACE"/>
    <w:rsid w:val="00A50657"/>
    <w:rsid w:val="00A51D00"/>
    <w:rsid w:val="00A5304E"/>
    <w:rsid w:val="00A65157"/>
    <w:rsid w:val="00A7348B"/>
    <w:rsid w:val="00A84FFE"/>
    <w:rsid w:val="00A91288"/>
    <w:rsid w:val="00A9629B"/>
    <w:rsid w:val="00A97BC3"/>
    <w:rsid w:val="00AA1735"/>
    <w:rsid w:val="00AA1B7A"/>
    <w:rsid w:val="00AB50DF"/>
    <w:rsid w:val="00AC22F6"/>
    <w:rsid w:val="00AC47C8"/>
    <w:rsid w:val="00AC7509"/>
    <w:rsid w:val="00AD41F5"/>
    <w:rsid w:val="00AE2D27"/>
    <w:rsid w:val="00B02FDE"/>
    <w:rsid w:val="00B24A43"/>
    <w:rsid w:val="00B30679"/>
    <w:rsid w:val="00B35E07"/>
    <w:rsid w:val="00B50D9A"/>
    <w:rsid w:val="00B62CBA"/>
    <w:rsid w:val="00B6414F"/>
    <w:rsid w:val="00B64523"/>
    <w:rsid w:val="00B6741A"/>
    <w:rsid w:val="00B67BB3"/>
    <w:rsid w:val="00B82F07"/>
    <w:rsid w:val="00B90FAB"/>
    <w:rsid w:val="00B951F1"/>
    <w:rsid w:val="00BB2AF4"/>
    <w:rsid w:val="00BC36B3"/>
    <w:rsid w:val="00BC5FE5"/>
    <w:rsid w:val="00BC628B"/>
    <w:rsid w:val="00BC67D3"/>
    <w:rsid w:val="00BE05E8"/>
    <w:rsid w:val="00BE5346"/>
    <w:rsid w:val="00BF250B"/>
    <w:rsid w:val="00BF3FF7"/>
    <w:rsid w:val="00C03E91"/>
    <w:rsid w:val="00C068F5"/>
    <w:rsid w:val="00C14CD5"/>
    <w:rsid w:val="00C17838"/>
    <w:rsid w:val="00C17A87"/>
    <w:rsid w:val="00C21A8A"/>
    <w:rsid w:val="00C23AFD"/>
    <w:rsid w:val="00C24A0E"/>
    <w:rsid w:val="00C33124"/>
    <w:rsid w:val="00C42C65"/>
    <w:rsid w:val="00C9130B"/>
    <w:rsid w:val="00C93844"/>
    <w:rsid w:val="00C95CFB"/>
    <w:rsid w:val="00CA124E"/>
    <w:rsid w:val="00CA22A8"/>
    <w:rsid w:val="00CA47C5"/>
    <w:rsid w:val="00CB0167"/>
    <w:rsid w:val="00CB3558"/>
    <w:rsid w:val="00CB6614"/>
    <w:rsid w:val="00CB7005"/>
    <w:rsid w:val="00CD45C8"/>
    <w:rsid w:val="00CD7599"/>
    <w:rsid w:val="00CE2F5E"/>
    <w:rsid w:val="00CF5E21"/>
    <w:rsid w:val="00D0079D"/>
    <w:rsid w:val="00D0745A"/>
    <w:rsid w:val="00D21551"/>
    <w:rsid w:val="00D21960"/>
    <w:rsid w:val="00D31A82"/>
    <w:rsid w:val="00D4144F"/>
    <w:rsid w:val="00D44B66"/>
    <w:rsid w:val="00D50B44"/>
    <w:rsid w:val="00D51202"/>
    <w:rsid w:val="00D63568"/>
    <w:rsid w:val="00D66276"/>
    <w:rsid w:val="00D77050"/>
    <w:rsid w:val="00D80C8D"/>
    <w:rsid w:val="00D8240B"/>
    <w:rsid w:val="00D875F1"/>
    <w:rsid w:val="00D90983"/>
    <w:rsid w:val="00D92C94"/>
    <w:rsid w:val="00D94355"/>
    <w:rsid w:val="00D974BC"/>
    <w:rsid w:val="00DB0AA1"/>
    <w:rsid w:val="00DB2674"/>
    <w:rsid w:val="00DB3C46"/>
    <w:rsid w:val="00DC46A7"/>
    <w:rsid w:val="00DD507A"/>
    <w:rsid w:val="00DE7692"/>
    <w:rsid w:val="00DF3049"/>
    <w:rsid w:val="00DF5624"/>
    <w:rsid w:val="00E03575"/>
    <w:rsid w:val="00E03F76"/>
    <w:rsid w:val="00E12793"/>
    <w:rsid w:val="00E22384"/>
    <w:rsid w:val="00E26A04"/>
    <w:rsid w:val="00E30BC8"/>
    <w:rsid w:val="00E425C2"/>
    <w:rsid w:val="00E43CC9"/>
    <w:rsid w:val="00E7377A"/>
    <w:rsid w:val="00E92220"/>
    <w:rsid w:val="00EA2729"/>
    <w:rsid w:val="00EA2A54"/>
    <w:rsid w:val="00EA50B7"/>
    <w:rsid w:val="00EB0E2F"/>
    <w:rsid w:val="00EB1C54"/>
    <w:rsid w:val="00ED1E10"/>
    <w:rsid w:val="00ED329C"/>
    <w:rsid w:val="00ED6F14"/>
    <w:rsid w:val="00EF509C"/>
    <w:rsid w:val="00EF6AFB"/>
    <w:rsid w:val="00F10A33"/>
    <w:rsid w:val="00F15EE7"/>
    <w:rsid w:val="00F20E6B"/>
    <w:rsid w:val="00F3538A"/>
    <w:rsid w:val="00F36B5D"/>
    <w:rsid w:val="00F43037"/>
    <w:rsid w:val="00F53C96"/>
    <w:rsid w:val="00F555E6"/>
    <w:rsid w:val="00F56645"/>
    <w:rsid w:val="00F61E6F"/>
    <w:rsid w:val="00F61FB7"/>
    <w:rsid w:val="00F628E6"/>
    <w:rsid w:val="00F66EC2"/>
    <w:rsid w:val="00F82C48"/>
    <w:rsid w:val="00F914BA"/>
    <w:rsid w:val="00F94803"/>
    <w:rsid w:val="00F9492A"/>
    <w:rsid w:val="00FA4535"/>
    <w:rsid w:val="00FA7897"/>
    <w:rsid w:val="00FC4D0B"/>
    <w:rsid w:val="00FD3F6B"/>
    <w:rsid w:val="00FD6D13"/>
    <w:rsid w:val="00FF2D65"/>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972BC"/>
  <w15:chartTrackingRefBased/>
  <w15:docId w15:val="{982D24DA-058D-42D1-9A05-391E2716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048"/>
  </w:style>
  <w:style w:type="paragraph" w:styleId="Heading1">
    <w:name w:val="heading 1"/>
    <w:basedOn w:val="Normal"/>
    <w:next w:val="Normal"/>
    <w:link w:val="Heading1Char"/>
    <w:uiPriority w:val="9"/>
    <w:qFormat/>
    <w:rsid w:val="00555C73"/>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unhideWhenUsed/>
    <w:qFormat/>
    <w:rsid w:val="00662A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C34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9435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048"/>
    <w:pPr>
      <w:ind w:left="720"/>
      <w:contextualSpacing/>
    </w:pPr>
  </w:style>
  <w:style w:type="character" w:customStyle="1" w:styleId="Heading1Char">
    <w:name w:val="Heading 1 Char"/>
    <w:basedOn w:val="DefaultParagraphFont"/>
    <w:link w:val="Heading1"/>
    <w:uiPriority w:val="9"/>
    <w:rsid w:val="00555C73"/>
    <w:rPr>
      <w:rFonts w:asciiTheme="majorHAnsi" w:eastAsiaTheme="majorEastAsia" w:hAnsiTheme="majorHAnsi" w:cstheme="majorBidi"/>
      <w:b/>
      <w:bCs/>
      <w:color w:val="2F5496" w:themeColor="accent1" w:themeShade="BF"/>
      <w:sz w:val="28"/>
      <w:szCs w:val="28"/>
      <w:lang w:val="en-US"/>
    </w:rPr>
  </w:style>
  <w:style w:type="paragraph" w:customStyle="1" w:styleId="Default">
    <w:name w:val="Default"/>
    <w:rsid w:val="00555C7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895E11"/>
    <w:rPr>
      <w:color w:val="0563C1" w:themeColor="hyperlink"/>
      <w:u w:val="single"/>
    </w:rPr>
  </w:style>
  <w:style w:type="table" w:styleId="TableGrid">
    <w:name w:val="Table Grid"/>
    <w:basedOn w:val="TableNormal"/>
    <w:uiPriority w:val="59"/>
    <w:rsid w:val="00662AF5"/>
    <w:pPr>
      <w:spacing w:after="0" w:line="240" w:lineRule="auto"/>
    </w:pPr>
    <w:rPr>
      <w:rFonts w:ascii="Times New Roman" w:eastAsia="Times New Roma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662AF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766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F99"/>
  </w:style>
  <w:style w:type="paragraph" w:styleId="Footer">
    <w:name w:val="footer"/>
    <w:basedOn w:val="Normal"/>
    <w:link w:val="FooterChar"/>
    <w:uiPriority w:val="99"/>
    <w:unhideWhenUsed/>
    <w:rsid w:val="00766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F99"/>
  </w:style>
  <w:style w:type="character" w:customStyle="1" w:styleId="name">
    <w:name w:val="name"/>
    <w:basedOn w:val="DefaultParagraphFont"/>
    <w:rsid w:val="002907DA"/>
  </w:style>
  <w:style w:type="character" w:customStyle="1" w:styleId="Heading3Char">
    <w:name w:val="Heading 3 Char"/>
    <w:basedOn w:val="DefaultParagraphFont"/>
    <w:link w:val="Heading3"/>
    <w:uiPriority w:val="9"/>
    <w:rsid w:val="002C3416"/>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2C3416"/>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2C3416"/>
    <w:pPr>
      <w:tabs>
        <w:tab w:val="right" w:leader="dot" w:pos="9016"/>
      </w:tabs>
      <w:spacing w:after="100"/>
    </w:pPr>
    <w:rPr>
      <w:rFonts w:asciiTheme="majorBidi" w:hAnsiTheme="majorBidi" w:cstheme="majorBidi"/>
      <w:b/>
      <w:bCs/>
      <w:noProof/>
      <w:sz w:val="24"/>
      <w:szCs w:val="24"/>
    </w:rPr>
  </w:style>
  <w:style w:type="paragraph" w:styleId="TOC2">
    <w:name w:val="toc 2"/>
    <w:basedOn w:val="Normal"/>
    <w:next w:val="Normal"/>
    <w:autoRedefine/>
    <w:uiPriority w:val="39"/>
    <w:unhideWhenUsed/>
    <w:rsid w:val="002C3416"/>
    <w:pPr>
      <w:spacing w:after="100"/>
      <w:ind w:left="220"/>
    </w:pPr>
  </w:style>
  <w:style w:type="paragraph" w:styleId="TOC3">
    <w:name w:val="toc 3"/>
    <w:basedOn w:val="Normal"/>
    <w:next w:val="Normal"/>
    <w:autoRedefine/>
    <w:uiPriority w:val="39"/>
    <w:unhideWhenUsed/>
    <w:rsid w:val="00A27DD1"/>
    <w:pPr>
      <w:tabs>
        <w:tab w:val="right" w:leader="dot" w:pos="9016"/>
      </w:tabs>
      <w:spacing w:after="100"/>
      <w:ind w:left="440"/>
    </w:pPr>
    <w:rPr>
      <w:rFonts w:asciiTheme="majorBidi" w:hAnsiTheme="majorBidi" w:cstheme="majorBidi"/>
      <w:noProof/>
      <w:sz w:val="24"/>
      <w:szCs w:val="24"/>
    </w:rPr>
  </w:style>
  <w:style w:type="paragraph" w:styleId="Caption">
    <w:name w:val="caption"/>
    <w:basedOn w:val="Normal"/>
    <w:next w:val="Normal"/>
    <w:uiPriority w:val="35"/>
    <w:unhideWhenUsed/>
    <w:qFormat/>
    <w:rsid w:val="009314D1"/>
    <w:pPr>
      <w:spacing w:after="200" w:line="240" w:lineRule="auto"/>
    </w:pPr>
    <w:rPr>
      <w:rFonts w:asciiTheme="majorBidi" w:hAnsiTheme="majorBidi" w:cstheme="majorBidi"/>
      <w:b/>
      <w:bCs/>
      <w:sz w:val="24"/>
      <w:szCs w:val="24"/>
    </w:rPr>
  </w:style>
  <w:style w:type="paragraph" w:styleId="TableofFigures">
    <w:name w:val="table of figures"/>
    <w:basedOn w:val="Normal"/>
    <w:next w:val="Normal"/>
    <w:uiPriority w:val="99"/>
    <w:unhideWhenUsed/>
    <w:rsid w:val="00A27DD1"/>
    <w:pPr>
      <w:spacing w:after="0"/>
    </w:pPr>
    <w:rPr>
      <w:rFonts w:ascii="Times New Roman" w:hAnsi="Times New Roman"/>
      <w:b/>
      <w:sz w:val="24"/>
    </w:rPr>
  </w:style>
  <w:style w:type="character" w:customStyle="1" w:styleId="Heading4Char">
    <w:name w:val="Heading 4 Char"/>
    <w:basedOn w:val="DefaultParagraphFont"/>
    <w:link w:val="Heading4"/>
    <w:uiPriority w:val="9"/>
    <w:semiHidden/>
    <w:rsid w:val="00D94355"/>
    <w:rPr>
      <w:rFonts w:asciiTheme="majorHAnsi" w:eastAsiaTheme="majorEastAsia" w:hAnsiTheme="majorHAnsi" w:cstheme="majorBidi"/>
      <w:i/>
      <w:iCs/>
      <w:color w:val="2F5496" w:themeColor="accent1" w:themeShade="BF"/>
    </w:rPr>
  </w:style>
  <w:style w:type="paragraph" w:styleId="BodyText">
    <w:name w:val="Body Text"/>
    <w:basedOn w:val="Normal"/>
    <w:link w:val="BodyTextChar"/>
    <w:rsid w:val="00D94355"/>
    <w:pPr>
      <w:spacing w:after="0" w:line="240" w:lineRule="auto"/>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D94355"/>
    <w:rPr>
      <w:rFonts w:ascii="Arial" w:eastAsia="Times New Roman" w:hAnsi="Arial" w:cs="Times New Roman"/>
      <w:sz w:val="24"/>
      <w:szCs w:val="20"/>
      <w:lang w:val="en-US"/>
    </w:rPr>
  </w:style>
  <w:style w:type="paragraph" w:styleId="TOC4">
    <w:name w:val="toc 4"/>
    <w:basedOn w:val="Normal"/>
    <w:next w:val="Normal"/>
    <w:autoRedefine/>
    <w:uiPriority w:val="39"/>
    <w:unhideWhenUsed/>
    <w:rsid w:val="00BC628B"/>
    <w:pPr>
      <w:spacing w:after="100"/>
      <w:ind w:left="660"/>
    </w:pPr>
    <w:rPr>
      <w:rFonts w:eastAsiaTheme="minorEastAsia"/>
      <w:lang w:eastAsia="en-MY"/>
    </w:rPr>
  </w:style>
  <w:style w:type="paragraph" w:styleId="TOC5">
    <w:name w:val="toc 5"/>
    <w:basedOn w:val="Normal"/>
    <w:next w:val="Normal"/>
    <w:autoRedefine/>
    <w:uiPriority w:val="39"/>
    <w:unhideWhenUsed/>
    <w:rsid w:val="00BC628B"/>
    <w:pPr>
      <w:spacing w:after="100"/>
      <w:ind w:left="880"/>
    </w:pPr>
    <w:rPr>
      <w:rFonts w:eastAsiaTheme="minorEastAsia"/>
      <w:lang w:eastAsia="en-MY"/>
    </w:rPr>
  </w:style>
  <w:style w:type="paragraph" w:styleId="TOC6">
    <w:name w:val="toc 6"/>
    <w:basedOn w:val="Normal"/>
    <w:next w:val="Normal"/>
    <w:autoRedefine/>
    <w:uiPriority w:val="39"/>
    <w:unhideWhenUsed/>
    <w:rsid w:val="00BC628B"/>
    <w:pPr>
      <w:spacing w:after="100"/>
      <w:ind w:left="1100"/>
    </w:pPr>
    <w:rPr>
      <w:rFonts w:eastAsiaTheme="minorEastAsia"/>
      <w:lang w:eastAsia="en-MY"/>
    </w:rPr>
  </w:style>
  <w:style w:type="paragraph" w:styleId="TOC7">
    <w:name w:val="toc 7"/>
    <w:basedOn w:val="Normal"/>
    <w:next w:val="Normal"/>
    <w:autoRedefine/>
    <w:uiPriority w:val="39"/>
    <w:unhideWhenUsed/>
    <w:rsid w:val="00BC628B"/>
    <w:pPr>
      <w:spacing w:after="100"/>
      <w:ind w:left="1320"/>
    </w:pPr>
    <w:rPr>
      <w:rFonts w:eastAsiaTheme="minorEastAsia"/>
      <w:lang w:eastAsia="en-MY"/>
    </w:rPr>
  </w:style>
  <w:style w:type="paragraph" w:styleId="TOC8">
    <w:name w:val="toc 8"/>
    <w:basedOn w:val="Normal"/>
    <w:next w:val="Normal"/>
    <w:autoRedefine/>
    <w:uiPriority w:val="39"/>
    <w:unhideWhenUsed/>
    <w:rsid w:val="00BC628B"/>
    <w:pPr>
      <w:spacing w:after="100"/>
      <w:ind w:left="1540"/>
    </w:pPr>
    <w:rPr>
      <w:rFonts w:eastAsiaTheme="minorEastAsia"/>
      <w:lang w:eastAsia="en-MY"/>
    </w:rPr>
  </w:style>
  <w:style w:type="paragraph" w:styleId="TOC9">
    <w:name w:val="toc 9"/>
    <w:basedOn w:val="Normal"/>
    <w:next w:val="Normal"/>
    <w:autoRedefine/>
    <w:uiPriority w:val="39"/>
    <w:unhideWhenUsed/>
    <w:rsid w:val="00BC628B"/>
    <w:pPr>
      <w:spacing w:after="100"/>
      <w:ind w:left="1760"/>
    </w:pPr>
    <w:rPr>
      <w:rFonts w:eastAsiaTheme="minorEastAsia"/>
      <w:lang w:eastAsia="en-MY"/>
    </w:rPr>
  </w:style>
  <w:style w:type="character" w:styleId="UnresolvedMention">
    <w:name w:val="Unresolved Mention"/>
    <w:basedOn w:val="DefaultParagraphFont"/>
    <w:uiPriority w:val="99"/>
    <w:semiHidden/>
    <w:unhideWhenUsed/>
    <w:rsid w:val="00BC628B"/>
    <w:rPr>
      <w:color w:val="605E5C"/>
      <w:shd w:val="clear" w:color="auto" w:fill="E1DFDD"/>
    </w:rPr>
  </w:style>
  <w:style w:type="paragraph" w:styleId="BalloonText">
    <w:name w:val="Balloon Text"/>
    <w:basedOn w:val="Normal"/>
    <w:link w:val="BalloonTextChar"/>
    <w:uiPriority w:val="99"/>
    <w:semiHidden/>
    <w:unhideWhenUsed/>
    <w:rsid w:val="00E922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2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jpg"/><Relationship Id="rId7" Type="http://schemas.openxmlformats.org/officeDocument/2006/relationships/endnotes" Target="endnotes.xml"/><Relationship Id="rId71"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emf"/><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jpg"/><Relationship Id="rId79" Type="http://schemas.openxmlformats.org/officeDocument/2006/relationships/image" Target="media/image69.jpg"/><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jpg"/><Relationship Id="rId78" Type="http://schemas.openxmlformats.org/officeDocument/2006/relationships/image" Target="media/image68.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image" Target="media/image21.emf"/><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image" Target="media/image62.jpg"/><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emf"/><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png"/><Relationship Id="rId36" Type="http://schemas.openxmlformats.org/officeDocument/2006/relationships/hyperlink" Target="http://www.centralbank.go.ke" TargetMode="External"/><Relationship Id="rId49" Type="http://schemas.openxmlformats.org/officeDocument/2006/relationships/image" Target="media/image39.png"/><Relationship Id="rId57"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5FBB1-97F1-4F5D-BA10-CD5AE8E4E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119</Pages>
  <Words>21659</Words>
  <Characters>123462</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jawaher timimi</dc:creator>
  <cp:keywords/>
  <dc:description/>
  <cp:lastModifiedBy>jawaher timimi</cp:lastModifiedBy>
  <cp:revision>97</cp:revision>
  <dcterms:created xsi:type="dcterms:W3CDTF">2019-12-17T19:10:00Z</dcterms:created>
  <dcterms:modified xsi:type="dcterms:W3CDTF">2019-12-18T14:48:00Z</dcterms:modified>
</cp:coreProperties>
</file>